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90" w:rsidRPr="001D1B80" w:rsidRDefault="00D27E5B" w:rsidP="001D1B80">
      <w:pPr>
        <w:pStyle w:val="TitreArticle"/>
        <w:jc w:val="both"/>
        <w:rPr>
          <w:lang w:val="en-US"/>
        </w:rPr>
      </w:pPr>
      <w:sdt>
        <w:sdtPr>
          <w:rPr>
            <w:lang w:val="en-US"/>
          </w:rPr>
          <w:id w:val="-500888273"/>
          <w:lock w:val="sdtLocked"/>
          <w:placeholder>
            <w:docPart w:val="413FA4AAF8EE4AB78D540114174B2E96"/>
          </w:placeholder>
          <w:text w:multiLine="1"/>
        </w:sdtPr>
        <w:sdtEndPr/>
        <w:sdtContent>
          <w:r w:rsidR="006204F7" w:rsidRPr="001D1B80">
            <w:rPr>
              <w:lang w:val="en-US"/>
            </w:rPr>
            <w:t>Allelopathic potential and ecotoxicity evaluation of gallic and nonanoic acids to prevent cyanobacterial growth in lentic systems: A preliminary mesocosm study</w:t>
          </w:r>
        </w:sdtContent>
      </w:sdt>
    </w:p>
    <w:p w:rsidR="00F55590" w:rsidRPr="001D1B80" w:rsidRDefault="00F55590" w:rsidP="001D1B80">
      <w:pPr>
        <w:jc w:val="both"/>
        <w:rPr>
          <w:rFonts w:ascii="Arial" w:hAnsi="Arial" w:cs="Arial"/>
          <w:lang w:val="en-US"/>
        </w:rPr>
      </w:pPr>
    </w:p>
    <w:sdt>
      <w:sdtPr>
        <w:id w:val="-1120138142"/>
        <w:placeholder>
          <w:docPart w:val="413FA4AAF8EE4AB78D540114174B2E96"/>
        </w:placeholder>
      </w:sdtPr>
      <w:sdtEndPr/>
      <w:sdtContent>
        <w:p w:rsidR="00EC5056" w:rsidRPr="001D1B80" w:rsidRDefault="00E06211" w:rsidP="001D1B80">
          <w:pPr>
            <w:pStyle w:val="Noms"/>
            <w:jc w:val="both"/>
          </w:pPr>
          <w:r w:rsidRPr="001D1B80">
            <w:rPr>
              <w:lang w:val="nl-NL"/>
            </w:rPr>
            <w:t>Didier</w:t>
          </w:r>
          <w:r w:rsidRPr="001D1B80">
            <w:t xml:space="preserve"> Techer </w:t>
          </w:r>
          <w:r w:rsidRPr="001D1B80">
            <w:rPr>
              <w:rStyle w:val="Exposant"/>
            </w:rPr>
            <w:t>a</w:t>
          </w:r>
          <w:r w:rsidRPr="001D1B80">
            <w:t>,</w:t>
          </w:r>
          <w:r w:rsidRPr="001D1B80">
            <w:rPr>
              <w:lang w:val="sl-SI"/>
            </w:rPr>
            <w:t xml:space="preserve"> Pascal Fontaine</w:t>
          </w:r>
          <w:r w:rsidRPr="001D1B80">
            <w:t xml:space="preserve"> </w:t>
          </w:r>
          <w:r w:rsidRPr="001D1B80">
            <w:rPr>
              <w:rStyle w:val="Exposant"/>
            </w:rPr>
            <w:t>a</w:t>
          </w:r>
          <w:r w:rsidRPr="001D1B80">
            <w:rPr>
              <w:lang w:val="sl-SI"/>
            </w:rPr>
            <w:t>,</w:t>
          </w:r>
          <w:r w:rsidRPr="001D1B80">
            <w:rPr>
              <w:lang w:val="pt-BR"/>
            </w:rPr>
            <w:t xml:space="preserve"> Aline</w:t>
          </w:r>
          <w:r w:rsidRPr="001D1B80">
            <w:t xml:space="preserve"> Personne </w:t>
          </w:r>
          <w:r w:rsidRPr="001D1B80">
            <w:rPr>
              <w:rStyle w:val="Exposant"/>
            </w:rPr>
            <w:t>a</w:t>
          </w:r>
          <w:r w:rsidRPr="001D1B80">
            <w:t xml:space="preserve">, Sandrine Viot </w:t>
          </w:r>
          <w:r w:rsidRPr="001D1B80">
            <w:rPr>
              <w:rStyle w:val="Exposant"/>
            </w:rPr>
            <w:t>a</w:t>
          </w:r>
          <w:r w:rsidRPr="001D1B80">
            <w:t>, Marielle</w:t>
          </w:r>
          <w:r w:rsidRPr="001D1B80">
            <w:rPr>
              <w:lang w:val="sl-SI"/>
            </w:rPr>
            <w:t xml:space="preserve"> Thomas</w:t>
          </w:r>
          <w:r w:rsidRPr="001D1B80">
            <w:t xml:space="preserve"> </w:t>
          </w:r>
          <w:r w:rsidRPr="001D1B80">
            <w:rPr>
              <w:rStyle w:val="Exposant"/>
            </w:rPr>
            <w:t>a</w:t>
          </w:r>
          <w:r w:rsidRPr="001D1B80">
            <w:t>.</w:t>
          </w:r>
        </w:p>
      </w:sdtContent>
    </w:sdt>
    <w:sdt>
      <w:sdtPr>
        <w:id w:val="-163167400"/>
        <w15:repeatingSection/>
      </w:sdtPr>
      <w:sdtEndPr/>
      <w:sdtContent>
        <w:sdt>
          <w:sdtPr>
            <w:id w:val="-1523700566"/>
            <w:placeholder>
              <w:docPart w:val="45AA0CC022BC4DE383A244FAB7066BCB"/>
            </w:placeholder>
            <w15:repeatingSectionItem/>
          </w:sdtPr>
          <w:sdtEndPr/>
          <w:sdtContent>
            <w:p w:rsidR="00E64AC6" w:rsidRPr="001D1B80" w:rsidRDefault="00F55590" w:rsidP="001D1B80">
              <w:pPr>
                <w:pStyle w:val="Affiliation"/>
                <w:rPr>
                  <w:lang w:val="fr-FR"/>
                </w:rPr>
              </w:pPr>
              <w:r w:rsidRPr="001D1B80">
                <w:rPr>
                  <w:lang w:val="fr-FR"/>
                </w:rPr>
                <w:t xml:space="preserve">: </w:t>
              </w:r>
              <w:sdt>
                <w:sdtPr>
                  <w:rPr>
                    <w:lang w:val="fr-FR"/>
                  </w:rPr>
                  <w:id w:val="972182279"/>
                  <w:placeholder>
                    <w:docPart w:val="413FA4AAF8EE4AB78D540114174B2E96"/>
                  </w:placeholder>
                  <w:text/>
                </w:sdtPr>
                <w:sdtEndPr/>
                <w:sdtContent>
                  <w:r w:rsidR="00E06211" w:rsidRPr="001D1B80">
                    <w:rPr>
                      <w:lang w:val="fr-FR"/>
                    </w:rPr>
                    <w:t>Université de Lorraine, UR AFPA, USC INRA 340, Campus Victor Grignard, Boulevard des Aiguillettes, BP 239, 54506 Vandœuvre-lès-Nancy Cedex, France</w:t>
                  </w:r>
                </w:sdtContent>
              </w:sdt>
            </w:p>
          </w:sdtContent>
        </w:sdt>
      </w:sdtContent>
    </w:sdt>
    <w:p w:rsidR="009930DE" w:rsidRPr="001D1B80" w:rsidRDefault="00D12BD2" w:rsidP="001D1B80">
      <w:pPr>
        <w:pStyle w:val="NomJournal"/>
        <w:rPr>
          <w:lang w:val="en-US"/>
        </w:rPr>
      </w:pPr>
      <w:r w:rsidRPr="001D1B80">
        <w:rPr>
          <w:lang w:val="en-US"/>
        </w:rPr>
        <w:t xml:space="preserve">Published </w:t>
      </w:r>
      <w:r w:rsidR="00F55590" w:rsidRPr="001D1B80">
        <w:rPr>
          <w:lang w:val="en-US"/>
        </w:rPr>
        <w:t>i</w:t>
      </w:r>
      <w:r w:rsidRPr="001D1B80">
        <w:rPr>
          <w:lang w:val="en-US"/>
        </w:rPr>
        <w:t>n</w:t>
      </w:r>
      <w:r w:rsidR="00033AB1" w:rsidRPr="001D1B80">
        <w:rPr>
          <w:lang w:val="en-US"/>
        </w:rPr>
        <w:t xml:space="preserve"> </w:t>
      </w:r>
      <w:sdt>
        <w:sdtPr>
          <w:rPr>
            <w:lang w:val="en-US"/>
          </w:rPr>
          <w:id w:val="345530979"/>
          <w:placeholder>
            <w:docPart w:val="18AD4F38243D4573BED20487247BEA31"/>
          </w:placeholder>
          <w:text/>
        </w:sdtPr>
        <w:sdtEndPr/>
        <w:sdtContent>
          <w:r w:rsidR="00E06211" w:rsidRPr="001D1B80">
            <w:rPr>
              <w:lang w:val="en-US"/>
            </w:rPr>
            <w:t>Science of the Total Environment</w:t>
          </w:r>
        </w:sdtContent>
      </w:sdt>
      <w:r w:rsidRPr="001D1B80">
        <w:rPr>
          <w:lang w:val="en-US"/>
        </w:rPr>
        <w:t xml:space="preserve">. Available online: </w:t>
      </w:r>
      <w:sdt>
        <w:sdtPr>
          <w:rPr>
            <w:lang w:val="en-US"/>
          </w:rPr>
          <w:id w:val="1470399932"/>
          <w:placeholder>
            <w:docPart w:val="AC74914ED5224382A3EDE072B6F52FE2"/>
          </w:placeholder>
          <w:text/>
        </w:sdtPr>
        <w:sdtEndPr/>
        <w:sdtContent>
          <w:r w:rsidR="00E06211" w:rsidRPr="001D1B80">
            <w:rPr>
              <w:lang w:val="en-US"/>
            </w:rPr>
            <w:t>http://dx.doi.org/10.1016/j.scitotenv.2015.12.164</w:t>
          </w:r>
        </w:sdtContent>
      </w:sdt>
    </w:p>
    <w:sdt>
      <w:sdtPr>
        <w:rPr>
          <w:b w:val="0"/>
          <w:bCs w:val="0"/>
          <w:sz w:val="20"/>
          <w:szCs w:val="20"/>
        </w:rPr>
        <w:id w:val="-1656214917"/>
        <w15:repeatingSection/>
      </w:sdtPr>
      <w:sdtEndPr/>
      <w:sdtContent>
        <w:sdt>
          <w:sdtPr>
            <w:rPr>
              <w:b w:val="0"/>
              <w:bCs w:val="0"/>
              <w:sz w:val="20"/>
              <w:szCs w:val="20"/>
            </w:rPr>
            <w:id w:val="-734474039"/>
            <w:placeholder>
              <w:docPart w:val="45AA0CC022BC4DE383A244FAB7066BCB"/>
            </w:placeholder>
            <w15:repeatingSectionItem/>
          </w:sdtPr>
          <w:sdtEndPr/>
          <w:sdtContent>
            <w:sdt>
              <w:sdtPr>
                <w:rPr>
                  <w:lang w:val="en-US"/>
                </w:rPr>
                <w:id w:val="1516119366"/>
                <w:placeholder>
                  <w:docPart w:val="869D49E5E87846C59CF37CD57F67B5C2"/>
                </w:placeholder>
                <w:comboBox>
                  <w:listItem w:displayText="Keywords" w:value="Keywords"/>
                  <w:listItem w:displayText="Highlights" w:value="Highlights"/>
                </w:comboBox>
              </w:sdtPr>
              <w:sdtEndPr/>
              <w:sdtContent>
                <w:p w:rsidR="00E64AC6" w:rsidRPr="001D1B80" w:rsidRDefault="006F3CA7" w:rsidP="001D1B80">
                  <w:pPr>
                    <w:pStyle w:val="AbstractTitre"/>
                    <w:rPr>
                      <w:lang w:val="en-US"/>
                    </w:rPr>
                  </w:pPr>
                  <w:r w:rsidRPr="001D1B80">
                    <w:rPr>
                      <w:lang w:val="en-US"/>
                    </w:rPr>
                    <w:t>Keywords</w:t>
                  </w:r>
                </w:p>
              </w:sdtContent>
            </w:sdt>
            <w:sdt>
              <w:sdtPr>
                <w:id w:val="1051814490"/>
                <w15:repeatingSection/>
              </w:sdtPr>
              <w:sdtEndPr/>
              <w:sdtContent>
                <w:sdt>
                  <w:sdtPr>
                    <w:id w:val="771984378"/>
                    <w:placeholder>
                      <w:docPart w:val="B49685615C3A4CECA448C34CB2E319FF"/>
                    </w:placeholder>
                    <w15:repeatingSectionItem/>
                  </w:sdtPr>
                  <w:sdtEndPr/>
                  <w:sdtContent>
                    <w:p w:rsidR="009C77B3" w:rsidRPr="001D1B80" w:rsidRDefault="00E06211" w:rsidP="001D1B80">
                      <w:pPr>
                        <w:pStyle w:val="Introduction"/>
                        <w:ind w:firstLine="0"/>
                        <w:rPr>
                          <w:lang w:val="en-US"/>
                        </w:rPr>
                      </w:pPr>
                      <w:r w:rsidRPr="001D1B80">
                        <w:rPr>
                          <w:lang w:val="en-US"/>
                        </w:rPr>
                        <w:t>Allelopathy, cyanobacteria, gallic acid, nonanoic acid, b</w:t>
                      </w:r>
                      <w:r w:rsidRPr="001D1B80">
                        <w:rPr>
                          <w:lang w:val="da-DK"/>
                        </w:rPr>
                        <w:t>iomarkers</w:t>
                      </w:r>
                      <w:r w:rsidRPr="001D1B80">
                        <w:rPr>
                          <w:lang w:val="en-US"/>
                        </w:rPr>
                        <w:t xml:space="preserve">. </w:t>
                      </w:r>
                    </w:p>
                  </w:sdtContent>
                </w:sdt>
              </w:sdtContent>
            </w:sdt>
          </w:sdtContent>
        </w:sdt>
      </w:sdtContent>
    </w:sdt>
    <w:p w:rsidR="00EC5056" w:rsidRPr="001D1B80" w:rsidRDefault="00EC5056" w:rsidP="001D1B80">
      <w:pPr>
        <w:pStyle w:val="AbstractTitre"/>
        <w:rPr>
          <w:lang w:val="en-US"/>
        </w:rPr>
      </w:pPr>
      <w:r w:rsidRPr="001D1B80">
        <w:rPr>
          <w:lang w:val="en-US"/>
        </w:rPr>
        <w:t>Abstract</w:t>
      </w:r>
    </w:p>
    <w:sdt>
      <w:sdtPr>
        <w:id w:val="605855061"/>
        <w:lock w:val="sdtLocked"/>
        <w:placeholder>
          <w:docPart w:val="0AD1E9AF6DC84F57950BD17642A3C361"/>
        </w:placeholder>
      </w:sdtPr>
      <w:sdtEndPr/>
      <w:sdtContent>
        <w:p w:rsidR="002529C0" w:rsidRPr="001D1B80" w:rsidRDefault="00E06211" w:rsidP="001D1B80">
          <w:pPr>
            <w:pStyle w:val="Introduction"/>
            <w:rPr>
              <w:lang w:val="en-US"/>
            </w:rPr>
          </w:pPr>
          <w:r w:rsidRPr="001D1B80">
            <w:rPr>
              <w:lang w:val="en-US"/>
            </w:rPr>
            <w:t>The increase</w:t>
          </w:r>
          <w:r w:rsidRPr="001D1B80">
            <w:rPr>
              <w:lang w:val="sl-SI"/>
            </w:rPr>
            <w:t xml:space="preserve"> in</w:t>
          </w:r>
          <w:r w:rsidRPr="001D1B80">
            <w:rPr>
              <w:lang w:val="en-US"/>
            </w:rPr>
            <w:t xml:space="preserve"> anthropogenic nutrient loading affecting many freshwater ecosystems combined with</w:t>
          </w:r>
          <w:r w:rsidRPr="001D1B80">
            <w:rPr>
              <w:lang w:val="pt-BR"/>
            </w:rPr>
            <w:t xml:space="preserve"> global</w:t>
          </w:r>
          <w:r w:rsidRPr="001D1B80">
            <w:rPr>
              <w:lang w:val="en-US"/>
            </w:rPr>
            <w:t xml:space="preserve"> warming may lead</w:t>
          </w:r>
          <w:r w:rsidRPr="001D1B80">
            <w:rPr>
              <w:lang w:val="sl-SI"/>
            </w:rPr>
            <w:t xml:space="preserve"> to</w:t>
          </w:r>
          <w:r w:rsidRPr="001D1B80">
            <w:rPr>
              <w:lang w:val="en-US"/>
            </w:rPr>
            <w:t xml:space="preserve"> cyanobacterial blooms</w:t>
          </w:r>
          <w:r w:rsidRPr="001D1B80">
            <w:rPr>
              <w:lang w:val="sl-SI"/>
            </w:rPr>
            <w:t xml:space="preserve"> on</w:t>
          </w:r>
          <w:r w:rsidRPr="001D1B80">
            <w:rPr>
              <w:lang w:val="cs-CZ"/>
            </w:rPr>
            <w:t xml:space="preserve"> an</w:t>
          </w:r>
          <w:r w:rsidRPr="001D1B80">
            <w:rPr>
              <w:lang w:val="en-US"/>
            </w:rPr>
            <w:t xml:space="preserve"> increasingly frequent</w:t>
          </w:r>
          <w:r w:rsidRPr="001D1B80">
            <w:rPr>
              <w:lang w:val="da-DK"/>
            </w:rPr>
            <w:t xml:space="preserve"> basis.</w:t>
          </w:r>
          <w:r w:rsidRPr="001D1B80">
            <w:rPr>
              <w:lang w:val="en-US"/>
            </w:rPr>
            <w:t xml:space="preserve"> Among the various physicochem</w:t>
          </w:r>
          <w:r w:rsidRPr="001D1B80">
            <w:rPr>
              <w:lang w:val="en-US"/>
            </w:rPr>
            <w:softHyphen/>
            <w:t>ical</w:t>
          </w:r>
          <w:r w:rsidRPr="001D1B80">
            <w:rPr>
              <w:lang w:val="da-DK"/>
            </w:rPr>
            <w:t xml:space="preserve"> and</w:t>
          </w:r>
          <w:r w:rsidRPr="001D1B80">
            <w:rPr>
              <w:lang w:val="en-US"/>
            </w:rPr>
            <w:t xml:space="preserve"> biological methods which</w:t>
          </w:r>
          <w:r w:rsidRPr="001D1B80">
            <w:rPr>
              <w:lang w:val="da-DK"/>
            </w:rPr>
            <w:t xml:space="preserve"> have</w:t>
          </w:r>
          <w:r w:rsidRPr="001D1B80">
            <w:rPr>
              <w:lang w:val="en-US"/>
            </w:rPr>
            <w:t xml:space="preserve"> been proposed</w:t>
          </w:r>
          <w:r w:rsidRPr="001D1B80">
            <w:rPr>
              <w:lang w:val="sl-SI"/>
            </w:rPr>
            <w:t xml:space="preserve"> to</w:t>
          </w:r>
          <w:r w:rsidRPr="001D1B80">
            <w:rPr>
              <w:lang w:val="en-US"/>
            </w:rPr>
            <w:t xml:space="preserve"> rapidly control blue-green algae growth, the use of</w:t>
          </w:r>
          <w:r w:rsidRPr="001D1B80">
            <w:rPr>
              <w:lang w:val="da-DK"/>
            </w:rPr>
            <w:t xml:space="preserve"> plant</w:t>
          </w:r>
          <w:r w:rsidRPr="001D1B80">
            <w:rPr>
              <w:lang w:val="en-US"/>
            </w:rPr>
            <w:t>-derived substances such</w:t>
          </w:r>
          <w:r w:rsidRPr="001D1B80">
            <w:rPr>
              <w:lang w:val="sl-SI"/>
            </w:rPr>
            <w:t xml:space="preserve"> as</w:t>
          </w:r>
          <w:r w:rsidRPr="001D1B80">
            <w:rPr>
              <w:lang w:val="en-US"/>
            </w:rPr>
            <w:t xml:space="preserve"> allelochemicals</w:t>
          </w:r>
          <w:r w:rsidRPr="001D1B80">
            <w:rPr>
              <w:lang w:val="cs-CZ"/>
            </w:rPr>
            <w:t xml:space="preserve"> has</w:t>
          </w:r>
          <w:r w:rsidRPr="001D1B80">
            <w:rPr>
              <w:lang w:val="en-US"/>
            </w:rPr>
            <w:t xml:space="preserve"> gained great interest</w:t>
          </w:r>
          <w:r w:rsidRPr="001D1B80">
            <w:rPr>
              <w:lang w:val="sl-SI"/>
            </w:rPr>
            <w:t xml:space="preserve"> as</w:t>
          </w:r>
          <w:r w:rsidRPr="001D1B80">
            <w:rPr>
              <w:lang w:val="cs-CZ"/>
            </w:rPr>
            <w:t xml:space="preserve"> an</w:t>
          </w:r>
          <w:r w:rsidRPr="001D1B80">
            <w:rPr>
              <w:lang w:val="en-US"/>
            </w:rPr>
            <w:t xml:space="preserve"> environment-friendly</w:t>
          </w:r>
          <w:r w:rsidRPr="001D1B80">
            <w:rPr>
              <w:lang w:val="da-DK"/>
            </w:rPr>
            <w:t xml:space="preserve"> approach.</w:t>
          </w:r>
          <w:r w:rsidRPr="001D1B80">
            <w:rPr>
              <w:lang w:val="en-US"/>
            </w:rPr>
            <w:t xml:space="preserve"> The primary aim of this work was</w:t>
          </w:r>
          <w:r w:rsidRPr="001D1B80">
            <w:rPr>
              <w:lang w:val="sl-SI"/>
            </w:rPr>
            <w:t xml:space="preserve"> to</w:t>
          </w:r>
          <w:r w:rsidRPr="001D1B80">
            <w:rPr>
              <w:lang w:val="en-US"/>
            </w:rPr>
            <w:t xml:space="preserve"> evaluate the efficiency of gallic</w:t>
          </w:r>
          <w:r w:rsidRPr="001D1B80">
            <w:rPr>
              <w:lang w:val="da-DK"/>
            </w:rPr>
            <w:t xml:space="preserve"> and</w:t>
          </w:r>
          <w:r w:rsidRPr="001D1B80">
            <w:rPr>
              <w:lang w:val="en-US"/>
            </w:rPr>
            <w:t xml:space="preserve"> nonanoic acid application</w:t>
          </w:r>
          <w:r w:rsidRPr="001D1B80">
            <w:rPr>
              <w:lang w:val="sl-SI"/>
            </w:rPr>
            <w:t xml:space="preserve"> to</w:t>
          </w:r>
          <w:r w:rsidRPr="001D1B80">
            <w:rPr>
              <w:lang w:val="en-US"/>
            </w:rPr>
            <w:t xml:space="preserve"> preemptive</w:t>
          </w:r>
          <w:r w:rsidRPr="001D1B80">
            <w:rPr>
              <w:lang w:val="en-US"/>
            </w:rPr>
            <w:softHyphen/>
            <w:t>ly inhibit cyanobacterial growth</w:t>
          </w:r>
          <w:r w:rsidRPr="001D1B80">
            <w:rPr>
              <w:lang w:val="sl-SI"/>
            </w:rPr>
            <w:t xml:space="preserve"> in</w:t>
          </w:r>
          <w:r w:rsidRPr="001D1B80">
            <w:rPr>
              <w:lang w:val="en-US"/>
            </w:rPr>
            <w:t xml:space="preserve"> lentic</w:t>
          </w:r>
          <w:r w:rsidRPr="001D1B80">
            <w:rPr>
              <w:lang w:val="da-DK"/>
            </w:rPr>
            <w:t xml:space="preserve"> hydrosystems.</w:t>
          </w:r>
          <w:r w:rsidRPr="001D1B80">
            <w:rPr>
              <w:lang w:val="sv-SE"/>
            </w:rPr>
            <w:t xml:space="preserve"> Inorder</w:t>
          </w:r>
          <w:r w:rsidRPr="001D1B80">
            <w:rPr>
              <w:lang w:val="sl-SI"/>
            </w:rPr>
            <w:t xml:space="preserve"> to</w:t>
          </w:r>
          <w:r w:rsidRPr="001D1B80">
            <w:rPr>
              <w:lang w:val="en-US"/>
            </w:rPr>
            <w:t xml:space="preserve"> address the process feasibility under realistic exposure scenarios, thirteen outdoor freshwater mesocosms</w:t>
          </w:r>
          <w:r w:rsidRPr="001D1B80">
            <w:rPr>
              <w:lang w:val="da-DK"/>
            </w:rPr>
            <w:t xml:space="preserve"> (unit</w:t>
          </w:r>
          <w:r w:rsidRPr="001D1B80">
            <w:rPr>
              <w:lang w:val="pt-BR"/>
            </w:rPr>
            <w:t xml:space="preserve"> volume:</w:t>
          </w:r>
          <w:r w:rsidRPr="001D1B80">
            <w:rPr>
              <w:lang w:val="ca-ES"/>
            </w:rPr>
            <w:t xml:space="preserve"> 3 m3)</w:t>
          </w:r>
          <w:r w:rsidRPr="001D1B80">
            <w:rPr>
              <w:lang w:val="en-US"/>
            </w:rPr>
            <w:t xml:space="preserve"> were designed, each containing phytoplankton (including local blue-green algae</w:t>
          </w:r>
          <w:r w:rsidRPr="001D1B80">
            <w:rPr>
              <w:lang w:val="da-DK"/>
            </w:rPr>
            <w:t xml:space="preserve"> species) and</w:t>
          </w:r>
          <w:r w:rsidRPr="001D1B80">
            <w:rPr>
              <w:lang w:val="en-US"/>
            </w:rPr>
            <w:t xml:space="preserve"> various</w:t>
          </w:r>
          <w:r w:rsidRPr="001D1B80">
            <w:rPr>
              <w:lang w:val="nl-NL"/>
            </w:rPr>
            <w:t xml:space="preserve"> non-target</w:t>
          </w:r>
          <w:r w:rsidRPr="001D1B80">
            <w:rPr>
              <w:lang w:val="en-US"/>
            </w:rPr>
            <w:t xml:space="preserve"> organisms from higher trophic levels (Physa, Lymnaea,</w:t>
          </w:r>
          <w:r w:rsidRPr="001D1B80">
            <w:rPr>
              <w:lang w:val="da-DK"/>
            </w:rPr>
            <w:t xml:space="preserve"> Gammarus, and</w:t>
          </w:r>
          <w:r w:rsidRPr="001D1B80">
            <w:rPr>
              <w:lang w:val="en-US"/>
            </w:rPr>
            <w:t xml:space="preserve"> Scardinius erythrophthalmus). After</w:t>
          </w:r>
          <w:r w:rsidRPr="001D1B80">
            <w:rPr>
              <w:lang w:val="cs-CZ"/>
            </w:rPr>
            <w:t xml:space="preserve"> an</w:t>
          </w:r>
          <w:r w:rsidRPr="001D1B80">
            <w:rPr>
              <w:lang w:val="ca-ES"/>
            </w:rPr>
            <w:t xml:space="preserve"> 8</w:t>
          </w:r>
          <w:r w:rsidRPr="001D1B80">
            <w:rPr>
              <w:lang w:val="en-US"/>
            </w:rPr>
            <w:t>-week mesocosm stabilization period,</w:t>
          </w:r>
          <w:r w:rsidRPr="001D1B80">
            <w:rPr>
              <w:lang w:val="sl-SI"/>
            </w:rPr>
            <w:t xml:space="preserve"> a</w:t>
          </w:r>
          <w:r w:rsidRPr="001D1B80">
            <w:rPr>
              <w:lang w:val="en-US"/>
            </w:rPr>
            <w:t xml:space="preserve"> full factorial</w:t>
          </w:r>
          <w:r w:rsidRPr="001D1B80">
            <w:rPr>
              <w:lang w:val="cs-CZ"/>
            </w:rPr>
            <w:t xml:space="preserve"> design</w:t>
          </w:r>
          <w:r w:rsidRPr="001D1B80">
            <w:rPr>
              <w:lang w:val="en-US"/>
            </w:rPr>
            <w:t xml:space="preserve"> based</w:t>
          </w:r>
          <w:r w:rsidRPr="001D1B80">
            <w:rPr>
              <w:lang w:val="sl-SI"/>
            </w:rPr>
            <w:t xml:space="preserve"> on</w:t>
          </w:r>
          <w:r w:rsidRPr="001D1B80">
            <w:rPr>
              <w:lang w:val="en-US"/>
            </w:rPr>
            <w:t xml:space="preserve"> the presence/absence of gallic acid</w:t>
          </w:r>
          <w:r w:rsidRPr="001D1B80">
            <w:rPr>
              <w:lang w:val="sl-SI"/>
            </w:rPr>
            <w:t xml:space="preserve"> (GA)</w:t>
          </w:r>
          <w:r w:rsidRPr="001D1B80">
            <w:rPr>
              <w:lang w:val="da-DK"/>
            </w:rPr>
            <w:t xml:space="preserve"> and</w:t>
          </w:r>
          <w:r w:rsidRPr="001D1B80">
            <w:rPr>
              <w:lang w:val="en-US"/>
            </w:rPr>
            <w:t xml:space="preserve"> nonanoic acid</w:t>
          </w:r>
          <w:r w:rsidRPr="001D1B80">
            <w:rPr>
              <w:lang w:val="sl-SI"/>
            </w:rPr>
            <w:t xml:space="preserve"> (NA)</w:t>
          </w:r>
          <w:r w:rsidRPr="001D1B80">
            <w:rPr>
              <w:lang w:val="en-US"/>
            </w:rPr>
            <w:t xml:space="preserve"> (including</w:t>
          </w:r>
          <w:r w:rsidRPr="001D1B80">
            <w:rPr>
              <w:lang w:val="sl-SI"/>
            </w:rPr>
            <w:t xml:space="preserve"> a</w:t>
          </w:r>
          <w:r w:rsidRPr="001D1B80">
            <w:rPr>
              <w:lang w:val="en-US"/>
            </w:rPr>
            <w:t xml:space="preserve"> control group) was implemented into the exposure</w:t>
          </w:r>
          <w:r w:rsidRPr="001D1B80">
            <w:rPr>
              <w:lang w:val="da-DK"/>
            </w:rPr>
            <w:t xml:space="preserve"> tanks.</w:t>
          </w:r>
          <w:r w:rsidRPr="001D1B80">
            <w:rPr>
              <w:lang w:val="en-US"/>
            </w:rPr>
            <w:t xml:space="preserve"> Regular monitoring of</w:t>
          </w:r>
          <w:r w:rsidRPr="001D1B80">
            <w:rPr>
              <w:lang w:val="sl-SI"/>
            </w:rPr>
            <w:t xml:space="preserve"> major</w:t>
          </w:r>
          <w:r w:rsidRPr="001D1B80">
            <w:rPr>
              <w:lang w:val="en-US"/>
            </w:rPr>
            <w:t xml:space="preserve"> phytoplankton</w:t>
          </w:r>
          <w:r w:rsidRPr="001D1B80">
            <w:rPr>
              <w:lang w:val="pt-BR"/>
            </w:rPr>
            <w:t xml:space="preserve"> taxa</w:t>
          </w:r>
          <w:r w:rsidRPr="001D1B80">
            <w:rPr>
              <w:lang w:val="en-US"/>
            </w:rPr>
            <w:t xml:space="preserve"> was conducted during</w:t>
          </w:r>
          <w:r w:rsidRPr="001D1B80">
            <w:rPr>
              <w:lang w:val="sl-SI"/>
            </w:rPr>
            <w:t xml:space="preserve"> a</w:t>
          </w:r>
          <w:r w:rsidRPr="001D1B80">
            <w:rPr>
              <w:lang w:val="ca-ES"/>
            </w:rPr>
            <w:t xml:space="preserve"> 28</w:t>
          </w:r>
          <w:r w:rsidRPr="001D1B80">
            <w:rPr>
              <w:lang w:val="en-US"/>
            </w:rPr>
            <w:t>-day</w:t>
          </w:r>
          <w:r w:rsidRPr="001D1B80">
            <w:rPr>
              <w:lang w:val="cs-CZ"/>
            </w:rPr>
            <w:t xml:space="preserve"> experiment</w:t>
          </w:r>
          <w:r w:rsidRPr="001D1B80">
            <w:rPr>
              <w:lang w:val="en-US"/>
            </w:rPr>
            <w:t xml:space="preserve"> using</w:t>
          </w:r>
          <w:r w:rsidRPr="001D1B80">
            <w:rPr>
              <w:lang w:val="cs-CZ"/>
            </w:rPr>
            <w:t xml:space="preserve"> an</w:t>
          </w:r>
          <w:r w:rsidRPr="001D1B80">
            <w:rPr>
              <w:lang w:val="pt-BR"/>
            </w:rPr>
            <w:t xml:space="preserve"> on-line</w:t>
          </w:r>
          <w:r w:rsidRPr="001D1B80">
            <w:rPr>
              <w:lang w:val="en-US"/>
            </w:rPr>
            <w:t xml:space="preserve"> fluorometer. The main results suggested that gallic acid was</w:t>
          </w:r>
          <w:r w:rsidRPr="001D1B80">
            <w:rPr>
              <w:lang w:val="sl-SI"/>
            </w:rPr>
            <w:t xml:space="preserve"> more</w:t>
          </w:r>
          <w:r w:rsidRPr="001D1B80">
            <w:rPr>
              <w:lang w:val="en-US"/>
            </w:rPr>
            <w:t xml:space="preserve"> efficient than nonanoic acid</w:t>
          </w:r>
          <w:r w:rsidRPr="001D1B80">
            <w:rPr>
              <w:lang w:val="da-DK"/>
            </w:rPr>
            <w:t xml:space="preserve"> at</w:t>
          </w:r>
          <w:r w:rsidRPr="001D1B80">
            <w:rPr>
              <w:lang w:val="en-US"/>
            </w:rPr>
            <w:t xml:space="preserve"> limiting cyanobacterial growth</w:t>
          </w:r>
          <w:r w:rsidRPr="001D1B80">
            <w:rPr>
              <w:lang w:val="da-DK"/>
            </w:rPr>
            <w:t xml:space="preserve"> at</w:t>
          </w:r>
          <w:r w:rsidRPr="001D1B80">
            <w:rPr>
              <w:lang w:val="en-US"/>
            </w:rPr>
            <w:t xml:space="preserve"> concentrations</w:t>
          </w:r>
          <w:r w:rsidRPr="001D1B80">
            <w:rPr>
              <w:lang w:val="sl-SI"/>
            </w:rPr>
            <w:t xml:space="preserve"> as</w:t>
          </w:r>
          <w:r w:rsidRPr="001D1B80">
            <w:rPr>
              <w:lang w:val="en-US"/>
            </w:rPr>
            <w:t xml:space="preserve"> low</w:t>
          </w:r>
          <w:r w:rsidRPr="001D1B80">
            <w:rPr>
              <w:lang w:val="sl-SI"/>
            </w:rPr>
            <w:t xml:space="preserve"> as</w:t>
          </w:r>
          <w:r w:rsidRPr="001D1B80">
            <w:rPr>
              <w:lang w:val="ca-ES"/>
            </w:rPr>
            <w:t xml:space="preserve"> 1</w:t>
          </w:r>
          <w:r w:rsidRPr="001D1B80">
            <w:rPr>
              <w:lang w:val="sl-SI"/>
            </w:rPr>
            <w:t xml:space="preserve"> mg</w:t>
          </w:r>
          <w:r w:rsidRPr="001D1B80">
            <w:rPr>
              <w:lang w:val="en-US"/>
            </w:rPr>
            <w:t xml:space="preserve"> L</w:t>
          </w:r>
          <w:r w:rsidRPr="001D1B80">
            <w:sym w:font="Symbol" w:char="F02D"/>
          </w:r>
          <w:r w:rsidRPr="001D1B80">
            <w:rPr>
              <w:lang w:val="en-US"/>
            </w:rPr>
            <w:t>1.</w:t>
          </w:r>
        </w:p>
      </w:sdtContent>
    </w:sdt>
    <w:p w:rsidR="00575F2F" w:rsidRPr="001D1B80" w:rsidRDefault="00575F2F" w:rsidP="001D1B80">
      <w:pPr>
        <w:jc w:val="both"/>
        <w:rPr>
          <w:rFonts w:ascii="Arial" w:hAnsi="Arial" w:cs="Arial"/>
          <w:lang w:val="en-US"/>
        </w:rPr>
        <w:sectPr w:rsidR="00575F2F" w:rsidRPr="001D1B80" w:rsidSect="00575F2F">
          <w:footerReference w:type="default" r:id="rId11"/>
          <w:pgSz w:w="11906" w:h="16838"/>
          <w:pgMar w:top="1417" w:right="1417" w:bottom="1417" w:left="1417" w:header="708" w:footer="708" w:gutter="0"/>
          <w:cols w:space="708"/>
          <w:docGrid w:linePitch="360"/>
        </w:sectPr>
      </w:pPr>
    </w:p>
    <w:p w:rsidR="00575F2F" w:rsidRPr="001D1B80" w:rsidRDefault="00575F2F" w:rsidP="001D1B80">
      <w:pPr>
        <w:pStyle w:val="TitrePartieArticle"/>
      </w:pPr>
      <w:r w:rsidRPr="001D1B80">
        <w:t>Introduction</w:t>
      </w:r>
      <w:r w:rsidR="00C25631" w:rsidRPr="001D1B80">
        <w:t xml:space="preserve"> </w:t>
      </w:r>
      <w:r w:rsidR="00C25631" w:rsidRPr="001D1B80">
        <w:tab/>
      </w:r>
    </w:p>
    <w:p w:rsidR="00D30BBA" w:rsidRPr="001D1B80" w:rsidRDefault="00D30BBA" w:rsidP="001D1B80">
      <w:pPr>
        <w:pStyle w:val="SousPartie"/>
        <w:sectPr w:rsidR="00D30BBA" w:rsidRPr="001D1B80" w:rsidSect="00026EEB">
          <w:type w:val="continuous"/>
          <w:pgSz w:w="11906" w:h="16838"/>
          <w:pgMar w:top="851" w:right="424" w:bottom="567" w:left="426" w:header="426" w:footer="397" w:gutter="0"/>
          <w:cols w:space="141"/>
          <w:docGrid w:linePitch="360"/>
        </w:sectPr>
      </w:pPr>
    </w:p>
    <w:sdt>
      <w:sdtPr>
        <w:id w:val="-631170697"/>
        <w:placeholder>
          <w:docPart w:val="77C85E07C7234CA3900A4803359D45D7"/>
        </w:placeholder>
      </w:sdtPr>
      <w:sdtEndPr/>
      <w:sdtContent>
        <w:p w:rsidR="003D6947" w:rsidRPr="001D1B80" w:rsidRDefault="003D6947" w:rsidP="001D1B80">
          <w:pPr>
            <w:pStyle w:val="Partie"/>
            <w:rPr>
              <w:lang w:val="en-US"/>
            </w:rPr>
          </w:pPr>
          <w:r w:rsidRPr="001D1B80">
            <w:rPr>
              <w:lang w:val="en-US"/>
            </w:rPr>
            <w:t>The increase</w:t>
          </w:r>
          <w:r w:rsidRPr="001D1B80">
            <w:rPr>
              <w:lang w:val="sl-SI"/>
            </w:rPr>
            <w:t xml:space="preserve"> in</w:t>
          </w:r>
          <w:r w:rsidRPr="001D1B80">
            <w:rPr>
              <w:lang w:val="en-US"/>
            </w:rPr>
            <w:t xml:space="preserve"> anthropogenic nutrient loading observed</w:t>
          </w:r>
          <w:r w:rsidRPr="001D1B80">
            <w:rPr>
              <w:lang w:val="sl-SI"/>
            </w:rPr>
            <w:t xml:space="preserve"> in</w:t>
          </w:r>
          <w:r w:rsidRPr="001D1B80">
            <w:rPr>
              <w:lang w:val="en-US"/>
            </w:rPr>
            <w:t xml:space="preserve"> many in</w:t>
          </w:r>
          <w:r w:rsidRPr="001D1B80">
            <w:rPr>
              <w:lang w:val="en-US"/>
            </w:rPr>
            <w:softHyphen/>
            <w:t>land aquatic ecosystems</w:t>
          </w:r>
          <w:r w:rsidRPr="001D1B80">
            <w:rPr>
              <w:lang w:val="da-DK"/>
            </w:rPr>
            <w:t xml:space="preserve"> over</w:t>
          </w:r>
          <w:r w:rsidRPr="001D1B80">
            <w:rPr>
              <w:lang w:val="en-US"/>
            </w:rPr>
            <w:t xml:space="preserve"> the</w:t>
          </w:r>
          <w:r w:rsidRPr="001D1B80">
            <w:rPr>
              <w:lang w:val="sl-SI"/>
            </w:rPr>
            <w:t xml:space="preserve"> past</w:t>
          </w:r>
          <w:r w:rsidRPr="001D1B80">
            <w:rPr>
              <w:lang w:val="en-US"/>
            </w:rPr>
            <w:t xml:space="preserve"> decades</w:t>
          </w:r>
          <w:r w:rsidRPr="001D1B80">
            <w:rPr>
              <w:lang w:val="cs-CZ"/>
            </w:rPr>
            <w:t xml:space="preserve"> has</w:t>
          </w:r>
          <w:r w:rsidRPr="001D1B80">
            <w:rPr>
              <w:lang w:val="en-US"/>
            </w:rPr>
            <w:t xml:space="preserve"> often</w:t>
          </w:r>
          <w:r w:rsidRPr="001D1B80">
            <w:rPr>
              <w:lang w:val="sl-SI"/>
            </w:rPr>
            <w:t xml:space="preserve"> led to</w:t>
          </w:r>
          <w:r w:rsidRPr="001D1B80">
            <w:rPr>
              <w:lang w:val="en-US"/>
            </w:rPr>
            <w:t xml:space="preserve"> cyanobacteria dominance</w:t>
          </w:r>
          <w:r w:rsidRPr="001D1B80">
            <w:rPr>
              <w:lang w:val="sl-SI"/>
            </w:rPr>
            <w:t xml:space="preserve"> in</w:t>
          </w:r>
          <w:r w:rsidRPr="001D1B80">
            <w:rPr>
              <w:lang w:val="en-US"/>
            </w:rPr>
            <w:t xml:space="preserve"> phytoplankton communities (Carpenter</w:t>
          </w:r>
          <w:r w:rsidRPr="001D1B80">
            <w:rPr>
              <w:lang w:val="pt-BR"/>
            </w:rPr>
            <w:t xml:space="preserve"> et</w:t>
          </w:r>
          <w:r w:rsidRPr="001D1B80">
            <w:rPr>
              <w:lang w:val="da-DK"/>
            </w:rPr>
            <w:t xml:space="preserve"> al.,</w:t>
          </w:r>
          <w:r w:rsidRPr="001D1B80">
            <w:rPr>
              <w:lang w:val="ca-ES"/>
            </w:rPr>
            <w:t xml:space="preserve"> 1998;</w:t>
          </w:r>
          <w:r w:rsidRPr="001D1B80">
            <w:rPr>
              <w:lang w:val="sl-SI"/>
            </w:rPr>
            <w:t xml:space="preserve"> Davis</w:t>
          </w:r>
          <w:r w:rsidRPr="001D1B80">
            <w:rPr>
              <w:lang w:val="pt-BR"/>
            </w:rPr>
            <w:t xml:space="preserve"> et</w:t>
          </w:r>
          <w:r w:rsidRPr="001D1B80">
            <w:rPr>
              <w:lang w:val="da-DK"/>
            </w:rPr>
            <w:t xml:space="preserve"> al.,</w:t>
          </w:r>
          <w:r w:rsidRPr="001D1B80">
            <w:rPr>
              <w:lang w:val="ca-ES"/>
            </w:rPr>
            <w:t xml:space="preserve"> 2009;</w:t>
          </w:r>
          <w:r w:rsidRPr="001D1B80">
            <w:rPr>
              <w:lang w:val="en-US"/>
            </w:rPr>
            <w:t xml:space="preserve"> Paerl</w:t>
          </w:r>
          <w:r w:rsidRPr="001D1B80">
            <w:rPr>
              <w:lang w:val="da-DK"/>
            </w:rPr>
            <w:t xml:space="preserve"> and</w:t>
          </w:r>
          <w:r w:rsidRPr="001D1B80">
            <w:rPr>
              <w:lang w:val="nl-NL"/>
            </w:rPr>
            <w:t xml:space="preserve"> Huisman,</w:t>
          </w:r>
          <w:r w:rsidRPr="001D1B80">
            <w:rPr>
              <w:lang w:val="ca-ES"/>
            </w:rPr>
            <w:t xml:space="preserve"> 2008).</w:t>
          </w:r>
          <w:r w:rsidRPr="001D1B80">
            <w:rPr>
              <w:lang w:val="sl-SI"/>
            </w:rPr>
            <w:t xml:space="preserve"> In</w:t>
          </w:r>
          <w:r w:rsidRPr="001D1B80">
            <w:rPr>
              <w:lang w:val="en-US"/>
            </w:rPr>
            <w:t xml:space="preserve"> spite of in</w:t>
          </w:r>
          <w:r w:rsidRPr="001D1B80">
            <w:rPr>
              <w:lang w:val="en-US"/>
            </w:rPr>
            <w:softHyphen/>
            <w:t>tegrated catchment</w:t>
          </w:r>
          <w:r w:rsidRPr="001D1B80">
            <w:rPr>
              <w:lang w:val="da-DK"/>
            </w:rPr>
            <w:t xml:space="preserve"> management</w:t>
          </w:r>
          <w:r w:rsidRPr="001D1B80">
            <w:rPr>
              <w:lang w:val="en-US"/>
            </w:rPr>
            <w:t xml:space="preserve"> strategies</w:t>
          </w:r>
          <w:r w:rsidRPr="001D1B80">
            <w:rPr>
              <w:lang w:val="sl-SI"/>
            </w:rPr>
            <w:t xml:space="preserve"> to</w:t>
          </w:r>
          <w:r w:rsidRPr="001D1B80">
            <w:rPr>
              <w:lang w:val="en-US"/>
            </w:rPr>
            <w:t xml:space="preserve"> reduce external nutrient loading, substantial internal nutrient loading</w:t>
          </w:r>
          <w:r w:rsidRPr="001D1B80">
            <w:rPr>
              <w:lang w:val="sl-SI"/>
            </w:rPr>
            <w:t xml:space="preserve"> in</w:t>
          </w:r>
          <w:r w:rsidRPr="001D1B80">
            <w:rPr>
              <w:lang w:val="en-US"/>
            </w:rPr>
            <w:t xml:space="preserve"> the</w:t>
          </w:r>
          <w:r w:rsidRPr="001D1B80">
            <w:rPr>
              <w:lang w:val="sl-SI"/>
            </w:rPr>
            <w:t xml:space="preserve"> form</w:t>
          </w:r>
          <w:r w:rsidRPr="001D1B80">
            <w:rPr>
              <w:lang w:val="en-US"/>
            </w:rPr>
            <w:t xml:space="preserve"> of phosphorus</w:t>
          </w:r>
          <w:r w:rsidRPr="001D1B80">
            <w:rPr>
              <w:lang w:val="da-DK"/>
            </w:rPr>
            <w:t xml:space="preserve"> and</w:t>
          </w:r>
          <w:r w:rsidRPr="001D1B80">
            <w:rPr>
              <w:lang w:val="en-US"/>
            </w:rPr>
            <w:t xml:space="preserve"> nitrogen</w:t>
          </w:r>
          <w:r w:rsidRPr="001D1B80">
            <w:rPr>
              <w:lang w:val="da-DK"/>
            </w:rPr>
            <w:t xml:space="preserve"> release</w:t>
          </w:r>
          <w:r w:rsidRPr="001D1B80">
            <w:rPr>
              <w:lang w:val="en-US"/>
            </w:rPr>
            <w:t xml:space="preserve"> especially from shallow lake sediments may also occur which can promote growth of toxicogenic cyanobacteria (Orihel</w:t>
          </w:r>
          <w:r w:rsidRPr="001D1B80">
            <w:rPr>
              <w:lang w:val="pt-BR"/>
            </w:rPr>
            <w:t xml:space="preserve"> et</w:t>
          </w:r>
          <w:r w:rsidRPr="001D1B80">
            <w:rPr>
              <w:lang w:val="da-DK"/>
            </w:rPr>
            <w:t xml:space="preserve"> al.,</w:t>
          </w:r>
          <w:r w:rsidRPr="001D1B80">
            <w:rPr>
              <w:lang w:val="ca-ES"/>
            </w:rPr>
            <w:t xml:space="preserve"> 2013;</w:t>
          </w:r>
          <w:r w:rsidRPr="001D1B80">
            <w:rPr>
              <w:lang w:val="da-DK"/>
            </w:rPr>
            <w:t xml:space="preserve"> Søndergaard</w:t>
          </w:r>
          <w:r w:rsidRPr="001D1B80">
            <w:rPr>
              <w:lang w:val="pt-BR"/>
            </w:rPr>
            <w:t xml:space="preserve"> et</w:t>
          </w:r>
          <w:r w:rsidRPr="001D1B80">
            <w:rPr>
              <w:lang w:val="da-DK"/>
            </w:rPr>
            <w:t xml:space="preserve"> al.,</w:t>
          </w:r>
          <w:r w:rsidRPr="001D1B80">
            <w:rPr>
              <w:lang w:val="ca-ES"/>
            </w:rPr>
            <w:t xml:space="preserve"> 2003).</w:t>
          </w:r>
          <w:r w:rsidRPr="001D1B80">
            <w:rPr>
              <w:lang w:val="en-US"/>
            </w:rPr>
            <w:t xml:space="preserve"> Several researchers</w:t>
          </w:r>
          <w:r w:rsidRPr="001D1B80">
            <w:rPr>
              <w:lang w:val="da-DK"/>
            </w:rPr>
            <w:t xml:space="preserve"> have</w:t>
          </w:r>
          <w:r w:rsidRPr="001D1B80">
            <w:rPr>
              <w:lang w:val="en-US"/>
            </w:rPr>
            <w:t xml:space="preserve"> further agreed that</w:t>
          </w:r>
          <w:r w:rsidRPr="001D1B80">
            <w:rPr>
              <w:lang w:val="pt-BR"/>
            </w:rPr>
            <w:t xml:space="preserve"> global</w:t>
          </w:r>
          <w:r w:rsidRPr="001D1B80">
            <w:rPr>
              <w:lang w:val="en-US"/>
            </w:rPr>
            <w:t xml:space="preserve"> warming could act</w:t>
          </w:r>
          <w:r w:rsidRPr="001D1B80">
            <w:rPr>
              <w:lang w:val="sl-SI"/>
            </w:rPr>
            <w:t xml:space="preserve"> as a</w:t>
          </w:r>
          <w:r w:rsidRPr="001D1B80">
            <w:rPr>
              <w:lang w:val="en-US"/>
            </w:rPr>
            <w:t xml:space="preserve"> catalyst</w:t>
          </w:r>
          <w:r w:rsidRPr="001D1B80">
            <w:rPr>
              <w:lang w:val="da-DK"/>
            </w:rPr>
            <w:t xml:space="preserve"> over</w:t>
          </w:r>
          <w:r w:rsidRPr="001D1B80">
            <w:rPr>
              <w:lang w:val="en-US"/>
            </w:rPr>
            <w:t xml:space="preserve"> the next few years</w:t>
          </w:r>
          <w:r w:rsidRPr="001D1B80">
            <w:rPr>
              <w:lang w:val="pt-BR"/>
            </w:rPr>
            <w:t xml:space="preserve"> for</w:t>
          </w:r>
          <w:r w:rsidRPr="001D1B80">
            <w:rPr>
              <w:lang w:val="en-US"/>
            </w:rPr>
            <w:t xml:space="preserve"> the occurrence of harmful algal blooms</w:t>
          </w:r>
          <w:r w:rsidRPr="001D1B80">
            <w:rPr>
              <w:lang w:val="sl-SI"/>
            </w:rPr>
            <w:t xml:space="preserve"> (Davis</w:t>
          </w:r>
          <w:r w:rsidRPr="001D1B80">
            <w:rPr>
              <w:lang w:val="pt-BR"/>
            </w:rPr>
            <w:t xml:space="preserve"> et</w:t>
          </w:r>
          <w:r w:rsidRPr="001D1B80">
            <w:rPr>
              <w:lang w:val="da-DK"/>
            </w:rPr>
            <w:t xml:space="preserve"> al.,</w:t>
          </w:r>
          <w:r w:rsidRPr="001D1B80">
            <w:rPr>
              <w:lang w:val="ca-ES"/>
            </w:rPr>
            <w:t xml:space="preserve"> 2009;</w:t>
          </w:r>
          <w:r w:rsidRPr="001D1B80">
            <w:rPr>
              <w:lang w:val="en-US"/>
            </w:rPr>
            <w:t xml:space="preserve"> Jöhnk</w:t>
          </w:r>
          <w:r w:rsidRPr="001D1B80">
            <w:rPr>
              <w:lang w:val="pt-BR"/>
            </w:rPr>
            <w:t xml:space="preserve"> et</w:t>
          </w:r>
          <w:r w:rsidRPr="001D1B80">
            <w:rPr>
              <w:lang w:val="da-DK"/>
            </w:rPr>
            <w:t xml:space="preserve"> al.,</w:t>
          </w:r>
          <w:r w:rsidRPr="001D1B80">
            <w:rPr>
              <w:lang w:val="ca-ES"/>
            </w:rPr>
            <w:t xml:space="preserve"> 2008;</w:t>
          </w:r>
          <w:r w:rsidRPr="001D1B80">
            <w:rPr>
              <w:lang w:val="en-US"/>
            </w:rPr>
            <w:t xml:space="preserve"> Paerl</w:t>
          </w:r>
          <w:r w:rsidRPr="001D1B80">
            <w:rPr>
              <w:lang w:val="da-DK"/>
            </w:rPr>
            <w:t xml:space="preserve"> and</w:t>
          </w:r>
          <w:r w:rsidRPr="001D1B80">
            <w:rPr>
              <w:lang w:val="nl-NL"/>
            </w:rPr>
            <w:t xml:space="preserve"> Huisman,</w:t>
          </w:r>
          <w:r w:rsidRPr="001D1B80">
            <w:rPr>
              <w:lang w:val="ca-ES"/>
            </w:rPr>
            <w:t xml:space="preserve"> 2008).</w:t>
          </w:r>
          <w:r w:rsidRPr="001D1B80">
            <w:rPr>
              <w:lang w:val="en-US"/>
            </w:rPr>
            <w:t xml:space="preserve"> Recently, there</w:t>
          </w:r>
          <w:r w:rsidRPr="001D1B80">
            <w:rPr>
              <w:lang w:val="cs-CZ"/>
            </w:rPr>
            <w:t xml:space="preserve"> has</w:t>
          </w:r>
          <w:r w:rsidRPr="001D1B80">
            <w:rPr>
              <w:lang w:val="en-US"/>
            </w:rPr>
            <w:t xml:space="preserve"> been renewed interest</w:t>
          </w:r>
          <w:r w:rsidRPr="001D1B80">
            <w:rPr>
              <w:lang w:val="sl-SI"/>
            </w:rPr>
            <w:t xml:space="preserve"> in</w:t>
          </w:r>
          <w:r w:rsidRPr="001D1B80">
            <w:rPr>
              <w:lang w:val="en-US"/>
            </w:rPr>
            <w:t xml:space="preserve"> using biologically derived substances</w:t>
          </w:r>
          <w:r w:rsidRPr="001D1B80">
            <w:rPr>
              <w:lang w:val="sv-SE"/>
            </w:rPr>
            <w:t xml:space="preserve"> (BDS)</w:t>
          </w:r>
          <w:r w:rsidRPr="001D1B80">
            <w:rPr>
              <w:lang w:val="en-US"/>
            </w:rPr>
            <w:t xml:space="preserve"> isolated either from aquatic</w:t>
          </w:r>
          <w:r w:rsidRPr="001D1B80">
            <w:rPr>
              <w:lang w:val="sl-SI"/>
            </w:rPr>
            <w:t xml:space="preserve"> or</w:t>
          </w:r>
          <w:r w:rsidRPr="001D1B80">
            <w:rPr>
              <w:lang w:val="en-US"/>
            </w:rPr>
            <w:t xml:space="preserve"> terrestrial microorganisms</w:t>
          </w:r>
          <w:r w:rsidRPr="001D1B80">
            <w:rPr>
              <w:lang w:val="da-DK"/>
            </w:rPr>
            <w:t xml:space="preserve"> and</w:t>
          </w:r>
          <w:r w:rsidRPr="001D1B80">
            <w:rPr>
              <w:lang w:val="en-US"/>
            </w:rPr>
            <w:t xml:space="preserve"> plants</w:t>
          </w:r>
          <w:r w:rsidRPr="001D1B80">
            <w:rPr>
              <w:lang w:val="sl-SI"/>
            </w:rPr>
            <w:t xml:space="preserve"> to</w:t>
          </w:r>
          <w:r w:rsidRPr="001D1B80">
            <w:rPr>
              <w:lang w:val="en-US"/>
            </w:rPr>
            <w:t xml:space="preserve"> remedi</w:t>
          </w:r>
          <w:r w:rsidRPr="001D1B80">
            <w:rPr>
              <w:lang w:val="en-US"/>
            </w:rPr>
            <w:softHyphen/>
            <w:t>ate cyanobacterial blooms</w:t>
          </w:r>
          <w:r w:rsidRPr="001D1B80">
            <w:rPr>
              <w:lang w:val="sl-SI"/>
            </w:rPr>
            <w:t xml:space="preserve"> in a </w:t>
          </w:r>
          <w:proofErr w:type="gramStart"/>
          <w:r w:rsidRPr="001D1B80">
            <w:rPr>
              <w:lang w:val="sl-SI"/>
            </w:rPr>
            <w:t>more</w:t>
          </w:r>
          <w:r w:rsidRPr="001D1B80">
            <w:rPr>
              <w:lang w:val="pt-BR"/>
            </w:rPr>
            <w:t xml:space="preserve"> eco</w:t>
          </w:r>
          <w:r w:rsidRPr="001D1B80">
            <w:rPr>
              <w:lang w:val="en-US"/>
            </w:rPr>
            <w:t>-friendly</w:t>
          </w:r>
          <w:proofErr w:type="gramEnd"/>
          <w:r w:rsidRPr="001D1B80">
            <w:rPr>
              <w:lang w:val="da-DK"/>
            </w:rPr>
            <w:t xml:space="preserve"> and</w:t>
          </w:r>
          <w:r w:rsidRPr="001D1B80">
            <w:rPr>
              <w:lang w:val="en-US"/>
            </w:rPr>
            <w:t xml:space="preserve"> less expensive way than </w:t>
          </w:r>
          <w:r w:rsidRPr="001D1B80">
            <w:rPr>
              <w:lang w:val="en-US"/>
            </w:rPr>
            <w:t>current physicochemical water treatment processes (Jančula</w:t>
          </w:r>
          <w:r w:rsidRPr="001D1B80">
            <w:rPr>
              <w:lang w:val="da-DK"/>
            </w:rPr>
            <w:t xml:space="preserve"> and</w:t>
          </w:r>
          <w:r w:rsidRPr="001D1B80">
            <w:rPr>
              <w:lang w:val="cs-CZ"/>
            </w:rPr>
            <w:t xml:space="preserve"> Maršálek,</w:t>
          </w:r>
          <w:r w:rsidRPr="001D1B80">
            <w:rPr>
              <w:lang w:val="ca-ES"/>
            </w:rPr>
            <w:t xml:space="preserve"> 2011;</w:t>
          </w:r>
          <w:r w:rsidRPr="001D1B80">
            <w:rPr>
              <w:lang w:val="en-US"/>
            </w:rPr>
            <w:t xml:space="preserve"> Shao</w:t>
          </w:r>
          <w:r w:rsidRPr="001D1B80">
            <w:rPr>
              <w:lang w:val="pt-BR"/>
            </w:rPr>
            <w:t xml:space="preserve"> et</w:t>
          </w:r>
          <w:r w:rsidRPr="001D1B80">
            <w:rPr>
              <w:lang w:val="da-DK"/>
            </w:rPr>
            <w:t xml:space="preserve"> al.,</w:t>
          </w:r>
          <w:r w:rsidRPr="001D1B80">
            <w:rPr>
              <w:lang w:val="ca-ES"/>
            </w:rPr>
            <w:t xml:space="preserve"> 2013).</w:t>
          </w:r>
          <w:r w:rsidRPr="001D1B80">
            <w:rPr>
              <w:lang w:val="en-US"/>
            </w:rPr>
            <w:t xml:space="preserve"> This</w:t>
          </w:r>
          <w:r w:rsidRPr="001D1B80">
            <w:rPr>
              <w:lang w:val="da-DK"/>
            </w:rPr>
            <w:t xml:space="preserve"> kind</w:t>
          </w:r>
          <w:r w:rsidRPr="001D1B80">
            <w:rPr>
              <w:lang w:val="en-US"/>
            </w:rPr>
            <w:t xml:space="preserve"> of biological</w:t>
          </w:r>
          <w:r w:rsidRPr="001D1B80">
            <w:rPr>
              <w:lang w:val="da-DK"/>
            </w:rPr>
            <w:t xml:space="preserve"> approach</w:t>
          </w:r>
          <w:r w:rsidRPr="001D1B80">
            <w:rPr>
              <w:lang w:val="en-US"/>
            </w:rPr>
            <w:t xml:space="preserve"> refers</w:t>
          </w:r>
          <w:r w:rsidRPr="001D1B80">
            <w:rPr>
              <w:lang w:val="sl-SI"/>
            </w:rPr>
            <w:t xml:space="preserve"> to</w:t>
          </w:r>
          <w:r w:rsidRPr="001D1B80">
            <w:rPr>
              <w:lang w:val="en-US"/>
            </w:rPr>
            <w:t xml:space="preserve"> “allelopathy” principles (Molisch,</w:t>
          </w:r>
          <w:r w:rsidRPr="001D1B80">
            <w:rPr>
              <w:lang w:val="ca-ES"/>
            </w:rPr>
            <w:t xml:space="preserve"> 1937).</w:t>
          </w:r>
          <w:r w:rsidRPr="001D1B80">
            <w:rPr>
              <w:lang w:val="en-US"/>
            </w:rPr>
            <w:t xml:space="preserve"> This</w:t>
          </w:r>
          <w:r w:rsidRPr="001D1B80">
            <w:rPr>
              <w:lang w:val="sl-SI"/>
            </w:rPr>
            <w:t xml:space="preserve"> term</w:t>
          </w:r>
          <w:r w:rsidRPr="001D1B80">
            <w:rPr>
              <w:lang w:val="en-US"/>
            </w:rPr>
            <w:t xml:space="preserve"> was coined</w:t>
          </w:r>
          <w:r w:rsidRPr="001D1B80">
            <w:rPr>
              <w:lang w:val="cs-CZ"/>
            </w:rPr>
            <w:t xml:space="preserve"> by</w:t>
          </w:r>
          <w:r w:rsidRPr="001D1B80">
            <w:rPr>
              <w:lang w:val="en-US"/>
            </w:rPr>
            <w:t xml:space="preserve"> Molisch</w:t>
          </w:r>
          <w:r w:rsidRPr="001D1B80">
            <w:rPr>
              <w:lang w:val="ca-ES"/>
            </w:rPr>
            <w:t xml:space="preserve"> (1937)</w:t>
          </w:r>
          <w:r w:rsidRPr="001D1B80">
            <w:rPr>
              <w:lang w:val="sl-SI"/>
            </w:rPr>
            <w:t xml:space="preserve"> to</w:t>
          </w:r>
          <w:r w:rsidRPr="001D1B80">
            <w:rPr>
              <w:lang w:val="en-US"/>
            </w:rPr>
            <w:t xml:space="preserve"> describe naturally occurring inhibitory</w:t>
          </w:r>
          <w:r w:rsidRPr="001D1B80">
            <w:rPr>
              <w:lang w:val="sl-SI"/>
            </w:rPr>
            <w:t xml:space="preserve"> or</w:t>
          </w:r>
          <w:r w:rsidRPr="001D1B80">
            <w:rPr>
              <w:lang w:val="en-US"/>
            </w:rPr>
            <w:t xml:space="preserve"> stimula</w:t>
          </w:r>
          <w:r w:rsidRPr="001D1B80">
            <w:rPr>
              <w:lang w:val="en-US"/>
            </w:rPr>
            <w:softHyphen/>
            <w:t>tory biochemical interactions among primary</w:t>
          </w:r>
          <w:r w:rsidRPr="001D1B80">
            <w:rPr>
              <w:lang w:val="da-DK"/>
            </w:rPr>
            <w:t xml:space="preserve"> producers</w:t>
          </w:r>
          <w:r w:rsidRPr="001D1B80">
            <w:rPr>
              <w:lang w:val="sl-SI"/>
            </w:rPr>
            <w:t xml:space="preserve"> or</w:t>
          </w:r>
          <w:r w:rsidRPr="001D1B80">
            <w:rPr>
              <w:lang w:val="en-US"/>
            </w:rPr>
            <w:t xml:space="preserve"> between pri</w:t>
          </w:r>
          <w:r w:rsidRPr="001D1B80">
            <w:rPr>
              <w:lang w:val="en-US"/>
            </w:rPr>
            <w:softHyphen/>
            <w:t>mary</w:t>
          </w:r>
          <w:r w:rsidRPr="001D1B80">
            <w:rPr>
              <w:lang w:val="da-DK"/>
            </w:rPr>
            <w:t xml:space="preserve"> producers and</w:t>
          </w:r>
          <w:r w:rsidRPr="001D1B80">
            <w:rPr>
              <w:lang w:val="en-US"/>
            </w:rPr>
            <w:t xml:space="preserve"> microorganisms</w:t>
          </w:r>
          <w:r w:rsidRPr="001D1B80">
            <w:rPr>
              <w:lang w:val="sl-SI"/>
            </w:rPr>
            <w:t xml:space="preserve"> (Gross,</w:t>
          </w:r>
          <w:r w:rsidRPr="001D1B80">
            <w:rPr>
              <w:lang w:val="ca-ES"/>
            </w:rPr>
            <w:t xml:space="preserve"> 1999).</w:t>
          </w:r>
          <w:r w:rsidRPr="001D1B80">
            <w:rPr>
              <w:lang w:val="en-US"/>
            </w:rPr>
            <w:t xml:space="preserve"> Allelopathic interactions occur through the</w:t>
          </w:r>
          <w:r w:rsidRPr="001D1B80">
            <w:rPr>
              <w:lang w:val="da-DK"/>
            </w:rPr>
            <w:t xml:space="preserve"> release</w:t>
          </w:r>
          <w:r w:rsidRPr="001D1B80">
            <w:rPr>
              <w:lang w:val="en-US"/>
            </w:rPr>
            <w:t xml:space="preserve"> of organic chemicals, i.e. allelochemicals (Whittaker</w:t>
          </w:r>
          <w:r w:rsidRPr="001D1B80">
            <w:rPr>
              <w:lang w:val="da-DK"/>
            </w:rPr>
            <w:t xml:space="preserve"> and</w:t>
          </w:r>
          <w:r w:rsidRPr="001D1B80">
            <w:rPr>
              <w:lang w:val="en-US"/>
            </w:rPr>
            <w:t xml:space="preserve"> Feeny,</w:t>
          </w:r>
          <w:r w:rsidRPr="001D1B80">
            <w:rPr>
              <w:lang w:val="ca-ES"/>
            </w:rPr>
            <w:t xml:space="preserve"> 1971;</w:t>
          </w:r>
          <w:r w:rsidRPr="001D1B80">
            <w:rPr>
              <w:lang w:val="en-US"/>
            </w:rPr>
            <w:t xml:space="preserve"> Rice,</w:t>
          </w:r>
          <w:r w:rsidRPr="001D1B80">
            <w:rPr>
              <w:lang w:val="ca-ES"/>
            </w:rPr>
            <w:t xml:space="preserve"> 1984),</w:t>
          </w:r>
          <w:r w:rsidRPr="001D1B80">
            <w:rPr>
              <w:lang w:val="sl-SI"/>
            </w:rPr>
            <w:t xml:space="preserve"> in</w:t>
          </w:r>
          <w:r w:rsidRPr="001D1B80">
            <w:rPr>
              <w:lang w:val="en-US"/>
            </w:rPr>
            <w:t xml:space="preserve"> the envi</w:t>
          </w:r>
          <w:r w:rsidRPr="001D1B80">
            <w:rPr>
              <w:lang w:val="en-US"/>
            </w:rPr>
            <w:softHyphen/>
            <w:t>ronment.</w:t>
          </w:r>
          <w:r w:rsidRPr="001D1B80">
            <w:rPr>
              <w:lang w:val="sl-SI"/>
            </w:rPr>
            <w:t xml:space="preserve"> In</w:t>
          </w:r>
          <w:r w:rsidRPr="001D1B80">
            <w:rPr>
              <w:lang w:val="da-DK"/>
            </w:rPr>
            <w:t xml:space="preserve"> recent</w:t>
          </w:r>
          <w:r w:rsidRPr="001D1B80">
            <w:rPr>
              <w:lang w:val="en-US"/>
            </w:rPr>
            <w:t xml:space="preserve"> decades, growing attention</w:t>
          </w:r>
          <w:r w:rsidRPr="001D1B80">
            <w:rPr>
              <w:lang w:val="cs-CZ"/>
            </w:rPr>
            <w:t xml:space="preserve"> has</w:t>
          </w:r>
          <w:r w:rsidRPr="001D1B80">
            <w:rPr>
              <w:lang w:val="en-US"/>
            </w:rPr>
            <w:t xml:space="preserve"> been paid</w:t>
          </w:r>
          <w:r w:rsidRPr="001D1B80">
            <w:rPr>
              <w:lang w:val="sl-SI"/>
            </w:rPr>
            <w:t xml:space="preserve"> to</w:t>
          </w:r>
          <w:r w:rsidRPr="001D1B80">
            <w:rPr>
              <w:lang w:val="en-US"/>
            </w:rPr>
            <w:t xml:space="preserve"> allelopathy</w:t>
          </w:r>
          <w:r w:rsidRPr="001D1B80">
            <w:rPr>
              <w:lang w:val="da-DK"/>
            </w:rPr>
            <w:t xml:space="preserve"> and</w:t>
          </w:r>
          <w:r w:rsidRPr="001D1B80">
            <w:rPr>
              <w:lang w:val="en-US"/>
            </w:rPr>
            <w:t xml:space="preserve"> its ecological significance both</w:t>
          </w:r>
          <w:r w:rsidRPr="001D1B80">
            <w:rPr>
              <w:lang w:val="sl-SI"/>
            </w:rPr>
            <w:t xml:space="preserve"> in</w:t>
          </w:r>
          <w:r w:rsidRPr="001D1B80">
            <w:rPr>
              <w:lang w:val="en-US"/>
            </w:rPr>
            <w:t xml:space="preserve"> terrestrial</w:t>
          </w:r>
          <w:r w:rsidRPr="001D1B80">
            <w:rPr>
              <w:lang w:val="da-DK"/>
            </w:rPr>
            <w:t xml:space="preserve"> and</w:t>
          </w:r>
          <w:r w:rsidRPr="001D1B80">
            <w:rPr>
              <w:lang w:val="en-US"/>
            </w:rPr>
            <w:t xml:space="preserve"> aquatic ecosystems. Empirical</w:t>
          </w:r>
          <w:r w:rsidRPr="001D1B80">
            <w:rPr>
              <w:lang w:val="sl-SI"/>
            </w:rPr>
            <w:t xml:space="preserve"> evidence</w:t>
          </w:r>
          <w:r w:rsidRPr="001D1B80">
            <w:rPr>
              <w:lang w:val="en-US"/>
            </w:rPr>
            <w:t xml:space="preserve"> of allelopathic interactions</w:t>
          </w:r>
          <w:r w:rsidRPr="001D1B80">
            <w:rPr>
              <w:lang w:val="cs-CZ"/>
            </w:rPr>
            <w:t xml:space="preserve"> has</w:t>
          </w:r>
          <w:r w:rsidRPr="001D1B80">
            <w:rPr>
              <w:lang w:val="en-US"/>
            </w:rPr>
            <w:t xml:space="preserve"> been re</w:t>
          </w:r>
          <w:r w:rsidRPr="001D1B80">
            <w:rPr>
              <w:lang w:val="en-US"/>
            </w:rPr>
            <w:softHyphen/>
            <w:t>ported</w:t>
          </w:r>
          <w:r w:rsidRPr="001D1B80">
            <w:rPr>
              <w:lang w:val="sl-SI"/>
            </w:rPr>
            <w:t xml:space="preserve"> in</w:t>
          </w:r>
          <w:r w:rsidRPr="001D1B80">
            <w:rPr>
              <w:lang w:val="en-US"/>
            </w:rPr>
            <w:t xml:space="preserve"> terrestrial</w:t>
          </w:r>
          <w:r w:rsidRPr="001D1B80">
            <w:rPr>
              <w:lang w:val="da-DK"/>
            </w:rPr>
            <w:t xml:space="preserve"> plant</w:t>
          </w:r>
          <w:r w:rsidRPr="001D1B80">
            <w:rPr>
              <w:lang w:val="en-US"/>
            </w:rPr>
            <w:t xml:space="preserve"> community structures</w:t>
          </w:r>
          <w:r w:rsidRPr="001D1B80">
            <w:rPr>
              <w:lang w:val="da-DK"/>
            </w:rPr>
            <w:t xml:space="preserve"> (and</w:t>
          </w:r>
          <w:r w:rsidRPr="001D1B80">
            <w:rPr>
              <w:lang w:val="en-US"/>
            </w:rPr>
            <w:t xml:space="preserve"> dynamics)</w:t>
          </w:r>
          <w:r w:rsidRPr="001D1B80">
            <w:rPr>
              <w:lang w:val="sl-SI"/>
            </w:rPr>
            <w:t xml:space="preserve"> as</w:t>
          </w:r>
          <w:r w:rsidRPr="001D1B80">
            <w:rPr>
              <w:lang w:val="en-US"/>
            </w:rPr>
            <w:t xml:space="preserve"> well</w:t>
          </w:r>
          <w:r w:rsidRPr="001D1B80">
            <w:rPr>
              <w:lang w:val="sl-SI"/>
            </w:rPr>
            <w:t xml:space="preserve"> as in</w:t>
          </w:r>
          <w:r w:rsidRPr="001D1B80">
            <w:rPr>
              <w:lang w:val="en-US"/>
            </w:rPr>
            <w:t xml:space="preserve"> aquatic autotroph communities of freshwater</w:t>
          </w:r>
          <w:r w:rsidRPr="001D1B80">
            <w:rPr>
              <w:lang w:val="da-DK"/>
            </w:rPr>
            <w:t xml:space="preserve"> and</w:t>
          </w:r>
          <w:r w:rsidRPr="001D1B80">
            <w:rPr>
              <w:lang w:val="sl-SI"/>
            </w:rPr>
            <w:t xml:space="preserve"> marine</w:t>
          </w:r>
          <w:r w:rsidRPr="001D1B80">
            <w:rPr>
              <w:lang w:val="en-US"/>
            </w:rPr>
            <w:t xml:space="preserve"> habitats</w:t>
          </w:r>
          <w:r w:rsidRPr="001D1B80">
            <w:rPr>
              <w:lang w:val="sl-SI"/>
            </w:rPr>
            <w:t xml:space="preserve"> (Gross,</w:t>
          </w:r>
          <w:r w:rsidRPr="001D1B80">
            <w:rPr>
              <w:lang w:val="ca-ES"/>
            </w:rPr>
            <w:t xml:space="preserve"> 2003;</w:t>
          </w:r>
          <w:r w:rsidRPr="001D1B80">
            <w:rPr>
              <w:lang w:val="en-US"/>
            </w:rPr>
            <w:t xml:space="preserve"> Sotomayor</w:t>
          </w:r>
          <w:r w:rsidRPr="001D1B80">
            <w:rPr>
              <w:lang w:val="da-DK"/>
            </w:rPr>
            <w:t xml:space="preserve"> and</w:t>
          </w:r>
          <w:r w:rsidRPr="001D1B80">
            <w:rPr>
              <w:lang w:val="en-US"/>
            </w:rPr>
            <w:t xml:space="preserve"> Lortie,</w:t>
          </w:r>
          <w:r w:rsidRPr="001D1B80">
            <w:rPr>
              <w:lang w:val="ca-ES"/>
            </w:rPr>
            <w:t xml:space="preserve"> 2012).</w:t>
          </w:r>
          <w:r w:rsidRPr="001D1B80">
            <w:rPr>
              <w:lang w:val="da-DK"/>
            </w:rPr>
            <w:t xml:space="preserve"> Recent studies</w:t>
          </w:r>
          <w:r w:rsidRPr="001D1B80">
            <w:rPr>
              <w:lang w:val="en-US"/>
            </w:rPr>
            <w:t xml:space="preserve"> focusing</w:t>
          </w:r>
          <w:r w:rsidRPr="001D1B80">
            <w:rPr>
              <w:lang w:val="sl-SI"/>
            </w:rPr>
            <w:t xml:space="preserve"> on</w:t>
          </w:r>
          <w:r w:rsidRPr="001D1B80">
            <w:rPr>
              <w:lang w:val="en-US"/>
            </w:rPr>
            <w:t xml:space="preserve"> the</w:t>
          </w:r>
          <w:r w:rsidRPr="001D1B80">
            <w:rPr>
              <w:lang w:val="sl-SI"/>
            </w:rPr>
            <w:t xml:space="preserve"> role</w:t>
          </w:r>
          <w:r w:rsidRPr="001D1B80">
            <w:rPr>
              <w:lang w:val="en-US"/>
            </w:rPr>
            <w:t xml:space="preserve"> of allelopathy</w:t>
          </w:r>
          <w:r w:rsidRPr="001D1B80">
            <w:rPr>
              <w:lang w:val="sl-SI"/>
            </w:rPr>
            <w:t xml:space="preserve"> in</w:t>
          </w:r>
          <w:r w:rsidRPr="001D1B80">
            <w:rPr>
              <w:lang w:val="en-US"/>
            </w:rPr>
            <w:t xml:space="preserve"> cyanobacteria clearly suggested that cyanotoxins such</w:t>
          </w:r>
          <w:r w:rsidRPr="001D1B80">
            <w:rPr>
              <w:lang w:val="sl-SI"/>
            </w:rPr>
            <w:t xml:space="preserve"> as</w:t>
          </w:r>
          <w:r w:rsidRPr="001D1B80">
            <w:rPr>
              <w:lang w:val="en-US"/>
            </w:rPr>
            <w:t xml:space="preserve"> widespread</w:t>
          </w:r>
          <w:r w:rsidRPr="001D1B80">
            <w:rPr>
              <w:lang w:val="da-DK"/>
            </w:rPr>
            <w:t xml:space="preserve"> and</w:t>
          </w:r>
          <w:r w:rsidRPr="001D1B80">
            <w:rPr>
              <w:lang w:val="en-US"/>
            </w:rPr>
            <w:t xml:space="preserve"> well-studied </w:t>
          </w:r>
          <w:r w:rsidRPr="001D1B80">
            <w:rPr>
              <w:lang w:val="en-US"/>
            </w:rPr>
            <w:lastRenderedPageBreak/>
            <w:t>cylindrospermopsin could</w:t>
          </w:r>
          <w:r w:rsidRPr="001D1B80">
            <w:rPr>
              <w:lang w:val="da-DK"/>
            </w:rPr>
            <w:t xml:space="preserve"> have</w:t>
          </w:r>
          <w:r w:rsidRPr="001D1B80">
            <w:rPr>
              <w:lang w:val="en-US"/>
            </w:rPr>
            <w:t xml:space="preserve"> allelopathic action</w:t>
          </w:r>
          <w:r w:rsidRPr="001D1B80">
            <w:rPr>
              <w:lang w:val="sl-SI"/>
            </w:rPr>
            <w:t xml:space="preserve"> in</w:t>
          </w:r>
          <w:r w:rsidRPr="001D1B80">
            <w:rPr>
              <w:lang w:val="en-US"/>
            </w:rPr>
            <w:t xml:space="preserve"> sympatric phytoplankton</w:t>
          </w:r>
          <w:r w:rsidRPr="001D1B80">
            <w:rPr>
              <w:lang w:val="pl-PL"/>
            </w:rPr>
            <w:t xml:space="preserve"> (Rzymski</w:t>
          </w:r>
          <w:r w:rsidRPr="001D1B80">
            <w:rPr>
              <w:lang w:val="da-DK"/>
            </w:rPr>
            <w:t xml:space="preserve"> and</w:t>
          </w:r>
          <w:r w:rsidRPr="001D1B80">
            <w:rPr>
              <w:lang w:val="en-US"/>
            </w:rPr>
            <w:t xml:space="preserve"> Poniedzialek,</w:t>
          </w:r>
          <w:r w:rsidRPr="001D1B80">
            <w:rPr>
              <w:lang w:val="ca-ES"/>
            </w:rPr>
            <w:t xml:space="preserve"> 2014).</w:t>
          </w:r>
          <w:r w:rsidRPr="001D1B80">
            <w:rPr>
              <w:lang w:val="en-US"/>
            </w:rPr>
            <w:t xml:space="preserve"> From</w:t>
          </w:r>
          <w:r w:rsidRPr="001D1B80">
            <w:rPr>
              <w:lang w:val="cs-CZ"/>
            </w:rPr>
            <w:t xml:space="preserve"> an</w:t>
          </w:r>
          <w:r w:rsidRPr="001D1B80">
            <w:rPr>
              <w:lang w:val="en-US"/>
            </w:rPr>
            <w:t xml:space="preserve"> evolutionary viewpoint, such</w:t>
          </w:r>
          <w:r w:rsidRPr="001D1B80">
            <w:rPr>
              <w:lang w:val="sl-SI"/>
            </w:rPr>
            <w:t xml:space="preserve"> a</w:t>
          </w:r>
          <w:r w:rsidRPr="001D1B80">
            <w:rPr>
              <w:lang w:val="en-US"/>
            </w:rPr>
            <w:t xml:space="preserve"> biological</w:t>
          </w:r>
          <w:r w:rsidRPr="001D1B80">
            <w:rPr>
              <w:lang w:val="sl-SI"/>
            </w:rPr>
            <w:t xml:space="preserve"> role</w:t>
          </w:r>
          <w:r w:rsidRPr="001D1B80">
            <w:rPr>
              <w:lang w:val="en-US"/>
            </w:rPr>
            <w:t xml:space="preserve"> would be</w:t>
          </w:r>
          <w:r w:rsidRPr="001D1B80">
            <w:rPr>
              <w:lang w:val="sl-SI"/>
            </w:rPr>
            <w:t xml:space="preserve"> a</w:t>
          </w:r>
          <w:r w:rsidRPr="001D1B80">
            <w:rPr>
              <w:lang w:val="en-US"/>
            </w:rPr>
            <w:t xml:space="preserve"> beneficial trait allowing</w:t>
          </w:r>
          <w:r w:rsidRPr="001D1B80">
            <w:rPr>
              <w:lang w:val="pt-BR"/>
            </w:rPr>
            <w:t xml:space="preserve"> for</w:t>
          </w:r>
          <w:r w:rsidRPr="001D1B80">
            <w:rPr>
              <w:lang w:val="en-US"/>
            </w:rPr>
            <w:t xml:space="preserve"> the dominance</w:t>
          </w:r>
          <w:r w:rsidRPr="001D1B80">
            <w:rPr>
              <w:lang w:val="da-DK"/>
            </w:rPr>
            <w:t xml:space="preserve"> and</w:t>
          </w:r>
          <w:r w:rsidRPr="001D1B80">
            <w:rPr>
              <w:lang w:val="en-US"/>
            </w:rPr>
            <w:t xml:space="preserve"> rapid expansion of several cylindrospermopsin-producing cyanobacterial</w:t>
          </w:r>
          <w:r w:rsidRPr="001D1B80">
            <w:rPr>
              <w:lang w:val="da-DK"/>
            </w:rPr>
            <w:t xml:space="preserve"> species,</w:t>
          </w:r>
          <w:r w:rsidRPr="001D1B80">
            <w:rPr>
              <w:lang w:val="en-US"/>
            </w:rPr>
            <w:t xml:space="preserve"> particularly those belonging</w:t>
          </w:r>
          <w:r w:rsidRPr="001D1B80">
            <w:rPr>
              <w:lang w:val="sl-SI"/>
            </w:rPr>
            <w:t xml:space="preserve"> to</w:t>
          </w:r>
          <w:r w:rsidRPr="001D1B80">
            <w:rPr>
              <w:lang w:val="en-US"/>
            </w:rPr>
            <w:t xml:space="preserve"> the Nostocales such</w:t>
          </w:r>
          <w:r w:rsidRPr="001D1B80">
            <w:rPr>
              <w:lang w:val="sl-SI"/>
            </w:rPr>
            <w:t xml:space="preserve"> as</w:t>
          </w:r>
          <w:r w:rsidRPr="001D1B80">
            <w:rPr>
              <w:lang w:val="en-US"/>
            </w:rPr>
            <w:t xml:space="preserve"> Cylindrospermopsis raciborskii</w:t>
          </w:r>
          <w:r w:rsidRPr="001D1B80">
            <w:rPr>
              <w:lang w:val="sl-SI"/>
            </w:rPr>
            <w:t xml:space="preserve"> or</w:t>
          </w:r>
          <w:r w:rsidRPr="001D1B80">
            <w:rPr>
              <w:lang w:val="en-US"/>
            </w:rPr>
            <w:t xml:space="preserve"> Aphanizomenon ovalisporum (Sukenik</w:t>
          </w:r>
          <w:r w:rsidRPr="001D1B80">
            <w:rPr>
              <w:lang w:val="pt-BR"/>
            </w:rPr>
            <w:t xml:space="preserve"> et</w:t>
          </w:r>
          <w:r w:rsidRPr="001D1B80">
            <w:rPr>
              <w:lang w:val="da-DK"/>
            </w:rPr>
            <w:t xml:space="preserve"> al.,</w:t>
          </w:r>
          <w:r w:rsidRPr="001D1B80">
            <w:rPr>
              <w:lang w:val="ca-ES"/>
            </w:rPr>
            <w:t xml:space="preserve"> 2012).</w:t>
          </w:r>
        </w:p>
        <w:p w:rsidR="003D6947" w:rsidRPr="001D1B80" w:rsidRDefault="003D6947" w:rsidP="001D1B80">
          <w:pPr>
            <w:pStyle w:val="Partie"/>
            <w:rPr>
              <w:lang w:val="en-US"/>
            </w:rPr>
          </w:pPr>
          <w:r w:rsidRPr="001D1B80">
            <w:rPr>
              <w:lang w:val="en-US"/>
            </w:rPr>
            <w:t>Numerous</w:t>
          </w:r>
          <w:r w:rsidRPr="001D1B80">
            <w:rPr>
              <w:lang w:val="da-DK"/>
            </w:rPr>
            <w:t xml:space="preserve"> studies</w:t>
          </w:r>
          <w:r w:rsidRPr="001D1B80">
            <w:rPr>
              <w:lang w:val="sl-SI"/>
            </w:rPr>
            <w:t xml:space="preserve"> in</w:t>
          </w:r>
          <w:r w:rsidRPr="001D1B80">
            <w:rPr>
              <w:lang w:val="en-US"/>
            </w:rPr>
            <w:t xml:space="preserve"> sustainable agriculture</w:t>
          </w:r>
          <w:r w:rsidRPr="001D1B80">
            <w:rPr>
              <w:lang w:val="da-DK"/>
            </w:rPr>
            <w:t xml:space="preserve"> and</w:t>
          </w:r>
          <w:r w:rsidRPr="001D1B80">
            <w:rPr>
              <w:lang w:val="en-US"/>
            </w:rPr>
            <w:t xml:space="preserve"> forestry currently deal with allelopathic interactions</w:t>
          </w:r>
          <w:r w:rsidRPr="001D1B80">
            <w:rPr>
              <w:lang w:val="sl-SI"/>
            </w:rPr>
            <w:t xml:space="preserve"> or</w:t>
          </w:r>
          <w:r w:rsidRPr="001D1B80">
            <w:rPr>
              <w:lang w:val="en-US"/>
            </w:rPr>
            <w:t xml:space="preserve"> the use of</w:t>
          </w:r>
          <w:r w:rsidRPr="001D1B80">
            <w:rPr>
              <w:lang w:val="sl-SI"/>
            </w:rPr>
            <w:t xml:space="preserve"> pure</w:t>
          </w:r>
          <w:r w:rsidRPr="001D1B80">
            <w:rPr>
              <w:lang w:val="en-US"/>
            </w:rPr>
            <w:t xml:space="preserve"> allelochemicals</w:t>
          </w:r>
          <w:r w:rsidRPr="001D1B80">
            <w:rPr>
              <w:lang w:val="sl-SI"/>
            </w:rPr>
            <w:t xml:space="preserve"> as</w:t>
          </w:r>
          <w:r w:rsidRPr="001D1B80">
            <w:rPr>
              <w:lang w:val="pt-BR"/>
            </w:rPr>
            <w:t xml:space="preserve"> eco</w:t>
          </w:r>
          <w:r w:rsidRPr="001D1B80">
            <w:rPr>
              <w:lang w:val="en-US"/>
            </w:rPr>
            <w:t>-friendly growth</w:t>
          </w:r>
          <w:r w:rsidRPr="001D1B80">
            <w:rPr>
              <w:lang w:val="da-DK"/>
            </w:rPr>
            <w:t xml:space="preserve"> regulators</w:t>
          </w:r>
          <w:r w:rsidRPr="001D1B80">
            <w:rPr>
              <w:lang w:val="sl-SI"/>
            </w:rPr>
            <w:t xml:space="preserve"> or</w:t>
          </w:r>
          <w:r w:rsidRPr="001D1B80">
            <w:rPr>
              <w:lang w:val="en-US"/>
            </w:rPr>
            <w:t xml:space="preserve"> herbicides (Sotomayor</w:t>
          </w:r>
          <w:r w:rsidRPr="001D1B80">
            <w:rPr>
              <w:lang w:val="da-DK"/>
            </w:rPr>
            <w:t xml:space="preserve"> and</w:t>
          </w:r>
          <w:r w:rsidRPr="001D1B80">
            <w:rPr>
              <w:lang w:val="en-US"/>
            </w:rPr>
            <w:t xml:space="preserve"> Lortie,</w:t>
          </w:r>
          <w:r w:rsidRPr="001D1B80">
            <w:rPr>
              <w:lang w:val="ca-ES"/>
            </w:rPr>
            <w:t xml:space="preserve"> 2012).</w:t>
          </w:r>
          <w:r w:rsidRPr="001D1B80">
            <w:rPr>
              <w:lang w:val="sl-SI"/>
            </w:rPr>
            <w:t xml:space="preserve"> In</w:t>
          </w:r>
          <w:r w:rsidRPr="001D1B80">
            <w:rPr>
              <w:lang w:val="en-US"/>
            </w:rPr>
            <w:t xml:space="preserve"> the aquatic environment,</w:t>
          </w:r>
          <w:r w:rsidRPr="001D1B80">
            <w:rPr>
              <w:lang w:val="sl-SI"/>
            </w:rPr>
            <w:t xml:space="preserve"> one</w:t>
          </w:r>
          <w:r w:rsidRPr="001D1B80">
            <w:rPr>
              <w:lang w:val="en-US"/>
            </w:rPr>
            <w:t xml:space="preserve"> of the</w:t>
          </w:r>
          <w:r w:rsidRPr="001D1B80">
            <w:rPr>
              <w:lang w:val="sl-SI"/>
            </w:rPr>
            <w:t xml:space="preserve"> major</w:t>
          </w:r>
          <w:r w:rsidRPr="001D1B80">
            <w:rPr>
              <w:lang w:val="en-US"/>
            </w:rPr>
            <w:t xml:space="preserve"> advantages of using allelochemicals against detrimental algae,</w:t>
          </w:r>
          <w:r w:rsidRPr="001D1B80">
            <w:rPr>
              <w:lang w:val="da-DK"/>
            </w:rPr>
            <w:t xml:space="preserve"> and</w:t>
          </w:r>
          <w:r w:rsidRPr="001D1B80">
            <w:rPr>
              <w:lang w:val="en-US"/>
            </w:rPr>
            <w:t xml:space="preserve"> particularly cyanobacterial</w:t>
          </w:r>
          <w:r w:rsidRPr="001D1B80">
            <w:rPr>
              <w:lang w:val="da-DK"/>
            </w:rPr>
            <w:t xml:space="preserve"> species,</w:t>
          </w:r>
          <w:r w:rsidRPr="001D1B80">
            <w:rPr>
              <w:lang w:val="en-US"/>
            </w:rPr>
            <w:t xml:space="preserve"> relies</w:t>
          </w:r>
          <w:r w:rsidRPr="001D1B80">
            <w:rPr>
              <w:lang w:val="sl-SI"/>
            </w:rPr>
            <w:t xml:space="preserve"> on</w:t>
          </w:r>
          <w:r w:rsidRPr="001D1B80">
            <w:rPr>
              <w:lang w:val="en-US"/>
            </w:rPr>
            <w:t xml:space="preserve"> the fact that these compounds</w:t>
          </w:r>
          <w:r w:rsidRPr="001D1B80">
            <w:rPr>
              <w:lang w:val="sl-SI"/>
            </w:rPr>
            <w:t xml:space="preserve"> are not</w:t>
          </w:r>
          <w:r w:rsidRPr="001D1B80">
            <w:rPr>
              <w:lang w:val="en-US"/>
            </w:rPr>
            <w:t xml:space="preserve"> usually persistent. Moreover, allelochemicals</w:t>
          </w:r>
          <w:r w:rsidRPr="001D1B80">
            <w:rPr>
              <w:lang w:val="da-DK"/>
            </w:rPr>
            <w:t xml:space="preserve"> have</w:t>
          </w:r>
          <w:r w:rsidRPr="001D1B80">
            <w:rPr>
              <w:lang w:val="en-US"/>
            </w:rPr>
            <w:t xml:space="preserve"> lower ecotoxicity po</w:t>
          </w:r>
          <w:r w:rsidRPr="001D1B80">
            <w:rPr>
              <w:lang w:val="en-US"/>
            </w:rPr>
            <w:softHyphen/>
            <w:t>tential than former algaecides derived from</w:t>
          </w:r>
          <w:r w:rsidRPr="001D1B80">
            <w:rPr>
              <w:lang w:val="sl-SI"/>
            </w:rPr>
            <w:t xml:space="preserve"> metal</w:t>
          </w:r>
          <w:r w:rsidRPr="001D1B80">
            <w:rPr>
              <w:lang w:val="en-US"/>
            </w:rPr>
            <w:t xml:space="preserve"> ions (e.g., aluminum, copper</w:t>
          </w:r>
          <w:r w:rsidRPr="001D1B80">
            <w:rPr>
              <w:lang w:val="sl-SI"/>
            </w:rPr>
            <w:t xml:space="preserve"> sulfate) or</w:t>
          </w:r>
          <w:r w:rsidRPr="001D1B80">
            <w:rPr>
              <w:lang w:val="en-US"/>
            </w:rPr>
            <w:t xml:space="preserve"> organochlorine herbicides (e.g., diuron)</w:t>
          </w:r>
          <w:r w:rsidRPr="001D1B80">
            <w:rPr>
              <w:lang w:val="da-DK"/>
            </w:rPr>
            <w:t xml:space="preserve"> and</w:t>
          </w:r>
          <w:r w:rsidRPr="001D1B80">
            <w:rPr>
              <w:lang w:val="en-US"/>
            </w:rPr>
            <w:t xml:space="preserve"> they</w:t>
          </w:r>
          <w:r w:rsidRPr="001D1B80">
            <w:rPr>
              <w:lang w:val="sl-SI"/>
            </w:rPr>
            <w:t xml:space="preserve"> are</w:t>
          </w:r>
          <w:r w:rsidRPr="001D1B80">
            <w:rPr>
              <w:lang w:val="en-US"/>
            </w:rPr>
            <w:t xml:space="preserve"> also energy-independent treatment systems (Jančula</w:t>
          </w:r>
          <w:r w:rsidRPr="001D1B80">
            <w:rPr>
              <w:lang w:val="da-DK"/>
            </w:rPr>
            <w:t xml:space="preserve"> and</w:t>
          </w:r>
          <w:r w:rsidRPr="001D1B80">
            <w:rPr>
              <w:lang w:val="cs-CZ"/>
            </w:rPr>
            <w:t xml:space="preserve"> Maršálek,</w:t>
          </w:r>
          <w:r w:rsidRPr="001D1B80">
            <w:rPr>
              <w:lang w:val="ca-ES"/>
            </w:rPr>
            <w:t xml:space="preserve"> 2011;</w:t>
          </w:r>
          <w:r w:rsidRPr="001D1B80">
            <w:rPr>
              <w:lang w:val="en-US"/>
            </w:rPr>
            <w:t xml:space="preserve"> Shao</w:t>
          </w:r>
          <w:r w:rsidRPr="001D1B80">
            <w:rPr>
              <w:lang w:val="pt-BR"/>
            </w:rPr>
            <w:t xml:space="preserve"> et</w:t>
          </w:r>
          <w:r w:rsidRPr="001D1B80">
            <w:rPr>
              <w:lang w:val="da-DK"/>
            </w:rPr>
            <w:t xml:space="preserve"> al.,</w:t>
          </w:r>
          <w:r w:rsidRPr="001D1B80">
            <w:rPr>
              <w:lang w:val="ca-ES"/>
            </w:rPr>
            <w:t xml:space="preserve"> 2013).</w:t>
          </w:r>
          <w:r w:rsidRPr="001D1B80">
            <w:rPr>
              <w:lang w:val="en-US"/>
            </w:rPr>
            <w:t xml:space="preserve"> Gallic acid (CAS</w:t>
          </w:r>
          <w:r w:rsidRPr="001D1B80">
            <w:rPr>
              <w:lang w:val="ca-ES"/>
            </w:rPr>
            <w:t xml:space="preserve"> 149-91-7)</w:t>
          </w:r>
          <w:r w:rsidRPr="001D1B80">
            <w:rPr>
              <w:lang w:val="da-DK"/>
            </w:rPr>
            <w:t xml:space="preserve"> and</w:t>
          </w:r>
          <w:r w:rsidRPr="001D1B80">
            <w:rPr>
              <w:lang w:val="en-US"/>
            </w:rPr>
            <w:t xml:space="preserve"> nonanoic acid (CAS</w:t>
          </w:r>
          <w:r w:rsidRPr="001D1B80">
            <w:rPr>
              <w:lang w:val="ca-ES"/>
            </w:rPr>
            <w:t xml:space="preserve"> 112-05-0)</w:t>
          </w:r>
          <w:r w:rsidRPr="001D1B80">
            <w:rPr>
              <w:lang w:val="en-US"/>
            </w:rPr>
            <w:t xml:space="preserve"> especially appear</w:t>
          </w:r>
          <w:r w:rsidRPr="001D1B80">
            <w:rPr>
              <w:lang w:val="sl-SI"/>
            </w:rPr>
            <w:t xml:space="preserve"> as</w:t>
          </w:r>
          <w:r w:rsidRPr="001D1B80">
            <w:rPr>
              <w:lang w:val="en-US"/>
            </w:rPr>
            <w:t xml:space="preserve"> promising</w:t>
          </w:r>
          <w:r w:rsidRPr="001D1B80">
            <w:rPr>
              <w:lang w:val="sv-SE"/>
            </w:rPr>
            <w:t xml:space="preserve"> BDS</w:t>
          </w:r>
          <w:r w:rsidRPr="001D1B80">
            <w:rPr>
              <w:lang w:val="pt-BR"/>
            </w:rPr>
            <w:t xml:space="preserve"> for</w:t>
          </w:r>
          <w:r w:rsidRPr="001D1B80">
            <w:rPr>
              <w:lang w:val="en-US"/>
            </w:rPr>
            <w:t xml:space="preserve"> allelopathic treatments against cyanobacterial proliferation. Both compounds, orig</w:t>
          </w:r>
          <w:r w:rsidRPr="001D1B80">
            <w:rPr>
              <w:lang w:val="en-US"/>
            </w:rPr>
            <w:softHyphen/>
            <w:t>inally isolated from Myriophyllum aquaticum</w:t>
          </w:r>
          <w:r w:rsidRPr="001D1B80">
            <w:rPr>
              <w:lang w:val="da-DK"/>
            </w:rPr>
            <w:t xml:space="preserve"> and</w:t>
          </w:r>
          <w:r w:rsidRPr="001D1B80">
            <w:rPr>
              <w:lang w:val="en-US"/>
            </w:rPr>
            <w:t xml:space="preserve"> Myriophyllum spicatum,</w:t>
          </w:r>
          <w:r w:rsidRPr="001D1B80">
            <w:rPr>
              <w:lang w:val="da-DK"/>
            </w:rPr>
            <w:t xml:space="preserve"> have</w:t>
          </w:r>
          <w:r w:rsidRPr="001D1B80">
            <w:rPr>
              <w:lang w:val="en-US"/>
            </w:rPr>
            <w:t xml:space="preserve"> actually been shown</w:t>
          </w:r>
          <w:r w:rsidRPr="001D1B80">
            <w:rPr>
              <w:lang w:val="sl-SI"/>
            </w:rPr>
            <w:t xml:space="preserve"> to</w:t>
          </w:r>
          <w:r w:rsidRPr="001D1B80">
            <w:rPr>
              <w:lang w:val="da-DK"/>
            </w:rPr>
            <w:t xml:space="preserve"> have</w:t>
          </w:r>
          <w:r w:rsidRPr="001D1B80">
            <w:rPr>
              <w:lang w:val="sl-SI"/>
            </w:rPr>
            <w:t xml:space="preserve"> a</w:t>
          </w:r>
          <w:r w:rsidRPr="001D1B80">
            <w:rPr>
              <w:lang w:val="en-US"/>
            </w:rPr>
            <w:t xml:space="preserve"> growth inhibitory effect</w:t>
          </w:r>
          <w:r w:rsidRPr="001D1B80">
            <w:rPr>
              <w:lang w:val="da-DK"/>
            </w:rPr>
            <w:t xml:space="preserve"> at</w:t>
          </w:r>
          <w:r w:rsidRPr="001D1B80">
            <w:rPr>
              <w:lang w:val="en-US"/>
            </w:rPr>
            <w:t xml:space="preserve"> low concentrations towards Microcystis</w:t>
          </w:r>
          <w:r w:rsidRPr="001D1B80">
            <w:rPr>
              <w:lang w:val="pt-BR"/>
            </w:rPr>
            <w:t xml:space="preserve"> aeruginosa,</w:t>
          </w:r>
          <w:r w:rsidRPr="001D1B80">
            <w:rPr>
              <w:lang w:val="sl-SI"/>
            </w:rPr>
            <w:t xml:space="preserve"> one</w:t>
          </w:r>
          <w:r w:rsidRPr="001D1B80">
            <w:rPr>
              <w:lang w:val="en-US"/>
            </w:rPr>
            <w:t xml:space="preserve"> of the</w:t>
          </w:r>
          <w:r w:rsidRPr="001D1B80">
            <w:rPr>
              <w:lang w:val="sl-SI"/>
            </w:rPr>
            <w:t xml:space="preserve"> most</w:t>
          </w:r>
          <w:r w:rsidRPr="001D1B80">
            <w:rPr>
              <w:lang w:val="en-US"/>
            </w:rPr>
            <w:t xml:space="preserve"> common toxic bloom-forming </w:t>
          </w:r>
          <w:proofErr w:type="gramStart"/>
          <w:r w:rsidRPr="001D1B80">
            <w:rPr>
              <w:lang w:val="en-US"/>
            </w:rPr>
            <w:t>cyanobacterium</w:t>
          </w:r>
          <w:proofErr w:type="gramEnd"/>
          <w:r w:rsidRPr="001D1B80">
            <w:rPr>
              <w:lang w:val="en-US"/>
            </w:rPr>
            <w:t xml:space="preserve"> (Nakai</w:t>
          </w:r>
          <w:r w:rsidRPr="001D1B80">
            <w:rPr>
              <w:lang w:val="pt-BR"/>
            </w:rPr>
            <w:t xml:space="preserve"> et</w:t>
          </w:r>
          <w:r w:rsidRPr="001D1B80">
            <w:rPr>
              <w:lang w:val="da-DK"/>
            </w:rPr>
            <w:t xml:space="preserve"> al.,</w:t>
          </w:r>
          <w:r w:rsidRPr="001D1B80">
            <w:rPr>
              <w:lang w:val="ca-ES"/>
            </w:rPr>
            <w:t xml:space="preserve"> 2000, 2005;</w:t>
          </w:r>
          <w:r w:rsidRPr="001D1B80">
            <w:rPr>
              <w:lang w:val="en-US"/>
            </w:rPr>
            <w:t xml:space="preserve"> Saito</w:t>
          </w:r>
          <w:r w:rsidRPr="001D1B80">
            <w:rPr>
              <w:lang w:val="pt-BR"/>
            </w:rPr>
            <w:t xml:space="preserve"> et</w:t>
          </w:r>
          <w:r w:rsidRPr="001D1B80">
            <w:rPr>
              <w:lang w:val="da-DK"/>
            </w:rPr>
            <w:t xml:space="preserve"> al.,</w:t>
          </w:r>
          <w:r w:rsidRPr="001D1B80">
            <w:rPr>
              <w:lang w:val="ca-ES"/>
            </w:rPr>
            <w:t xml:space="preserve"> 1989).</w:t>
          </w:r>
          <w:r w:rsidRPr="001D1B80">
            <w:rPr>
              <w:lang w:val="sl-SI"/>
            </w:rPr>
            <w:t xml:space="preserve"> As a</w:t>
          </w:r>
          <w:r w:rsidRPr="001D1B80">
            <w:rPr>
              <w:lang w:val="da-DK"/>
            </w:rPr>
            <w:t xml:space="preserve"> matter</w:t>
          </w:r>
          <w:r w:rsidRPr="001D1B80">
            <w:rPr>
              <w:lang w:val="en-US"/>
            </w:rPr>
            <w:t xml:space="preserve"> of fact, the effective concentration of gallic acid leading</w:t>
          </w:r>
          <w:r w:rsidRPr="001D1B80">
            <w:rPr>
              <w:lang w:val="sl-SI"/>
            </w:rPr>
            <w:t xml:space="preserve"> to</w:t>
          </w:r>
          <w:r w:rsidRPr="001D1B80">
            <w:rPr>
              <w:lang w:val="ca-ES"/>
            </w:rPr>
            <w:t xml:space="preserve"> 50%</w:t>
          </w:r>
          <w:r w:rsidRPr="001D1B80">
            <w:rPr>
              <w:lang w:val="en-US"/>
            </w:rPr>
            <w:t xml:space="preserve"> algae growth inhibition (EC50) was reported</w:t>
          </w:r>
          <w:r w:rsidRPr="001D1B80">
            <w:rPr>
              <w:lang w:val="sl-SI"/>
            </w:rPr>
            <w:t xml:space="preserve"> to</w:t>
          </w:r>
          <w:r w:rsidRPr="001D1B80">
            <w:rPr>
              <w:lang w:val="en-US"/>
            </w:rPr>
            <w:t xml:space="preserve"> be of</w:t>
          </w:r>
          <w:r w:rsidRPr="001D1B80">
            <w:rPr>
              <w:lang w:val="ca-ES"/>
            </w:rPr>
            <w:t xml:space="preserve"> 1.0</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sl-SI"/>
            </w:rPr>
            <w:t xml:space="preserve"> on</w:t>
          </w:r>
          <w:r w:rsidRPr="001D1B80">
            <w:rPr>
              <w:lang w:val="en-US"/>
            </w:rPr>
            <w:t xml:space="preserve"> average</w:t>
          </w:r>
          <w:r w:rsidRPr="001D1B80">
            <w:rPr>
              <w:lang w:val="pt-BR"/>
            </w:rPr>
            <w:t xml:space="preserve"> for</w:t>
          </w:r>
          <w:r w:rsidRPr="001D1B80">
            <w:rPr>
              <w:lang w:val="sl-SI"/>
            </w:rPr>
            <w:t xml:space="preserve"> M.</w:t>
          </w:r>
          <w:r w:rsidRPr="001D1B80">
            <w:rPr>
              <w:lang w:val="pt-BR"/>
            </w:rPr>
            <w:t xml:space="preserve"> aeruginosa</w:t>
          </w:r>
          <w:r w:rsidRPr="001D1B80">
            <w:rPr>
              <w:lang w:val="nl-NL"/>
            </w:rPr>
            <w:t xml:space="preserve"> NIES</w:t>
          </w:r>
          <w:r w:rsidRPr="001D1B80">
            <w:rPr>
              <w:lang w:val="ca-ES"/>
            </w:rPr>
            <w:t>-87</w:t>
          </w:r>
          <w:r w:rsidRPr="001D1B80">
            <w:rPr>
              <w:lang w:val="en-US"/>
            </w:rPr>
            <w:t xml:space="preserve"> strain (Nakai</w:t>
          </w:r>
          <w:r w:rsidRPr="001D1B80">
            <w:rPr>
              <w:lang w:val="pt-BR"/>
            </w:rPr>
            <w:t xml:space="preserve"> et</w:t>
          </w:r>
          <w:r w:rsidRPr="001D1B80">
            <w:rPr>
              <w:lang w:val="da-DK"/>
            </w:rPr>
            <w:t xml:space="preserve"> al.,</w:t>
          </w:r>
          <w:r w:rsidRPr="001D1B80">
            <w:rPr>
              <w:lang w:val="ca-ES"/>
            </w:rPr>
            <w:t xml:space="preserve"> 2000).</w:t>
          </w:r>
          <w:r w:rsidRPr="001D1B80">
            <w:rPr>
              <w:lang w:val="pt-BR"/>
            </w:rPr>
            <w:t xml:space="preserve"> For</w:t>
          </w:r>
          <w:r w:rsidRPr="001D1B80">
            <w:rPr>
              <w:lang w:val="en-US"/>
            </w:rPr>
            <w:t xml:space="preserve"> nonanoic acid,</w:t>
          </w:r>
          <w:r w:rsidRPr="001D1B80">
            <w:rPr>
              <w:lang w:val="sl-SI"/>
            </w:rPr>
            <w:t xml:space="preserve"> a</w:t>
          </w:r>
          <w:r w:rsidRPr="001D1B80">
            <w:rPr>
              <w:lang w:val="en-US"/>
            </w:rPr>
            <w:t xml:space="preserve"> slightly stronger growth inhibitory ef</w:t>
          </w:r>
          <w:r w:rsidRPr="001D1B80">
            <w:rPr>
              <w:lang w:val="en-US"/>
            </w:rPr>
            <w:softHyphen/>
            <w:t>fect than that of gallic acid was reported</w:t>
          </w:r>
          <w:r w:rsidRPr="001D1B80">
            <w:rPr>
              <w:lang w:val="cs-CZ"/>
            </w:rPr>
            <w:t xml:space="preserve"> by</w:t>
          </w:r>
          <w:r w:rsidRPr="001D1B80">
            <w:rPr>
              <w:lang w:val="en-US"/>
            </w:rPr>
            <w:t xml:space="preserve"> Nakai</w:t>
          </w:r>
          <w:r w:rsidRPr="001D1B80">
            <w:rPr>
              <w:lang w:val="pt-BR"/>
            </w:rPr>
            <w:t xml:space="preserve"> et</w:t>
          </w:r>
          <w:r w:rsidRPr="001D1B80">
            <w:rPr>
              <w:lang w:val="da-DK"/>
            </w:rPr>
            <w:t xml:space="preserve"> al.</w:t>
          </w:r>
          <w:r w:rsidRPr="001D1B80">
            <w:rPr>
              <w:lang w:val="ca-ES"/>
            </w:rPr>
            <w:t xml:space="preserve"> (2005)</w:t>
          </w:r>
          <w:r w:rsidRPr="001D1B80">
            <w:rPr>
              <w:lang w:val="en-US"/>
            </w:rPr>
            <w:t xml:space="preserve"> towards</w:t>
          </w:r>
          <w:r w:rsidRPr="001D1B80">
            <w:rPr>
              <w:lang w:val="sl-SI"/>
            </w:rPr>
            <w:t xml:space="preserve"> M.</w:t>
          </w:r>
          <w:r w:rsidRPr="001D1B80">
            <w:rPr>
              <w:lang w:val="pt-BR"/>
            </w:rPr>
            <w:t xml:space="preserve"> aeruginosa</w:t>
          </w:r>
          <w:r w:rsidRPr="001D1B80">
            <w:rPr>
              <w:lang w:val="nl-NL"/>
            </w:rPr>
            <w:t xml:space="preserve"> (NIES</w:t>
          </w:r>
          <w:r w:rsidRPr="001D1B80">
            <w:rPr>
              <w:lang w:val="ca-ES"/>
            </w:rPr>
            <w:t>-87)</w:t>
          </w:r>
          <w:r w:rsidRPr="001D1B80">
            <w:rPr>
              <w:lang w:val="en-US"/>
            </w:rPr>
            <w:t xml:space="preserve"> with</w:t>
          </w:r>
          <w:r w:rsidRPr="001D1B80">
            <w:rPr>
              <w:lang w:val="cs-CZ"/>
            </w:rPr>
            <w:t xml:space="preserve"> an</w:t>
          </w:r>
          <w:r w:rsidRPr="001D1B80">
            <w:rPr>
              <w:lang w:val="en-US"/>
            </w:rPr>
            <w:t xml:space="preserve"> EC50 of</w:t>
          </w:r>
          <w:r w:rsidRPr="001D1B80">
            <w:rPr>
              <w:lang w:val="ca-ES"/>
            </w:rPr>
            <w:t xml:space="preserve"> 0.5</w:t>
          </w:r>
          <w:r w:rsidRPr="001D1B80">
            <w:rPr>
              <w:lang w:val="en-US"/>
            </w:rPr>
            <w:t xml:space="preserve"> ±</w:t>
          </w:r>
          <w:r w:rsidRPr="001D1B80">
            <w:rPr>
              <w:lang w:val="ca-ES"/>
            </w:rPr>
            <w:t xml:space="preserve"> 0.3</w:t>
          </w:r>
          <w:r w:rsidRPr="001D1B80">
            <w:rPr>
              <w:lang w:val="sl-SI"/>
            </w:rPr>
            <w:t xml:space="preserve"> mg</w:t>
          </w:r>
          <w:r w:rsidRPr="001D1B80">
            <w:rPr>
              <w:lang w:val="en-US"/>
            </w:rPr>
            <w:t xml:space="preserve"> L</w:t>
          </w:r>
          <w:r w:rsidRPr="001D1B80">
            <w:rPr>
              <w:lang w:val="en-US"/>
            </w:rPr>
            <w:sym w:font="Symbol" w:char="F02D"/>
          </w:r>
          <w:r w:rsidRPr="001D1B80">
            <w:rPr>
              <w:lang w:val="en-US"/>
            </w:rPr>
            <w:t>1. Additionally,</w:t>
          </w:r>
          <w:r w:rsidRPr="001D1B80">
            <w:rPr>
              <w:lang w:val="sl-SI"/>
            </w:rPr>
            <w:t xml:space="preserve"> in</w:t>
          </w:r>
          <w:r w:rsidRPr="001D1B80">
            <w:rPr>
              <w:lang w:val="en-US"/>
            </w:rPr>
            <w:t xml:space="preserve"> the view of field application, nonanoic acid would be of particular in</w:t>
          </w:r>
          <w:r w:rsidRPr="001D1B80">
            <w:rPr>
              <w:lang w:val="en-US"/>
            </w:rPr>
            <w:softHyphen/>
            <w:t>terest since it</w:t>
          </w:r>
          <w:r w:rsidRPr="001D1B80">
            <w:rPr>
              <w:lang w:val="pt-BR"/>
            </w:rPr>
            <w:t xml:space="preserve"> is</w:t>
          </w:r>
          <w:r w:rsidRPr="001D1B80">
            <w:rPr>
              <w:lang w:val="sl-SI"/>
            </w:rPr>
            <w:t xml:space="preserve"> a</w:t>
          </w:r>
          <w:r w:rsidRPr="001D1B80">
            <w:rPr>
              <w:lang w:val="en-US"/>
            </w:rPr>
            <w:t xml:space="preserve"> “huge production</w:t>
          </w:r>
          <w:r w:rsidRPr="001D1B80">
            <w:rPr>
              <w:lang w:val="pt-BR"/>
            </w:rPr>
            <w:t xml:space="preserve"> volume”</w:t>
          </w:r>
          <w:r w:rsidRPr="001D1B80">
            <w:rPr>
              <w:lang w:val="en-US"/>
            </w:rPr>
            <w:t xml:space="preserve"> (HPV) chemical which</w:t>
          </w:r>
          <w:r w:rsidRPr="001D1B80">
            <w:rPr>
              <w:lang w:val="pt-BR"/>
            </w:rPr>
            <w:t xml:space="preserve"> is</w:t>
          </w:r>
          <w:r w:rsidRPr="001D1B80">
            <w:rPr>
              <w:lang w:val="en-US"/>
            </w:rPr>
            <w:t xml:space="preserve"> also available</w:t>
          </w:r>
          <w:r w:rsidRPr="001D1B80">
            <w:rPr>
              <w:lang w:val="da-DK"/>
            </w:rPr>
            <w:t xml:space="preserve"> at</w:t>
          </w:r>
          <w:r w:rsidRPr="001D1B80">
            <w:rPr>
              <w:lang w:val="en-US"/>
            </w:rPr>
            <w:t xml:space="preserve"> highly competitive prices (TOXNET,</w:t>
          </w:r>
          <w:r w:rsidRPr="001D1B80">
            <w:rPr>
              <w:lang w:val="ca-ES"/>
            </w:rPr>
            <w:t xml:space="preserve"> 2008).</w:t>
          </w:r>
        </w:p>
        <w:p w:rsidR="005C60EF" w:rsidRPr="001D1B80" w:rsidRDefault="003D6947" w:rsidP="001D1B80">
          <w:pPr>
            <w:pStyle w:val="Partie"/>
            <w:rPr>
              <w:lang w:val="en-US"/>
            </w:rPr>
          </w:pPr>
          <w:r w:rsidRPr="001D1B80">
            <w:rPr>
              <w:lang w:val="en-US"/>
            </w:rPr>
            <w:t>This study sought</w:t>
          </w:r>
          <w:r w:rsidRPr="001D1B80">
            <w:rPr>
              <w:lang w:val="sl-SI"/>
            </w:rPr>
            <w:t xml:space="preserve"> to</w:t>
          </w:r>
          <w:r w:rsidRPr="001D1B80">
            <w:rPr>
              <w:lang w:val="en-US"/>
            </w:rPr>
            <w:t xml:space="preserve"> address the specific issue of gallic</w:t>
          </w:r>
          <w:r w:rsidRPr="001D1B80">
            <w:rPr>
              <w:lang w:val="da-DK"/>
            </w:rPr>
            <w:t xml:space="preserve"> and</w:t>
          </w:r>
          <w:r w:rsidRPr="001D1B80">
            <w:rPr>
              <w:lang w:val="en-US"/>
            </w:rPr>
            <w:t xml:space="preserve"> nonanoic acid use</w:t>
          </w:r>
          <w:r w:rsidRPr="001D1B80">
            <w:rPr>
              <w:lang w:val="sl-SI"/>
            </w:rPr>
            <w:t xml:space="preserve"> in</w:t>
          </w:r>
          <w:r w:rsidRPr="001D1B80">
            <w:rPr>
              <w:lang w:val="en-US"/>
            </w:rPr>
            <w:t xml:space="preserve"> order</w:t>
          </w:r>
          <w:r w:rsidRPr="001D1B80">
            <w:rPr>
              <w:lang w:val="sl-SI"/>
            </w:rPr>
            <w:t xml:space="preserve"> to</w:t>
          </w:r>
          <w:r w:rsidRPr="001D1B80">
            <w:rPr>
              <w:lang w:val="en-US"/>
            </w:rPr>
            <w:t xml:space="preserve"> inhibit growth of cyanobacteria</w:t>
          </w:r>
          <w:r w:rsidRPr="001D1B80">
            <w:rPr>
              <w:lang w:val="da-DK"/>
            </w:rPr>
            <w:t xml:space="preserve"> </w:t>
          </w:r>
          <w:r w:rsidRPr="001D1B80">
            <w:rPr>
              <w:lang w:val="da-DK"/>
            </w:rPr>
            <w:t>at</w:t>
          </w:r>
          <w:r w:rsidRPr="001D1B80">
            <w:rPr>
              <w:lang w:val="en-US"/>
            </w:rPr>
            <w:t xml:space="preserve"> their early stages of proliferation. Indeed,</w:t>
          </w:r>
          <w:r w:rsidRPr="001D1B80">
            <w:rPr>
              <w:lang w:val="pt-BR"/>
            </w:rPr>
            <w:t xml:space="preserve"> for</w:t>
          </w:r>
          <w:r w:rsidRPr="001D1B80">
            <w:rPr>
              <w:lang w:val="da-DK"/>
            </w:rPr>
            <w:t xml:space="preserve"> pond and</w:t>
          </w:r>
          <w:r w:rsidRPr="001D1B80">
            <w:rPr>
              <w:lang w:val="en-US"/>
            </w:rPr>
            <w:t xml:space="preserve"> freshwater quality</w:t>
          </w:r>
          <w:r w:rsidRPr="001D1B80">
            <w:rPr>
              <w:lang w:val="da-DK"/>
            </w:rPr>
            <w:t xml:space="preserve"> management</w:t>
          </w:r>
          <w:r w:rsidRPr="001D1B80">
            <w:rPr>
              <w:lang w:val="en-US"/>
            </w:rPr>
            <w:t xml:space="preserve"> purposes, several authors agree that</w:t>
          </w:r>
          <w:r w:rsidRPr="001D1B80">
            <w:rPr>
              <w:lang w:val="sl-SI"/>
            </w:rPr>
            <w:t xml:space="preserve"> one</w:t>
          </w:r>
          <w:r w:rsidRPr="001D1B80">
            <w:rPr>
              <w:lang w:val="en-US"/>
            </w:rPr>
            <w:t xml:space="preserve"> of the</w:t>
          </w:r>
          <w:r w:rsidRPr="001D1B80">
            <w:rPr>
              <w:lang w:val="sl-SI"/>
            </w:rPr>
            <w:t xml:space="preserve"> most</w:t>
          </w:r>
          <w:r w:rsidRPr="001D1B80">
            <w:rPr>
              <w:lang w:val="en-US"/>
            </w:rPr>
            <w:t xml:space="preserve"> promising ap</w:t>
          </w:r>
          <w:r w:rsidRPr="001D1B80">
            <w:rPr>
              <w:lang w:val="en-US"/>
            </w:rPr>
            <w:softHyphen/>
            <w:t>proaches</w:t>
          </w:r>
          <w:r w:rsidRPr="001D1B80">
            <w:rPr>
              <w:lang w:val="sl-SI"/>
            </w:rPr>
            <w:t xml:space="preserve"> to</w:t>
          </w:r>
          <w:r w:rsidRPr="001D1B80">
            <w:rPr>
              <w:lang w:val="en-US"/>
            </w:rPr>
            <w:t xml:space="preserve"> circumvent blue-green algae blooms would rely</w:t>
          </w:r>
          <w:r w:rsidRPr="001D1B80">
            <w:rPr>
              <w:lang w:val="sl-SI"/>
            </w:rPr>
            <w:t xml:space="preserve"> on</w:t>
          </w:r>
          <w:r w:rsidRPr="001D1B80">
            <w:rPr>
              <w:lang w:val="sv-SE"/>
            </w:rPr>
            <w:t xml:space="preserve"> BDS</w:t>
          </w:r>
          <w:r w:rsidRPr="001D1B80">
            <w:rPr>
              <w:lang w:val="en-US"/>
            </w:rPr>
            <w:t xml:space="preserve"> application before massive cell growth (Shao</w:t>
          </w:r>
          <w:r w:rsidRPr="001D1B80">
            <w:rPr>
              <w:lang w:val="pt-BR"/>
            </w:rPr>
            <w:t xml:space="preserve"> et</w:t>
          </w:r>
          <w:r w:rsidRPr="001D1B80">
            <w:rPr>
              <w:lang w:val="da-DK"/>
            </w:rPr>
            <w:t xml:space="preserve"> al.,</w:t>
          </w:r>
          <w:r w:rsidRPr="001D1B80">
            <w:rPr>
              <w:lang w:val="ca-ES"/>
            </w:rPr>
            <w:t xml:space="preserve"> 2013).</w:t>
          </w:r>
          <w:r w:rsidRPr="001D1B80">
            <w:rPr>
              <w:lang w:val="en-US"/>
            </w:rPr>
            <w:t xml:space="preserve"> Besides, allelochemical activity may largely vary depending</w:t>
          </w:r>
          <w:r w:rsidRPr="001D1B80">
            <w:rPr>
              <w:lang w:val="sl-SI"/>
            </w:rPr>
            <w:t xml:space="preserve"> on</w:t>
          </w:r>
          <w:r w:rsidRPr="001D1B80">
            <w:rPr>
              <w:lang w:val="en-US"/>
            </w:rPr>
            <w:t xml:space="preserve"> laboratory vs en</w:t>
          </w:r>
          <w:r w:rsidRPr="001D1B80">
            <w:rPr>
              <w:lang w:val="en-US"/>
            </w:rPr>
            <w:softHyphen/>
            <w:t>vironmental conditions (Laue</w:t>
          </w:r>
          <w:r w:rsidRPr="001D1B80">
            <w:rPr>
              <w:lang w:val="pt-BR"/>
            </w:rPr>
            <w:t xml:space="preserve"> et</w:t>
          </w:r>
          <w:r w:rsidRPr="001D1B80">
            <w:rPr>
              <w:lang w:val="da-DK"/>
            </w:rPr>
            <w:t xml:space="preserve"> al.,</w:t>
          </w:r>
          <w:r w:rsidRPr="001D1B80">
            <w:rPr>
              <w:lang w:val="ca-ES"/>
            </w:rPr>
            <w:t xml:space="preserve"> 2014;</w:t>
          </w:r>
          <w:r w:rsidRPr="001D1B80">
            <w:rPr>
              <w:lang w:val="en-US"/>
            </w:rPr>
            <w:t xml:space="preserve"> Shao</w:t>
          </w:r>
          <w:r w:rsidRPr="001D1B80">
            <w:rPr>
              <w:lang w:val="pt-BR"/>
            </w:rPr>
            <w:t xml:space="preserve"> et</w:t>
          </w:r>
          <w:r w:rsidRPr="001D1B80">
            <w:rPr>
              <w:lang w:val="da-DK"/>
            </w:rPr>
            <w:t xml:space="preserve"> al.,</w:t>
          </w:r>
          <w:r w:rsidRPr="001D1B80">
            <w:rPr>
              <w:lang w:val="ca-ES"/>
            </w:rPr>
            <w:t xml:space="preserve"> 2013).</w:t>
          </w:r>
          <w:r w:rsidRPr="001D1B80">
            <w:rPr>
              <w:lang w:val="en-US"/>
            </w:rPr>
            <w:t xml:space="preserve"> Thus, the objectives were twofold:</w:t>
          </w:r>
          <w:r w:rsidRPr="001D1B80">
            <w:rPr>
              <w:lang w:val="sl-SI"/>
            </w:rPr>
            <w:t xml:space="preserve"> (i) to</w:t>
          </w:r>
          <w:r w:rsidRPr="001D1B80">
            <w:rPr>
              <w:lang w:val="da-DK"/>
            </w:rPr>
            <w:t xml:space="preserve"> screen</w:t>
          </w:r>
          <w:r w:rsidRPr="001D1B80">
            <w:rPr>
              <w:lang w:val="en-US"/>
            </w:rPr>
            <w:t xml:space="preserve"> broadly potential dose-dependent</w:t>
          </w:r>
          <w:r w:rsidRPr="001D1B80">
            <w:rPr>
              <w:lang w:val="sl-SI"/>
            </w:rPr>
            <w:t xml:space="preserve"> (or</w:t>
          </w:r>
          <w:r w:rsidRPr="001D1B80">
            <w:rPr>
              <w:lang w:val="en-US"/>
            </w:rPr>
            <w:t xml:space="preserve"> synergistic) allelopathic effects,</w:t>
          </w:r>
          <w:r w:rsidRPr="001D1B80">
            <w:rPr>
              <w:lang w:val="da-DK"/>
            </w:rPr>
            <w:t xml:space="preserve"> and</w:t>
          </w:r>
          <w:r w:rsidRPr="001D1B80">
            <w:rPr>
              <w:lang w:val="sv-SE"/>
            </w:rPr>
            <w:t xml:space="preserve"> (ii)</w:t>
          </w:r>
          <w:r w:rsidRPr="001D1B80">
            <w:rPr>
              <w:lang w:val="sl-SI"/>
            </w:rPr>
            <w:t xml:space="preserve"> to test</w:t>
          </w:r>
          <w:r w:rsidRPr="001D1B80">
            <w:rPr>
              <w:lang w:val="en-US"/>
            </w:rPr>
            <w:t xml:space="preserve"> the</w:t>
          </w:r>
          <w:r w:rsidRPr="001D1B80">
            <w:rPr>
              <w:lang w:val="da-DK"/>
            </w:rPr>
            <w:t xml:space="preserve"> over</w:t>
          </w:r>
          <w:r w:rsidRPr="001D1B80">
            <w:rPr>
              <w:lang w:val="da-DK"/>
            </w:rPr>
            <w:softHyphen/>
            <w:t>all</w:t>
          </w:r>
          <w:r w:rsidRPr="001D1B80">
            <w:rPr>
              <w:lang w:val="en-US"/>
            </w:rPr>
            <w:t xml:space="preserve"> efficiency of such</w:t>
          </w:r>
          <w:r w:rsidRPr="001D1B80">
            <w:rPr>
              <w:lang w:val="sl-SI"/>
            </w:rPr>
            <w:t xml:space="preserve"> a substance</w:t>
          </w:r>
          <w:r w:rsidRPr="001D1B80">
            <w:rPr>
              <w:lang w:val="en-US"/>
            </w:rPr>
            <w:t xml:space="preserve"> application</w:t>
          </w:r>
          <w:r w:rsidRPr="001D1B80">
            <w:rPr>
              <w:lang w:val="sl-SI"/>
            </w:rPr>
            <w:t xml:space="preserve"> procedure</w:t>
          </w:r>
          <w:r w:rsidRPr="001D1B80">
            <w:rPr>
              <w:lang w:val="en-US"/>
            </w:rPr>
            <w:t xml:space="preserve"> that could be routinely implemented</w:t>
          </w:r>
          <w:r w:rsidRPr="001D1B80">
            <w:rPr>
              <w:lang w:val="sl-SI"/>
            </w:rPr>
            <w:t xml:space="preserve"> in</w:t>
          </w:r>
          <w:r w:rsidRPr="001D1B80">
            <w:rPr>
              <w:lang w:val="en-US"/>
            </w:rPr>
            <w:t xml:space="preserve"> situ</w:t>
          </w:r>
          <w:r w:rsidRPr="001D1B80">
            <w:rPr>
              <w:lang w:val="sl-SI"/>
            </w:rPr>
            <w:t xml:space="preserve"> to</w:t>
          </w:r>
          <w:r w:rsidRPr="001D1B80">
            <w:rPr>
              <w:lang w:val="en-US"/>
            </w:rPr>
            <w:t xml:space="preserve"> “timely” control cyanobacterial proliferation</w:t>
          </w:r>
          <w:r w:rsidRPr="001D1B80">
            <w:rPr>
              <w:lang w:val="sl-SI"/>
            </w:rPr>
            <w:t xml:space="preserve"> in</w:t>
          </w:r>
          <w:r w:rsidRPr="001D1B80">
            <w:rPr>
              <w:lang w:val="en-US"/>
            </w:rPr>
            <w:t xml:space="preserve"> small freshwater systems. Moreover,</w:t>
          </w:r>
          <w:r w:rsidRPr="001D1B80">
            <w:rPr>
              <w:lang w:val="sl-SI"/>
            </w:rPr>
            <w:t xml:space="preserve"> in</w:t>
          </w:r>
          <w:r w:rsidRPr="001D1B80">
            <w:rPr>
              <w:lang w:val="en-US"/>
            </w:rPr>
            <w:t xml:space="preserve"> order</w:t>
          </w:r>
          <w:r w:rsidRPr="001D1B80">
            <w:rPr>
              <w:lang w:val="sl-SI"/>
            </w:rPr>
            <w:t xml:space="preserve"> to</w:t>
          </w:r>
          <w:r w:rsidRPr="001D1B80">
            <w:rPr>
              <w:lang w:val="en-US"/>
            </w:rPr>
            <w:t xml:space="preserve"> address the process feasibility under</w:t>
          </w:r>
          <w:r w:rsidRPr="001D1B80">
            <w:rPr>
              <w:lang w:val="sl-SI"/>
            </w:rPr>
            <w:t xml:space="preserve"> more</w:t>
          </w:r>
          <w:r w:rsidRPr="001D1B80">
            <w:rPr>
              <w:lang w:val="en-US"/>
            </w:rPr>
            <w:t xml:space="preserve"> realistic exposure scenarios</w:t>
          </w:r>
          <w:r w:rsidRPr="001D1B80">
            <w:rPr>
              <w:lang w:val="sl-SI"/>
            </w:rPr>
            <w:t xml:space="preserve"> as</w:t>
          </w:r>
          <w:r w:rsidRPr="001D1B80">
            <w:rPr>
              <w:lang w:val="en-US"/>
            </w:rPr>
            <w:t xml:space="preserve"> well</w:t>
          </w:r>
          <w:r w:rsidRPr="001D1B80">
            <w:rPr>
              <w:lang w:val="sl-SI"/>
            </w:rPr>
            <w:t xml:space="preserve"> as</w:t>
          </w:r>
          <w:r w:rsidRPr="001D1B80">
            <w:rPr>
              <w:lang w:val="en-US"/>
            </w:rPr>
            <w:t xml:space="preserve"> the aspects of ecotoxicological</w:t>
          </w:r>
          <w:r w:rsidRPr="001D1B80">
            <w:rPr>
              <w:lang w:val="cs-CZ"/>
            </w:rPr>
            <w:t xml:space="preserve"> risk</w:t>
          </w:r>
          <w:r w:rsidRPr="001D1B80">
            <w:rPr>
              <w:lang w:val="en-US"/>
            </w:rPr>
            <w:t xml:space="preserve"> assessment, outdoor freshwater</w:t>
          </w:r>
          <w:r w:rsidRPr="001D1B80">
            <w:rPr>
              <w:lang w:val="sl-SI"/>
            </w:rPr>
            <w:t xml:space="preserve"> len</w:t>
          </w:r>
          <w:r w:rsidRPr="001D1B80">
            <w:rPr>
              <w:lang w:val="da-DK"/>
            </w:rPr>
            <w:t>-tic</w:t>
          </w:r>
          <w:r w:rsidRPr="001D1B80">
            <w:rPr>
              <w:lang w:val="en-US"/>
            </w:rPr>
            <w:t xml:space="preserve"> mesocosms were designed</w:t>
          </w:r>
          <w:r w:rsidRPr="001D1B80">
            <w:rPr>
              <w:lang w:val="sl-SI"/>
            </w:rPr>
            <w:t xml:space="preserve"> in</w:t>
          </w:r>
          <w:r w:rsidRPr="001D1B80">
            <w:rPr>
              <w:lang w:val="en-US"/>
            </w:rPr>
            <w:t xml:space="preserve"> which phytoplankton</w:t>
          </w:r>
          <w:r w:rsidRPr="001D1B80">
            <w:rPr>
              <w:lang w:val="da-DK"/>
            </w:rPr>
            <w:t xml:space="preserve"> species</w:t>
          </w:r>
          <w:r w:rsidRPr="001D1B80">
            <w:rPr>
              <w:lang w:val="en-US"/>
            </w:rPr>
            <w:t xml:space="preserve"> (encompassing local cyanobacteria</w:t>
          </w:r>
          <w:r w:rsidRPr="001D1B80">
            <w:rPr>
              <w:lang w:val="da-DK"/>
            </w:rPr>
            <w:t xml:space="preserve"> species) and</w:t>
          </w:r>
          <w:r w:rsidRPr="001D1B80">
            <w:rPr>
              <w:lang w:val="en-US"/>
            </w:rPr>
            <w:t xml:space="preserve"> several other</w:t>
          </w:r>
          <w:r w:rsidRPr="001D1B80">
            <w:rPr>
              <w:lang w:val="nl-NL"/>
            </w:rPr>
            <w:t xml:space="preserve"> non-target</w:t>
          </w:r>
          <w:r w:rsidRPr="001D1B80">
            <w:rPr>
              <w:lang w:val="sl-SI"/>
            </w:rPr>
            <w:t xml:space="preserve"> model</w:t>
          </w:r>
          <w:r w:rsidRPr="001D1B80">
            <w:rPr>
              <w:lang w:val="en-US"/>
            </w:rPr>
            <w:t xml:space="preserve"> organisms representing different trophic groups were introduced. These latter included rudds (Scardinius erythrophthalmus) –</w:t>
          </w:r>
          <w:r w:rsidRPr="001D1B80">
            <w:rPr>
              <w:lang w:val="sl-SI"/>
            </w:rPr>
            <w:t xml:space="preserve"> a</w:t>
          </w:r>
          <w:r w:rsidRPr="001D1B80">
            <w:rPr>
              <w:lang w:val="en-US"/>
            </w:rPr>
            <w:t xml:space="preserve"> cyprinid fish</w:t>
          </w:r>
          <w:r w:rsidRPr="001D1B80">
            <w:rPr>
              <w:lang w:val="da-DK"/>
            </w:rPr>
            <w:t xml:space="preserve"> species</w:t>
          </w:r>
          <w:r w:rsidRPr="001D1B80">
            <w:rPr>
              <w:lang w:val="en-US"/>
            </w:rPr>
            <w:t xml:space="preserve"> widely found</w:t>
          </w:r>
          <w:r w:rsidRPr="001D1B80">
            <w:rPr>
              <w:lang w:val="sl-SI"/>
            </w:rPr>
            <w:t xml:space="preserve"> in</w:t>
          </w:r>
          <w:r w:rsidRPr="001D1B80">
            <w:rPr>
              <w:lang w:val="en-US"/>
            </w:rPr>
            <w:t xml:space="preserve"> European freshwaters (Georgieva</w:t>
          </w:r>
          <w:r w:rsidRPr="001D1B80">
            <w:rPr>
              <w:lang w:val="pt-BR"/>
            </w:rPr>
            <w:t xml:space="preserve"> et</w:t>
          </w:r>
          <w:r w:rsidRPr="001D1B80">
            <w:rPr>
              <w:lang w:val="da-DK"/>
            </w:rPr>
            <w:t xml:space="preserve"> al.,</w:t>
          </w:r>
          <w:r w:rsidRPr="001D1B80">
            <w:rPr>
              <w:lang w:val="ca-ES"/>
            </w:rPr>
            <w:t xml:space="preserve"> 2014)</w:t>
          </w:r>
          <w:r w:rsidRPr="001D1B80">
            <w:rPr>
              <w:lang w:val="en-US"/>
            </w:rPr>
            <w:t xml:space="preserve"> –,</w:t>
          </w:r>
          <w:r w:rsidRPr="001D1B80">
            <w:rPr>
              <w:lang w:val="da-DK"/>
            </w:rPr>
            <w:t xml:space="preserve"> Gammarus (Gammarus</w:t>
          </w:r>
          <w:r w:rsidRPr="001D1B80">
            <w:rPr>
              <w:lang w:val="en-US"/>
            </w:rPr>
            <w:t xml:space="preserve"> roeseli) – crustacean amphipods often used</w:t>
          </w:r>
          <w:r w:rsidRPr="001D1B80">
            <w:rPr>
              <w:lang w:val="sl-SI"/>
            </w:rPr>
            <w:t xml:space="preserve"> as</w:t>
          </w:r>
          <w:r w:rsidRPr="001D1B80">
            <w:rPr>
              <w:lang w:val="en-US"/>
            </w:rPr>
            <w:t xml:space="preserve"> sentinel</w:t>
          </w:r>
          <w:r w:rsidRPr="001D1B80">
            <w:rPr>
              <w:lang w:val="da-DK"/>
            </w:rPr>
            <w:t xml:space="preserve"> species</w:t>
          </w:r>
          <w:r w:rsidRPr="001D1B80">
            <w:rPr>
              <w:lang w:val="pt-BR"/>
            </w:rPr>
            <w:t xml:space="preserve"> for</w:t>
          </w:r>
          <w:r w:rsidRPr="001D1B80">
            <w:rPr>
              <w:lang w:val="en-US"/>
            </w:rPr>
            <w:t xml:space="preserve"> water quality monitoring</w:t>
          </w:r>
          <w:r w:rsidRPr="001D1B80">
            <w:rPr>
              <w:lang w:val="sl-SI"/>
            </w:rPr>
            <w:t xml:space="preserve"> in</w:t>
          </w:r>
          <w:r w:rsidRPr="001D1B80">
            <w:rPr>
              <w:lang w:val="cs-CZ"/>
            </w:rPr>
            <w:t xml:space="preserve"> Western</w:t>
          </w:r>
          <w:r w:rsidRPr="001D1B80">
            <w:rPr>
              <w:lang w:val="en-US"/>
            </w:rPr>
            <w:t xml:space="preserve"> Europe (Gerhardt</w:t>
          </w:r>
          <w:r w:rsidRPr="001D1B80">
            <w:rPr>
              <w:lang w:val="pt-BR"/>
            </w:rPr>
            <w:t xml:space="preserve"> et</w:t>
          </w:r>
          <w:r w:rsidRPr="001D1B80">
            <w:rPr>
              <w:lang w:val="da-DK"/>
            </w:rPr>
            <w:t xml:space="preserve"> al.,</w:t>
          </w:r>
          <w:r w:rsidRPr="001D1B80">
            <w:rPr>
              <w:lang w:val="ca-ES"/>
            </w:rPr>
            <w:t xml:space="preserve"> 2011)</w:t>
          </w:r>
          <w:r w:rsidRPr="001D1B80">
            <w:rPr>
              <w:lang w:val="en-US"/>
            </w:rPr>
            <w:t xml:space="preserve"> –,</w:t>
          </w:r>
          <w:r w:rsidRPr="001D1B80">
            <w:rPr>
              <w:lang w:val="da-DK"/>
            </w:rPr>
            <w:t xml:space="preserve"> and</w:t>
          </w:r>
          <w:r w:rsidRPr="001D1B80">
            <w:rPr>
              <w:lang w:val="en-US"/>
            </w:rPr>
            <w:t xml:space="preserve"> two other common invertebrate</w:t>
          </w:r>
          <w:r w:rsidRPr="001D1B80">
            <w:rPr>
              <w:lang w:val="da-DK"/>
            </w:rPr>
            <w:t xml:space="preserve"> species</w:t>
          </w:r>
          <w:r w:rsidRPr="001D1B80">
            <w:rPr>
              <w:lang w:val="en-US"/>
            </w:rPr>
            <w:t xml:space="preserve"> belonging</w:t>
          </w:r>
          <w:r w:rsidRPr="001D1B80">
            <w:rPr>
              <w:lang w:val="sl-SI"/>
            </w:rPr>
            <w:t xml:space="preserve"> to</w:t>
          </w:r>
          <w:r w:rsidRPr="001D1B80">
            <w:rPr>
              <w:lang w:val="en-US"/>
            </w:rPr>
            <w:t xml:space="preserve"> the gastropod class (Caquet,</w:t>
          </w:r>
          <w:r w:rsidRPr="001D1B80">
            <w:rPr>
              <w:lang w:val="ca-ES"/>
            </w:rPr>
            <w:t xml:space="preserve"> 1990),</w:t>
          </w:r>
          <w:r w:rsidRPr="001D1B80">
            <w:rPr>
              <w:lang w:val="en-US"/>
            </w:rPr>
            <w:t xml:space="preserve"> i.e. Physa (Physa marmorata)</w:t>
          </w:r>
          <w:r w:rsidRPr="001D1B80">
            <w:rPr>
              <w:lang w:val="da-DK"/>
            </w:rPr>
            <w:t xml:space="preserve"> and</w:t>
          </w:r>
          <w:r w:rsidRPr="001D1B80">
            <w:rPr>
              <w:lang w:val="en-US"/>
            </w:rPr>
            <w:t xml:space="preserve"> Lymnaea (Lymnaea stagnalis). Since</w:t>
          </w:r>
          <w:r w:rsidRPr="001D1B80">
            <w:rPr>
              <w:lang w:val="sl-SI"/>
            </w:rPr>
            <w:t xml:space="preserve"> (i)</w:t>
          </w:r>
          <w:r w:rsidRPr="001D1B80">
            <w:rPr>
              <w:lang w:val="en-US"/>
            </w:rPr>
            <w:t xml:space="preserve"> experiments were designed</w:t>
          </w:r>
          <w:r w:rsidRPr="001D1B80">
            <w:rPr>
              <w:lang w:val="sl-SI"/>
            </w:rPr>
            <w:t xml:space="preserve"> to</w:t>
          </w:r>
          <w:r w:rsidRPr="001D1B80">
            <w:rPr>
              <w:lang w:val="en-US"/>
            </w:rPr>
            <w:t xml:space="preserve"> be conducted just</w:t>
          </w:r>
          <w:r w:rsidRPr="001D1B80">
            <w:rPr>
              <w:lang w:val="da-DK"/>
            </w:rPr>
            <w:t xml:space="preserve"> at</w:t>
          </w:r>
          <w:r w:rsidRPr="001D1B80">
            <w:rPr>
              <w:lang w:val="en-US"/>
            </w:rPr>
            <w:t xml:space="preserve"> the beginning of the cyanobacterial proliferation period,</w:t>
          </w:r>
          <w:r w:rsidRPr="001D1B80">
            <w:rPr>
              <w:lang w:val="da-DK"/>
            </w:rPr>
            <w:t xml:space="preserve"> and</w:t>
          </w:r>
          <w:r w:rsidRPr="001D1B80">
            <w:rPr>
              <w:lang w:val="sv-SE"/>
            </w:rPr>
            <w:t xml:space="preserve"> (ii)</w:t>
          </w:r>
          <w:r w:rsidRPr="001D1B80">
            <w:rPr>
              <w:lang w:val="da-DK"/>
            </w:rPr>
            <w:t xml:space="preserve"> all</w:t>
          </w:r>
          <w:r w:rsidRPr="001D1B80">
            <w:rPr>
              <w:lang w:val="en-US"/>
            </w:rPr>
            <w:t xml:space="preserve"> reported cyanobacteria concentration levels</w:t>
          </w:r>
          <w:r w:rsidRPr="001D1B80">
            <w:rPr>
              <w:lang w:val="sl-SI"/>
            </w:rPr>
            <w:t xml:space="preserve"> in</w:t>
          </w:r>
          <w:r w:rsidRPr="001D1B80">
            <w:rPr>
              <w:lang w:val="en-US"/>
            </w:rPr>
            <w:t xml:space="preserve"> the mesocosms remained below what</w:t>
          </w:r>
          <w:r w:rsidRPr="001D1B80">
            <w:rPr>
              <w:lang w:val="pt-BR"/>
            </w:rPr>
            <w:t xml:space="preserve"> is</w:t>
          </w:r>
          <w:r w:rsidRPr="001D1B80">
            <w:rPr>
              <w:lang w:val="en-US"/>
            </w:rPr>
            <w:t xml:space="preserve"> expected</w:t>
          </w:r>
          <w:r w:rsidRPr="001D1B80">
            <w:rPr>
              <w:lang w:val="sl-SI"/>
            </w:rPr>
            <w:t xml:space="preserve"> to</w:t>
          </w:r>
          <w:r w:rsidRPr="001D1B80">
            <w:rPr>
              <w:lang w:val="pt-BR"/>
            </w:rPr>
            <w:t xml:space="preserve"> cause</w:t>
          </w:r>
          <w:r w:rsidRPr="001D1B80">
            <w:rPr>
              <w:lang w:val="en-US"/>
            </w:rPr>
            <w:t xml:space="preserve"> adverse cyanotoxin-related health</w:t>
          </w:r>
          <w:r w:rsidRPr="001D1B80">
            <w:rPr>
              <w:lang w:val="da-DK"/>
            </w:rPr>
            <w:t xml:space="preserve"> and</w:t>
          </w:r>
          <w:r w:rsidRPr="001D1B80">
            <w:rPr>
              <w:lang w:val="en-US"/>
            </w:rPr>
            <w:t xml:space="preserve"> envi</w:t>
          </w:r>
          <w:r w:rsidRPr="001D1B80">
            <w:rPr>
              <w:lang w:val="en-US"/>
            </w:rPr>
            <w:softHyphen/>
            <w:t>ronmental effects, i.e.</w:t>
          </w:r>
          <w:r w:rsidRPr="001D1B80">
            <w:rPr>
              <w:lang w:val="da-DK"/>
            </w:rPr>
            <w:t xml:space="preserve"> b</w:t>
          </w:r>
          <w:r w:rsidRPr="001D1B80">
            <w:rPr>
              <w:lang w:val="ca-ES"/>
            </w:rPr>
            <w:t xml:space="preserve"> 10</w:t>
          </w:r>
          <w:r w:rsidRPr="001D1B80">
            <w:rPr>
              <w:lang w:val="en-US"/>
            </w:rPr>
            <w:t xml:space="preserve"> μg chlorophyll a/L (WHO,</w:t>
          </w:r>
          <w:r w:rsidRPr="001D1B80">
            <w:rPr>
              <w:lang w:val="ca-ES"/>
            </w:rPr>
            <w:t xml:space="preserve"> 2015),</w:t>
          </w:r>
          <w:r w:rsidRPr="001D1B80">
            <w:rPr>
              <w:lang w:val="en-US"/>
            </w:rPr>
            <w:t xml:space="preserve"> enzymatic</w:t>
          </w:r>
          <w:r w:rsidRPr="001D1B80">
            <w:rPr>
              <w:lang w:val="da-DK"/>
            </w:rPr>
            <w:t xml:space="preserve"> biomarkers</w:t>
          </w:r>
          <w:r w:rsidRPr="001D1B80">
            <w:rPr>
              <w:lang w:val="en-US"/>
            </w:rPr>
            <w:t xml:space="preserve"> were measured</w:t>
          </w:r>
          <w:r w:rsidRPr="001D1B80">
            <w:rPr>
              <w:lang w:val="sl-SI"/>
            </w:rPr>
            <w:t xml:space="preserve"> in</w:t>
          </w:r>
          <w:r w:rsidRPr="001D1B80">
            <w:rPr>
              <w:lang w:val="nl-NL"/>
            </w:rPr>
            <w:t xml:space="preserve"> non-target</w:t>
          </w:r>
          <w:r w:rsidRPr="001D1B80">
            <w:rPr>
              <w:lang w:val="da-DK"/>
            </w:rPr>
            <w:t xml:space="preserve"> species</w:t>
          </w:r>
          <w:r w:rsidRPr="001D1B80">
            <w:rPr>
              <w:lang w:val="sl-SI"/>
            </w:rPr>
            <w:t xml:space="preserve"> on</w:t>
          </w:r>
          <w:r w:rsidRPr="001D1B80">
            <w:rPr>
              <w:lang w:val="en-US"/>
            </w:rPr>
            <w:t xml:space="preserve"> the assumption that it would mainly reflect the allelopathic</w:t>
          </w:r>
          <w:r w:rsidRPr="001D1B80">
            <w:rPr>
              <w:lang w:val="sl-SI"/>
            </w:rPr>
            <w:t xml:space="preserve"> substance</w:t>
          </w:r>
          <w:r w:rsidRPr="001D1B80">
            <w:rPr>
              <w:lang w:val="en-US"/>
            </w:rPr>
            <w:t xml:space="preserve"> ecotoxicity po</w:t>
          </w:r>
          <w:r w:rsidRPr="001D1B80">
            <w:rPr>
              <w:lang w:val="en-US"/>
            </w:rPr>
            <w:softHyphen/>
            <w:t>tential. Thus, following</w:t>
          </w:r>
          <w:r w:rsidRPr="001D1B80">
            <w:rPr>
              <w:lang w:val="sl-SI"/>
            </w:rPr>
            <w:t xml:space="preserve"> a</w:t>
          </w:r>
          <w:r w:rsidRPr="001D1B80">
            <w:rPr>
              <w:lang w:val="ca-ES"/>
            </w:rPr>
            <w:t xml:space="preserve"> 28</w:t>
          </w:r>
          <w:r w:rsidRPr="001D1B80">
            <w:rPr>
              <w:lang w:val="en-US"/>
            </w:rPr>
            <w:t>-day allelochemical applications into mesocosms,</w:t>
          </w:r>
          <w:r w:rsidRPr="001D1B80">
            <w:rPr>
              <w:lang w:val="sl-SI"/>
            </w:rPr>
            <w:t xml:space="preserve"> a set</w:t>
          </w:r>
          <w:r w:rsidRPr="001D1B80">
            <w:rPr>
              <w:lang w:val="en-US"/>
            </w:rPr>
            <w:t xml:space="preserve"> of exposure</w:t>
          </w:r>
          <w:r w:rsidRPr="001D1B80">
            <w:rPr>
              <w:lang w:val="da-DK"/>
            </w:rPr>
            <w:t xml:space="preserve"> biomarkers</w:t>
          </w:r>
          <w:r w:rsidRPr="001D1B80">
            <w:rPr>
              <w:lang w:val="en-US"/>
            </w:rPr>
            <w:t xml:space="preserve"> consisting of lactate dehydro</w:t>
          </w:r>
          <w:r w:rsidRPr="001D1B80">
            <w:rPr>
              <w:lang w:val="en-US"/>
            </w:rPr>
            <w:softHyphen/>
            <w:t>genase (LDH), glutathione</w:t>
          </w:r>
          <w:r w:rsidRPr="001D1B80">
            <w:rPr>
              <w:lang w:val="sl-SI"/>
            </w:rPr>
            <w:t>-S</w:t>
          </w:r>
          <w:r w:rsidRPr="001D1B80">
            <w:rPr>
              <w:lang w:val="en-US"/>
            </w:rPr>
            <w:t>-transferase</w:t>
          </w:r>
          <w:r w:rsidRPr="001D1B80">
            <w:rPr>
              <w:lang w:val="de-DE"/>
            </w:rPr>
            <w:t xml:space="preserve"> (GST),</w:t>
          </w:r>
          <w:r w:rsidRPr="001D1B80">
            <w:rPr>
              <w:lang w:val="da-DK"/>
            </w:rPr>
            <w:t xml:space="preserve"> and</w:t>
          </w:r>
          <w:r w:rsidRPr="001D1B80">
            <w:rPr>
              <w:lang w:val="pt-BR"/>
            </w:rPr>
            <w:t xml:space="preserve"> total</w:t>
          </w:r>
          <w:r w:rsidRPr="001D1B80">
            <w:rPr>
              <w:lang w:val="en-US"/>
            </w:rPr>
            <w:t xml:space="preserve"> glutathione peroxidase (GPx) activities was assessed</w:t>
          </w:r>
          <w:r w:rsidRPr="001D1B80">
            <w:rPr>
              <w:lang w:val="da-DK"/>
            </w:rPr>
            <w:t xml:space="preserve"> at</w:t>
          </w:r>
          <w:r w:rsidRPr="001D1B80">
            <w:rPr>
              <w:lang w:val="en-US"/>
            </w:rPr>
            <w:t xml:space="preserve"> the sub-cellular</w:t>
          </w:r>
          <w:r w:rsidRPr="001D1B80">
            <w:rPr>
              <w:lang w:val="da-DK"/>
            </w:rPr>
            <w:t xml:space="preserve"> level</w:t>
          </w:r>
          <w:r w:rsidRPr="001D1B80">
            <w:rPr>
              <w:lang w:val="sl-SI"/>
            </w:rPr>
            <w:t xml:space="preserve"> in</w:t>
          </w:r>
          <w:r w:rsidRPr="001D1B80">
            <w:rPr>
              <w:lang w:val="en-US"/>
            </w:rPr>
            <w:t xml:space="preserve"> the</w:t>
          </w:r>
          <w:r w:rsidRPr="001D1B80">
            <w:rPr>
              <w:lang w:val="nl-NL"/>
            </w:rPr>
            <w:t xml:space="preserve"> non-target</w:t>
          </w:r>
          <w:r w:rsidRPr="001D1B80">
            <w:rPr>
              <w:lang w:val="da-DK"/>
            </w:rPr>
            <w:t xml:space="preserve"> species</w:t>
          </w:r>
          <w:r w:rsidRPr="001D1B80">
            <w:rPr>
              <w:lang w:val="en-US"/>
            </w:rPr>
            <w:t xml:space="preserve"> (Coelho</w:t>
          </w:r>
          <w:r w:rsidRPr="001D1B80">
            <w:rPr>
              <w:lang w:val="pt-BR"/>
            </w:rPr>
            <w:t xml:space="preserve"> et</w:t>
          </w:r>
          <w:r w:rsidRPr="001D1B80">
            <w:rPr>
              <w:lang w:val="da-DK"/>
            </w:rPr>
            <w:t xml:space="preserve"> al.,</w:t>
          </w:r>
          <w:r w:rsidRPr="001D1B80">
            <w:rPr>
              <w:lang w:val="ca-ES"/>
            </w:rPr>
            <w:t xml:space="preserve"> 2011;</w:t>
          </w:r>
          <w:r w:rsidRPr="001D1B80">
            <w:rPr>
              <w:lang w:val="pt-BR"/>
            </w:rPr>
            <w:t xml:space="preserve"> Diamantino et</w:t>
          </w:r>
          <w:r w:rsidRPr="001D1B80">
            <w:rPr>
              <w:lang w:val="da-DK"/>
            </w:rPr>
            <w:t xml:space="preserve"> al.,</w:t>
          </w:r>
          <w:r w:rsidRPr="001D1B80">
            <w:rPr>
              <w:lang w:val="ca-ES"/>
            </w:rPr>
            <w:t xml:space="preserve"> 2001;</w:t>
          </w:r>
          <w:r w:rsidRPr="001D1B80">
            <w:rPr>
              <w:lang w:val="en-US"/>
            </w:rPr>
            <w:t xml:space="preserve"> Georgieva</w:t>
          </w:r>
          <w:r w:rsidRPr="001D1B80">
            <w:rPr>
              <w:lang w:val="pt-BR"/>
            </w:rPr>
            <w:t xml:space="preserve"> et</w:t>
          </w:r>
          <w:r w:rsidRPr="001D1B80">
            <w:rPr>
              <w:lang w:val="da-DK"/>
            </w:rPr>
            <w:t xml:space="preserve"> al.,</w:t>
          </w:r>
          <w:r w:rsidRPr="001D1B80">
            <w:rPr>
              <w:lang w:val="ca-ES"/>
            </w:rPr>
            <w:t xml:space="preserve"> 2014;</w:t>
          </w:r>
          <w:r w:rsidRPr="001D1B80">
            <w:rPr>
              <w:lang w:val="sl-SI"/>
            </w:rPr>
            <w:t xml:space="preserve"> Hermes-Lima,</w:t>
          </w:r>
          <w:r w:rsidRPr="001D1B80">
            <w:rPr>
              <w:lang w:val="ca-ES"/>
            </w:rPr>
            <w:t xml:space="preserve"> 2004;</w:t>
          </w:r>
          <w:r w:rsidRPr="001D1B80">
            <w:rPr>
              <w:lang w:val="cs-CZ"/>
            </w:rPr>
            <w:t xml:space="preserve"> van</w:t>
          </w:r>
          <w:r w:rsidRPr="001D1B80">
            <w:rPr>
              <w:lang w:val="pt-BR"/>
            </w:rPr>
            <w:t xml:space="preserve"> der</w:t>
          </w:r>
          <w:r w:rsidRPr="001D1B80">
            <w:rPr>
              <w:lang w:val="nl-NL"/>
            </w:rPr>
            <w:t xml:space="preserve"> Oost</w:t>
          </w:r>
          <w:r w:rsidRPr="001D1B80">
            <w:rPr>
              <w:lang w:val="pt-BR"/>
            </w:rPr>
            <w:t xml:space="preserve"> et</w:t>
          </w:r>
          <w:r w:rsidRPr="001D1B80">
            <w:rPr>
              <w:lang w:val="da-DK"/>
            </w:rPr>
            <w:t xml:space="preserve"> al.,</w:t>
          </w:r>
          <w:r w:rsidRPr="001D1B80">
            <w:rPr>
              <w:lang w:val="ca-ES"/>
            </w:rPr>
            <w:t xml:space="preserve"> 2003).</w:t>
          </w:r>
        </w:p>
      </w:sdtContent>
    </w:sdt>
    <w:p w:rsidR="00C25631" w:rsidRPr="001D1B80" w:rsidRDefault="00C25631" w:rsidP="001D1B80">
      <w:pPr>
        <w:pStyle w:val="Partie"/>
        <w:rPr>
          <w:lang w:val="en-US"/>
        </w:rPr>
        <w:sectPr w:rsidR="00C25631" w:rsidRPr="001D1B80" w:rsidSect="00575F2F">
          <w:type w:val="continuous"/>
          <w:pgSz w:w="11906" w:h="16838"/>
          <w:pgMar w:top="851" w:right="424" w:bottom="567" w:left="426" w:header="426" w:footer="397" w:gutter="0"/>
          <w:cols w:num="2" w:space="141"/>
          <w:docGrid w:linePitch="360"/>
        </w:sectPr>
      </w:pPr>
    </w:p>
    <w:p w:rsidR="00C25631" w:rsidRPr="001D1B80" w:rsidRDefault="00C25631" w:rsidP="001D1B80">
      <w:pPr>
        <w:pStyle w:val="Partie"/>
        <w:rPr>
          <w:lang w:val="en-US"/>
        </w:rPr>
      </w:pPr>
    </w:p>
    <w:p w:rsidR="0029248B" w:rsidRPr="001D1B80" w:rsidRDefault="0029248B" w:rsidP="001D1B80">
      <w:pPr>
        <w:pStyle w:val="Partie"/>
        <w:rPr>
          <w:lang w:val="en-US"/>
        </w:rPr>
        <w:sectPr w:rsidR="0029248B" w:rsidRPr="001D1B80" w:rsidSect="00C25631">
          <w:type w:val="continuous"/>
          <w:pgSz w:w="11906" w:h="16838"/>
          <w:pgMar w:top="851" w:right="424" w:bottom="567" w:left="426" w:header="426" w:footer="397" w:gutter="0"/>
          <w:cols w:space="141"/>
          <w:docGrid w:linePitch="360"/>
        </w:sectPr>
      </w:pPr>
    </w:p>
    <w:p w:rsidR="00822658" w:rsidRPr="001D1B80" w:rsidRDefault="00822658" w:rsidP="001D1B80">
      <w:pPr>
        <w:pStyle w:val="SousPartie"/>
        <w:sectPr w:rsidR="00822658" w:rsidRPr="001D1B80" w:rsidSect="009C5A40">
          <w:type w:val="continuous"/>
          <w:pgSz w:w="11906" w:h="16838"/>
          <w:pgMar w:top="851" w:right="424" w:bottom="567" w:left="426" w:header="426" w:footer="397" w:gutter="0"/>
          <w:cols w:space="141"/>
          <w:formProt w:val="0"/>
          <w:docGrid w:linePitch="360"/>
        </w:sectPr>
      </w:pPr>
      <w:r w:rsidRPr="001D1B80">
        <w:t xml:space="preserve">Material and Methods </w:t>
      </w:r>
      <w:r w:rsidRPr="001D1B80">
        <w:tab/>
      </w:r>
    </w:p>
    <w:sdt>
      <w:sdtPr>
        <w:rPr>
          <w:b w:val="0"/>
          <w:bCs w:val="0"/>
          <w:sz w:val="20"/>
          <w:szCs w:val="20"/>
        </w:rPr>
        <w:id w:val="383915696"/>
        <w15:repeatingSection/>
      </w:sdtPr>
      <w:sdtEndPr/>
      <w:sdtContent>
        <w:sdt>
          <w:sdtPr>
            <w:rPr>
              <w:b w:val="0"/>
              <w:bCs w:val="0"/>
              <w:sz w:val="20"/>
              <w:szCs w:val="20"/>
            </w:rPr>
            <w:id w:val="-1673725599"/>
            <w:placeholder>
              <w:docPart w:val="3299A6AAB128402F86A2E242D2ACF030"/>
            </w:placeholder>
            <w15:repeatingSectionItem/>
          </w:sdtPr>
          <w:sdtEndPr/>
          <w:sdtContent>
            <w:p w:rsidR="00822658" w:rsidRPr="001D1B80" w:rsidRDefault="00D27E5B" w:rsidP="001D1B80">
              <w:pPr>
                <w:pStyle w:val="SousTitrePartieArticle"/>
              </w:pPr>
              <w:sdt>
                <w:sdtPr>
                  <w:id w:val="1805574656"/>
                  <w:placeholder>
                    <w:docPart w:val="D60FE24DB5F046EA8A3EF6800BDC5D7C"/>
                  </w:placeholder>
                  <w:text/>
                </w:sdtPr>
                <w:sdtEndPr/>
                <w:sdtContent>
                  <w:r w:rsidR="006F2346" w:rsidRPr="001D1B80">
                    <w:t>Ethical statement</w:t>
                  </w:r>
                </w:sdtContent>
              </w:sdt>
              <w:r w:rsidR="00822658" w:rsidRPr="001D1B80">
                <w:tab/>
              </w:r>
            </w:p>
            <w:sdt>
              <w:sdtPr>
                <w:id w:val="-2147044106"/>
                <w:placeholder>
                  <w:docPart w:val="F6CC3AC322634CEE91BF1640DD8B8BC1"/>
                </w:placeholder>
              </w:sdtPr>
              <w:sdtEndPr/>
              <w:sdtContent>
                <w:p w:rsidR="00822658" w:rsidRPr="001D1B80" w:rsidRDefault="006F2346" w:rsidP="001D1B80">
                  <w:pPr>
                    <w:pStyle w:val="Partie"/>
                    <w:rPr>
                      <w:lang w:val="en-US"/>
                    </w:rPr>
                  </w:pPr>
                  <w:r w:rsidRPr="001D1B80">
                    <w:rPr>
                      <w:lang w:val="da-DK"/>
                    </w:rPr>
                    <w:t>All</w:t>
                  </w:r>
                  <w:r w:rsidRPr="001D1B80">
                    <w:rPr>
                      <w:lang w:val="en-US"/>
                    </w:rPr>
                    <w:t xml:space="preserve"> animal treatment</w:t>
                  </w:r>
                  <w:r w:rsidRPr="001D1B80">
                    <w:rPr>
                      <w:lang w:val="da-DK"/>
                    </w:rPr>
                    <w:t xml:space="preserve"> and procedures</w:t>
                  </w:r>
                  <w:r w:rsidRPr="001D1B80">
                    <w:rPr>
                      <w:lang w:val="en-US"/>
                    </w:rPr>
                    <w:t xml:space="preserve"> used</w:t>
                  </w:r>
                  <w:r w:rsidRPr="001D1B80">
                    <w:rPr>
                      <w:lang w:val="sl-SI"/>
                    </w:rPr>
                    <w:t xml:space="preserve"> in</w:t>
                  </w:r>
                  <w:r w:rsidRPr="001D1B80">
                    <w:rPr>
                      <w:lang w:val="en-US"/>
                    </w:rPr>
                    <w:t xml:space="preserve"> this study complied with the</w:t>
                  </w:r>
                  <w:r w:rsidRPr="001D1B80">
                    <w:rPr>
                      <w:lang w:val="sl-SI"/>
                    </w:rPr>
                    <w:t xml:space="preserve"> general</w:t>
                  </w:r>
                  <w:r w:rsidRPr="001D1B80">
                    <w:rPr>
                      <w:lang w:val="en-US"/>
                    </w:rPr>
                    <w:t xml:space="preserve"> guidelines of the European</w:t>
                  </w:r>
                  <w:r w:rsidRPr="001D1B80">
                    <w:rPr>
                      <w:lang w:val="sl-SI"/>
                    </w:rPr>
                    <w:t xml:space="preserve"> Union</w:t>
                  </w:r>
                  <w:r w:rsidRPr="001D1B80">
                    <w:rPr>
                      <w:lang w:val="en-US"/>
                    </w:rPr>
                    <w:t xml:space="preserve"> Directive</w:t>
                  </w:r>
                  <w:r w:rsidRPr="001D1B80">
                    <w:rPr>
                      <w:lang w:val="ca-ES"/>
                    </w:rPr>
                    <w:t xml:space="preserve"> 2010/63/</w:t>
                  </w:r>
                  <w:r w:rsidRPr="001D1B80">
                    <w:rPr>
                      <w:lang w:val="sl-SI"/>
                    </w:rPr>
                    <w:t xml:space="preserve"> EU</w:t>
                  </w:r>
                  <w:r w:rsidRPr="001D1B80">
                    <w:rPr>
                      <w:lang w:val="da-DK"/>
                    </w:rPr>
                    <w:t xml:space="preserve"> and</w:t>
                  </w:r>
                  <w:r w:rsidRPr="001D1B80">
                    <w:rPr>
                      <w:lang w:val="en-US"/>
                    </w:rPr>
                    <w:t xml:space="preserve"> the French Animal Care Guidelines.</w:t>
                  </w:r>
                  <w:r w:rsidRPr="001D1B80">
                    <w:rPr>
                      <w:lang w:val="sl-SI"/>
                    </w:rPr>
                    <w:t xml:space="preserve"> In</w:t>
                  </w:r>
                  <w:r w:rsidRPr="001D1B80">
                    <w:rPr>
                      <w:lang w:val="en-US"/>
                    </w:rPr>
                    <w:t xml:space="preserve"> addition, three of the co-authors were authorized</w:t>
                  </w:r>
                  <w:r w:rsidRPr="001D1B80">
                    <w:rPr>
                      <w:lang w:val="cs-CZ"/>
                    </w:rPr>
                    <w:t xml:space="preserve"> by</w:t>
                  </w:r>
                  <w:r w:rsidRPr="001D1B80">
                    <w:rPr>
                      <w:lang w:val="en-US"/>
                    </w:rPr>
                    <w:t xml:space="preserve"> the competent French authorities</w:t>
                  </w:r>
                  <w:r w:rsidRPr="001D1B80">
                    <w:rPr>
                      <w:lang w:val="sl-SI"/>
                    </w:rPr>
                    <w:t xml:space="preserve"> to</w:t>
                  </w:r>
                  <w:r w:rsidRPr="001D1B80">
                    <w:rPr>
                      <w:lang w:val="en-US"/>
                    </w:rPr>
                    <w:t xml:space="preserve"> per</w:t>
                  </w:r>
                  <w:r w:rsidRPr="001D1B80">
                    <w:rPr>
                      <w:lang w:val="en-US"/>
                    </w:rPr>
                    <w:softHyphen/>
                    <w:t>form animal experiments</w:t>
                  </w:r>
                  <w:r w:rsidRPr="001D1B80">
                    <w:rPr>
                      <w:lang w:val="da-DK"/>
                    </w:rPr>
                    <w:t xml:space="preserve"> and</w:t>
                  </w:r>
                  <w:r w:rsidRPr="001D1B80">
                    <w:rPr>
                      <w:lang w:val="en-US"/>
                    </w:rPr>
                    <w:t xml:space="preserve"> particular attention was paid</w:t>
                  </w:r>
                  <w:r w:rsidRPr="001D1B80">
                    <w:rPr>
                      <w:lang w:val="sl-SI"/>
                    </w:rPr>
                    <w:t xml:space="preserve"> to</w:t>
                  </w:r>
                  <w:r w:rsidRPr="001D1B80">
                    <w:rPr>
                      <w:lang w:val="en-US"/>
                    </w:rPr>
                    <w:t xml:space="preserve"> fish welfare.</w:t>
                  </w:r>
                  <w:r w:rsidRPr="001D1B80">
                    <w:rPr>
                      <w:lang w:val="sl-SI"/>
                    </w:rPr>
                    <w:t xml:space="preserve"> In</w:t>
                  </w:r>
                  <w:r w:rsidRPr="001D1B80">
                    <w:rPr>
                      <w:lang w:val="en-US"/>
                    </w:rPr>
                    <w:t xml:space="preserve"> situ investigations were permitted</w:t>
                  </w:r>
                  <w:r w:rsidRPr="001D1B80">
                    <w:rPr>
                      <w:lang w:val="cs-CZ"/>
                    </w:rPr>
                    <w:t xml:space="preserve"> by</w:t>
                  </w:r>
                  <w:r w:rsidRPr="001D1B80">
                    <w:rPr>
                      <w:lang w:val="en-US"/>
                    </w:rPr>
                    <w:t xml:space="preserve"> the animal welfare au</w:t>
                  </w:r>
                  <w:r w:rsidRPr="001D1B80">
                    <w:rPr>
                      <w:lang w:val="en-US"/>
                    </w:rPr>
                    <w:softHyphen/>
                    <w:t>thority of the</w:t>
                  </w:r>
                  <w:r w:rsidRPr="001D1B80">
                    <w:rPr>
                      <w:lang w:val="pt-BR"/>
                    </w:rPr>
                    <w:t xml:space="preserve"> Regional</w:t>
                  </w:r>
                  <w:r w:rsidRPr="001D1B80">
                    <w:rPr>
                      <w:lang w:val="en-US"/>
                    </w:rPr>
                    <w:t xml:space="preserve"> council (agreement number</w:t>
                  </w:r>
                  <w:r w:rsidRPr="001D1B80">
                    <w:rPr>
                      <w:lang w:val="ca-ES"/>
                    </w:rPr>
                    <w:t xml:space="preserve"> C54-547-18).</w:t>
                  </w:r>
                </w:p>
              </w:sdtContent>
            </w:sdt>
          </w:sdtContent>
        </w:sdt>
        <w:sdt>
          <w:sdtPr>
            <w:rPr>
              <w:b w:val="0"/>
              <w:bCs w:val="0"/>
              <w:sz w:val="20"/>
              <w:szCs w:val="20"/>
            </w:rPr>
            <w:id w:val="-1739777284"/>
            <w:placeholder>
              <w:docPart w:val="9B01BA64321F46C79DFA7FD1CDD80767"/>
            </w:placeholder>
            <w15:repeatingSectionItem/>
          </w:sdtPr>
          <w:sdtEndPr/>
          <w:sdtContent>
            <w:p w:rsidR="00822658" w:rsidRPr="001D1B80" w:rsidRDefault="00D27E5B" w:rsidP="001D1B80">
              <w:pPr>
                <w:pStyle w:val="SousTitrePartieArticle"/>
              </w:pPr>
              <w:sdt>
                <w:sdtPr>
                  <w:id w:val="-1900435229"/>
                  <w:placeholder>
                    <w:docPart w:val="E209B4624A07471E9E45D532F8653E14"/>
                  </w:placeholder>
                  <w:text/>
                </w:sdtPr>
                <w:sdtEndPr/>
                <w:sdtContent>
                  <w:r w:rsidR="006F2346" w:rsidRPr="001D1B80">
                    <w:t>Test chemicals</w:t>
                  </w:r>
                </w:sdtContent>
              </w:sdt>
              <w:r w:rsidR="00822658" w:rsidRPr="001D1B80">
                <w:tab/>
              </w:r>
            </w:p>
            <w:sdt>
              <w:sdtPr>
                <w:id w:val="1543552401"/>
                <w:placeholder>
                  <w:docPart w:val="183E51CBF88F4B7D866ECD3B98659F25"/>
                </w:placeholder>
              </w:sdtPr>
              <w:sdtEndPr/>
              <w:sdtContent>
                <w:p w:rsidR="00822658" w:rsidRPr="001D1B80" w:rsidRDefault="006F2346" w:rsidP="001D1B80">
                  <w:pPr>
                    <w:pStyle w:val="Partie"/>
                  </w:pPr>
                  <w:r w:rsidRPr="001D1B80">
                    <w:rPr>
                      <w:lang w:val="en-US"/>
                    </w:rPr>
                    <w:t>Gallic acid</w:t>
                  </w:r>
                  <w:r w:rsidRPr="001D1B80">
                    <w:rPr>
                      <w:lang w:val="ca-ES"/>
                    </w:rPr>
                    <w:t xml:space="preserve"> (98%</w:t>
                  </w:r>
                  <w:r w:rsidRPr="001D1B80">
                    <w:rPr>
                      <w:lang w:val="en-US"/>
                    </w:rPr>
                    <w:t xml:space="preserve"> purity, powder</w:t>
                  </w:r>
                  <w:r w:rsidRPr="001D1B80">
                    <w:rPr>
                      <w:lang w:val="sl-SI"/>
                    </w:rPr>
                    <w:t xml:space="preserve"> form)</w:t>
                  </w:r>
                  <w:r w:rsidRPr="001D1B80">
                    <w:rPr>
                      <w:lang w:val="en-US"/>
                    </w:rPr>
                    <w:t xml:space="preserve"> was purchased from</w:t>
                  </w:r>
                  <w:r w:rsidRPr="001D1B80">
                    <w:rPr>
                      <w:lang w:val="pt-BR"/>
                    </w:rPr>
                    <w:t xml:space="preserve"> Acros</w:t>
                  </w:r>
                  <w:r w:rsidRPr="001D1B80">
                    <w:rPr>
                      <w:lang w:val="en-US"/>
                    </w:rPr>
                    <w:t xml:space="preserve"> Or</w:t>
                  </w:r>
                  <w:r w:rsidRPr="001D1B80">
                    <w:rPr>
                      <w:lang w:val="en-US"/>
                    </w:rPr>
                    <w:softHyphen/>
                    <w:t>ganics</w:t>
                  </w:r>
                  <w:r w:rsidRPr="001D1B80">
                    <w:rPr>
                      <w:lang w:val="sl-SI"/>
                    </w:rPr>
                    <w:t xml:space="preserve"> (No.</w:t>
                  </w:r>
                  <w:r w:rsidRPr="001D1B80">
                    <w:rPr>
                      <w:lang w:val="ca-ES"/>
                    </w:rPr>
                    <w:t xml:space="preserve"> 410860010).</w:t>
                  </w:r>
                  <w:r w:rsidRPr="001D1B80">
                    <w:rPr>
                      <w:lang w:val="en-US"/>
                    </w:rPr>
                    <w:t xml:space="preserve"> Gallic acid quantities required</w:t>
                  </w:r>
                  <w:r w:rsidRPr="001D1B80">
                    <w:rPr>
                      <w:lang w:val="pt-BR"/>
                    </w:rPr>
                    <w:t xml:space="preserve"> for</w:t>
                  </w:r>
                  <w:r w:rsidRPr="001D1B80">
                    <w:rPr>
                      <w:lang w:val="en-US"/>
                    </w:rPr>
                    <w:t xml:space="preserve"> each</w:t>
                  </w:r>
                  <w:r w:rsidRPr="001D1B80">
                    <w:rPr>
                      <w:lang w:val="pt-BR"/>
                    </w:rPr>
                    <w:t xml:space="preserve"> series</w:t>
                  </w:r>
                  <w:r w:rsidRPr="001D1B80">
                    <w:rPr>
                      <w:lang w:val="en-US"/>
                    </w:rPr>
                    <w:t xml:space="preserve"> of allelopathic treatment were weighed</w:t>
                  </w:r>
                  <w:r w:rsidRPr="001D1B80">
                    <w:rPr>
                      <w:lang w:val="sl-SI"/>
                    </w:rPr>
                    <w:t xml:space="preserve"> to</w:t>
                  </w:r>
                  <w:r w:rsidRPr="001D1B80">
                    <w:rPr>
                      <w:lang w:val="en-US"/>
                    </w:rPr>
                    <w:t xml:space="preserve"> the nearest</w:t>
                  </w:r>
                  <w:r w:rsidRPr="001D1B80">
                    <w:rPr>
                      <w:lang w:val="da-DK"/>
                    </w:rPr>
                    <w:t xml:space="preserve"> milligram and</w:t>
                  </w:r>
                  <w:r w:rsidRPr="001D1B80">
                    <w:rPr>
                      <w:lang w:val="en-US"/>
                    </w:rPr>
                    <w:t xml:space="preserve"> spread onto the surface of each mesocosm concerned</w:t>
                  </w:r>
                  <w:r w:rsidRPr="001D1B80">
                    <w:rPr>
                      <w:lang w:val="cs-CZ"/>
                    </w:rPr>
                    <w:t xml:space="preserve"> by</w:t>
                  </w:r>
                  <w:r w:rsidRPr="001D1B80">
                    <w:rPr>
                      <w:lang w:val="en-US"/>
                    </w:rPr>
                    <w:t xml:space="preserve"> this allelochemical treatment. With</w:t>
                  </w:r>
                  <w:r w:rsidRPr="001D1B80">
                    <w:rPr>
                      <w:lang w:val="sl-SI"/>
                    </w:rPr>
                    <w:t xml:space="preserve"> a</w:t>
                  </w:r>
                  <w:r w:rsidRPr="001D1B80">
                    <w:rPr>
                      <w:lang w:val="en-US"/>
                    </w:rPr>
                    <w:t xml:space="preserve"> water solubility of</w:t>
                  </w:r>
                  <w:r w:rsidRPr="001D1B80">
                    <w:rPr>
                      <w:lang w:val="ca-ES"/>
                    </w:rPr>
                    <w:t xml:space="preserve"> 11.9</w:t>
                  </w:r>
                  <w:r w:rsidRPr="001D1B80">
                    <w:rPr>
                      <w:lang w:val="sl-SI"/>
                    </w:rPr>
                    <w:t xml:space="preserve"> g</w:t>
                  </w:r>
                  <w:r w:rsidRPr="001D1B80">
                    <w:rPr>
                      <w:lang w:val="en-US"/>
                    </w:rPr>
                    <w:t xml:space="preserve"> L</w:t>
                  </w:r>
                  <w:r w:rsidRPr="001D1B80">
                    <w:rPr>
                      <w:lang w:val="en-US"/>
                    </w:rPr>
                    <w:sym w:font="Symbol" w:char="F02D"/>
                  </w:r>
                  <w:r w:rsidRPr="001D1B80">
                    <w:rPr>
                      <w:lang w:val="en-US"/>
                    </w:rPr>
                    <w:t>1, gallic acid powder was practically instantaneously dissolved into the</w:t>
                  </w:r>
                  <w:r w:rsidRPr="001D1B80">
                    <w:rPr>
                      <w:lang w:val="ca-ES"/>
                    </w:rPr>
                    <w:t xml:space="preserve"> 2.6 m3</w:t>
                  </w:r>
                  <w:r w:rsidRPr="001D1B80">
                    <w:rPr>
                      <w:lang w:val="en-US"/>
                    </w:rPr>
                    <w:t xml:space="preserve"> of water</w:t>
                  </w:r>
                  <w:r w:rsidRPr="001D1B80">
                    <w:rPr>
                      <w:lang w:val="pt-BR"/>
                    </w:rPr>
                    <w:t xml:space="preserve"> volume per</w:t>
                  </w:r>
                  <w:r w:rsidRPr="001D1B80">
                    <w:rPr>
                      <w:lang w:val="en-US"/>
                    </w:rPr>
                    <w:t xml:space="preserve"> mesocosm. Nonanoic acid</w:t>
                  </w:r>
                  <w:r w:rsidRPr="001D1B80">
                    <w:rPr>
                      <w:lang w:val="ca-ES"/>
                    </w:rPr>
                    <w:t xml:space="preserve"> (97%</w:t>
                  </w:r>
                  <w:r w:rsidRPr="001D1B80">
                    <w:rPr>
                      <w:lang w:val="en-US"/>
                    </w:rPr>
                    <w:t xml:space="preserve"> purity, liquid</w:t>
                  </w:r>
                  <w:r w:rsidRPr="001D1B80">
                    <w:rPr>
                      <w:lang w:val="sl-SI"/>
                    </w:rPr>
                    <w:t xml:space="preserve"> form)</w:t>
                  </w:r>
                  <w:r w:rsidRPr="001D1B80">
                    <w:rPr>
                      <w:lang w:val="en-US"/>
                    </w:rPr>
                    <w:t xml:space="preserve"> was obtained from</w:t>
                  </w:r>
                  <w:r w:rsidRPr="001D1B80">
                    <w:rPr>
                      <w:lang w:val="sl-SI"/>
                    </w:rPr>
                    <w:t xml:space="preserve"> Alfa</w:t>
                  </w:r>
                  <w:r w:rsidRPr="001D1B80">
                    <w:rPr>
                      <w:lang w:val="en-US"/>
                    </w:rPr>
                    <w:t xml:space="preserve"> Aesar</w:t>
                  </w:r>
                  <w:r w:rsidRPr="001D1B80">
                    <w:rPr>
                      <w:lang w:val="sl-SI"/>
                    </w:rPr>
                    <w:t xml:space="preserve"> (Lot.</w:t>
                  </w:r>
                  <w:r w:rsidRPr="001D1B80">
                    <w:rPr>
                      <w:lang w:val="ca-ES"/>
                    </w:rPr>
                    <w:t xml:space="preserve"> 10,146,705)</w:t>
                  </w:r>
                  <w:r w:rsidRPr="001D1B80">
                    <w:rPr>
                      <w:lang w:val="da-DK"/>
                    </w:rPr>
                    <w:t xml:space="preserve"> and</w:t>
                  </w:r>
                  <w:r w:rsidRPr="001D1B80">
                    <w:rPr>
                      <w:lang w:val="en-US"/>
                    </w:rPr>
                    <w:t xml:space="preserve"> directly added into mesocosms</w:t>
                  </w:r>
                  <w:r w:rsidRPr="001D1B80">
                    <w:rPr>
                      <w:lang w:val="sl-SI"/>
                    </w:rPr>
                    <w:t xml:space="preserve"> to</w:t>
                  </w:r>
                  <w:r w:rsidRPr="001D1B80">
                    <w:rPr>
                      <w:lang w:val="en-US"/>
                    </w:rPr>
                    <w:t xml:space="preserve"> achieve</w:t>
                  </w:r>
                  <w:r w:rsidRPr="001D1B80">
                    <w:rPr>
                      <w:lang w:val="da-DK"/>
                    </w:rPr>
                    <w:t xml:space="preserve"> proper</w:t>
                  </w:r>
                  <w:r w:rsidRPr="001D1B80">
                    <w:rPr>
                      <w:lang w:val="en-US"/>
                    </w:rPr>
                    <w:t xml:space="preserve"> dilutions. Each</w:t>
                  </w:r>
                  <w:r w:rsidRPr="001D1B80">
                    <w:rPr>
                      <w:lang w:val="da-DK"/>
                    </w:rPr>
                    <w:t xml:space="preserve"> compound</w:t>
                  </w:r>
                  <w:r w:rsidRPr="001D1B80">
                    <w:rPr>
                      <w:lang w:val="en-US"/>
                    </w:rPr>
                    <w:t xml:space="preserve"> was added</w:t>
                  </w:r>
                  <w:r w:rsidRPr="001D1B80">
                    <w:rPr>
                      <w:lang w:val="sl-SI"/>
                    </w:rPr>
                    <w:t xml:space="preserve"> in</w:t>
                  </w:r>
                  <w:r w:rsidRPr="001D1B80">
                    <w:rPr>
                      <w:lang w:val="en-US"/>
                    </w:rPr>
                    <w:t xml:space="preserve"> sufficient quantities into mesocosms</w:t>
                  </w:r>
                  <w:r w:rsidRPr="001D1B80">
                    <w:rPr>
                      <w:lang w:val="sl-SI"/>
                    </w:rPr>
                    <w:t xml:space="preserve"> to</w:t>
                  </w:r>
                  <w:r w:rsidRPr="001D1B80">
                    <w:rPr>
                      <w:lang w:val="en-US"/>
                    </w:rPr>
                    <w:t xml:space="preserve"> achieve</w:t>
                  </w:r>
                  <w:r w:rsidRPr="001D1B80">
                    <w:rPr>
                      <w:lang w:val="pt-BR"/>
                    </w:rPr>
                    <w:t xml:space="preserve"> final</w:t>
                  </w:r>
                  <w:r w:rsidRPr="001D1B80">
                    <w:rPr>
                      <w:lang w:val="en-US"/>
                    </w:rPr>
                    <w:t xml:space="preserve"> water concentrations of</w:t>
                  </w:r>
                  <w:r w:rsidRPr="001D1B80">
                    <w:rPr>
                      <w:lang w:val="ca-ES"/>
                    </w:rPr>
                    <w:t xml:space="preserve"> 1, 2</w:t>
                  </w:r>
                  <w:r w:rsidRPr="001D1B80">
                    <w:rPr>
                      <w:lang w:val="sl-SI"/>
                    </w:rPr>
                    <w:t xml:space="preserve"> or</w:t>
                  </w:r>
                  <w:r w:rsidRPr="001D1B80">
                    <w:rPr>
                      <w:lang w:val="ca-ES"/>
                    </w:rPr>
                    <w:t xml:space="preserve"> 4</w:t>
                  </w:r>
                  <w:r w:rsidRPr="001D1B80">
                    <w:rPr>
                      <w:lang w:val="sl-SI"/>
                    </w:rPr>
                    <w:t xml:space="preserve"> mg</w:t>
                  </w:r>
                  <w:r w:rsidRPr="001D1B80">
                    <w:rPr>
                      <w:lang w:val="en-US"/>
                    </w:rPr>
                    <w:t xml:space="preserve"> L</w:t>
                  </w:r>
                  <w:r w:rsidRPr="001D1B80">
                    <w:rPr>
                      <w:lang w:val="en-US"/>
                    </w:rPr>
                    <w:sym w:font="Symbol" w:char="F02D"/>
                  </w:r>
                  <w:r w:rsidRPr="001D1B80">
                    <w:rPr>
                      <w:lang w:val="en-US"/>
                    </w:rPr>
                    <w:t>1 respectively</w:t>
                  </w:r>
                  <w:r w:rsidRPr="001D1B80">
                    <w:rPr>
                      <w:lang w:val="pt-BR"/>
                    </w:rPr>
                    <w:t xml:space="preserve"> for</w:t>
                  </w:r>
                  <w:r w:rsidRPr="001D1B80">
                    <w:rPr>
                      <w:lang w:val="ca-ES"/>
                    </w:rPr>
                    <w:t xml:space="preserve"> A1, A2</w:t>
                  </w:r>
                  <w:r w:rsidRPr="001D1B80">
                    <w:rPr>
                      <w:lang w:val="da-DK"/>
                    </w:rPr>
                    <w:t xml:space="preserve"> and</w:t>
                  </w:r>
                  <w:r w:rsidRPr="001D1B80">
                    <w:rPr>
                      <w:lang w:val="ca-ES"/>
                    </w:rPr>
                    <w:t xml:space="preserve"> A3</w:t>
                  </w:r>
                  <w:r w:rsidRPr="001D1B80">
                    <w:rPr>
                      <w:lang w:val="en-US"/>
                    </w:rPr>
                    <w:t xml:space="preserve"> allelochemical application</w:t>
                  </w:r>
                  <w:r w:rsidRPr="001D1B80">
                    <w:rPr>
                      <w:lang w:val="pt-BR"/>
                    </w:rPr>
                    <w:t xml:space="preserve"> series</w:t>
                  </w:r>
                  <w:r w:rsidRPr="001D1B80">
                    <w:rPr>
                      <w:lang w:val="en-US"/>
                    </w:rPr>
                    <w:t xml:space="preserve"> (cf. Section</w:t>
                  </w:r>
                  <w:r w:rsidRPr="001D1B80">
                    <w:rPr>
                      <w:lang w:val="ca-ES"/>
                    </w:rPr>
                    <w:t xml:space="preserve"> 2.4).</w:t>
                  </w:r>
                  <w:r w:rsidRPr="001D1B80">
                    <w:rPr>
                      <w:lang w:val="da-DK"/>
                    </w:rPr>
                    <w:t xml:space="preserve"> All</w:t>
                  </w:r>
                  <w:r w:rsidRPr="001D1B80">
                    <w:rPr>
                      <w:lang w:val="en-US"/>
                    </w:rPr>
                    <w:t xml:space="preserve"> the other chemicals required</w:t>
                  </w:r>
                  <w:r w:rsidRPr="001D1B80">
                    <w:rPr>
                      <w:lang w:val="pt-BR"/>
                    </w:rPr>
                    <w:t xml:space="preserve"> for</w:t>
                  </w:r>
                  <w:r w:rsidRPr="001D1B80">
                    <w:rPr>
                      <w:lang w:val="da-DK"/>
                    </w:rPr>
                    <w:t xml:space="preserve"> biomarker</w:t>
                  </w:r>
                  <w:r w:rsidRPr="001D1B80">
                    <w:rPr>
                      <w:lang w:val="en-US"/>
                    </w:rPr>
                    <w:t xml:space="preserve"> assessment</w:t>
                  </w:r>
                  <w:r w:rsidRPr="001D1B80">
                    <w:rPr>
                      <w:lang w:val="fi-FI"/>
                    </w:rPr>
                    <w:t xml:space="preserve"> innon</w:t>
                  </w:r>
                  <w:r w:rsidRPr="001D1B80">
                    <w:rPr>
                      <w:lang w:val="en-US"/>
                    </w:rPr>
                    <w:t>-target organisms were provided</w:t>
                  </w:r>
                  <w:r w:rsidRPr="001D1B80">
                    <w:rPr>
                      <w:lang w:val="cs-CZ"/>
                    </w:rPr>
                    <w:t xml:space="preserve"> by</w:t>
                  </w:r>
                  <w:r w:rsidRPr="001D1B80">
                    <w:rPr>
                      <w:lang w:val="sl-SI"/>
                    </w:rPr>
                    <w:t xml:space="preserve"> Sigma</w:t>
                  </w:r>
                  <w:r w:rsidRPr="001D1B80">
                    <w:rPr>
                      <w:lang w:val="en-US"/>
                    </w:rPr>
                    <w:t>-Aldrich Chemical</w:t>
                  </w:r>
                  <w:r w:rsidRPr="001D1B80">
                    <w:rPr>
                      <w:lang w:val="pt-BR"/>
                    </w:rPr>
                    <w:t xml:space="preserve"> Co.</w:t>
                  </w:r>
                  <w:r w:rsidRPr="001D1B80">
                    <w:rPr>
                      <w:lang w:val="sl-SI"/>
                    </w:rPr>
                    <w:t xml:space="preserve"> (St. Louis,</w:t>
                  </w:r>
                  <w:r w:rsidRPr="001D1B80">
                    <w:rPr>
                      <w:lang w:val="en-US"/>
                    </w:rPr>
                    <w:t xml:space="preserve"> MO,</w:t>
                  </w:r>
                  <w:r w:rsidRPr="001D1B80">
                    <w:rPr>
                      <w:lang w:val="pt-BR"/>
                    </w:rPr>
                    <w:t xml:space="preserve"> USA).</w:t>
                  </w:r>
                </w:p>
              </w:sdtContent>
            </w:sdt>
          </w:sdtContent>
        </w:sdt>
        <w:sdt>
          <w:sdtPr>
            <w:rPr>
              <w:b w:val="0"/>
              <w:bCs w:val="0"/>
              <w:sz w:val="20"/>
              <w:szCs w:val="20"/>
            </w:rPr>
            <w:id w:val="-888346318"/>
            <w:placeholder>
              <w:docPart w:val="642E9485D971435A946B00DB829EBBDA"/>
            </w:placeholder>
            <w15:repeatingSectionItem/>
          </w:sdtPr>
          <w:sdtEndPr/>
          <w:sdtContent>
            <w:p w:rsidR="00822658" w:rsidRPr="001D1B80" w:rsidRDefault="00D27E5B" w:rsidP="001D1B80">
              <w:pPr>
                <w:pStyle w:val="SousTitrePartieArticle"/>
              </w:pPr>
              <w:sdt>
                <w:sdtPr>
                  <w:id w:val="-2019293410"/>
                  <w:placeholder>
                    <w:docPart w:val="486B23B57A8A47C198E7EDDB59AC0B75"/>
                  </w:placeholder>
                  <w:text/>
                </w:sdtPr>
                <w:sdtEndPr/>
                <w:sdtContent>
                  <w:r w:rsidR="006F2346" w:rsidRPr="001D1B80">
                    <w:t>Mesocosm design</w:t>
                  </w:r>
                </w:sdtContent>
              </w:sdt>
              <w:r w:rsidR="00822658" w:rsidRPr="001D1B80">
                <w:tab/>
              </w:r>
            </w:p>
            <w:sdt>
              <w:sdtPr>
                <w:id w:val="1196819641"/>
                <w:placeholder>
                  <w:docPart w:val="DEAFC57D855A4DC893BBE9FE254FA380"/>
                </w:placeholder>
              </w:sdtPr>
              <w:sdtEndPr/>
              <w:sdtContent>
                <w:p w:rsidR="00C25631" w:rsidRPr="001D1B80" w:rsidRDefault="006F2346" w:rsidP="001D1B80">
                  <w:pPr>
                    <w:pStyle w:val="Partie"/>
                    <w:rPr>
                      <w:lang w:val="en-US"/>
                    </w:rPr>
                  </w:pPr>
                  <w:r w:rsidRPr="001D1B80">
                    <w:rPr>
                      <w:lang w:val="en-US"/>
                    </w:rPr>
                    <w:t>The mesocosms consisted of thirteen</w:t>
                  </w:r>
                  <w:r w:rsidRPr="001D1B80">
                    <w:rPr>
                      <w:lang w:val="da-DK"/>
                    </w:rPr>
                    <w:t xml:space="preserve"> polyester tanks</w:t>
                  </w:r>
                  <w:r w:rsidRPr="001D1B80">
                    <w:rPr>
                      <w:lang w:val="ca-ES"/>
                    </w:rPr>
                    <w:t xml:space="preserve"> (2.14</w:t>
                  </w:r>
                  <w:r w:rsidRPr="001D1B80">
                    <w:rPr>
                      <w:lang w:val="sl-SI"/>
                    </w:rPr>
                    <w:t xml:space="preserve"> m</w:t>
                  </w:r>
                  <w:r w:rsidRPr="001D1B80">
                    <w:rPr>
                      <w:lang w:val="en-US"/>
                    </w:rPr>
                    <w:t xml:space="preserve"> long ×</w:t>
                  </w:r>
                  <w:r w:rsidRPr="001D1B80">
                    <w:rPr>
                      <w:lang w:val="ca-ES"/>
                    </w:rPr>
                    <w:t xml:space="preserve"> 2.14</w:t>
                  </w:r>
                  <w:r w:rsidRPr="001D1B80">
                    <w:rPr>
                      <w:lang w:val="sl-SI"/>
                    </w:rPr>
                    <w:t xml:space="preserve"> m</w:t>
                  </w:r>
                  <w:r w:rsidRPr="001D1B80">
                    <w:rPr>
                      <w:lang w:val="en-US"/>
                    </w:rPr>
                    <w:t xml:space="preserve"> wide ×</w:t>
                  </w:r>
                  <w:r w:rsidRPr="001D1B80">
                    <w:rPr>
                      <w:lang w:val="ca-ES"/>
                    </w:rPr>
                    <w:t xml:space="preserve"> 0.65</w:t>
                  </w:r>
                  <w:r w:rsidRPr="001D1B80">
                    <w:rPr>
                      <w:lang w:val="sl-SI"/>
                    </w:rPr>
                    <w:t xml:space="preserve"> m</w:t>
                  </w:r>
                  <w:r w:rsidRPr="001D1B80">
                    <w:rPr>
                      <w:lang w:val="en-US"/>
                    </w:rPr>
                    <w:t xml:space="preserve"> deep)</w:t>
                  </w:r>
                  <w:r w:rsidRPr="001D1B80">
                    <w:rPr>
                      <w:lang w:val="pt-BR"/>
                    </w:rPr>
                    <w:t xml:space="preserve"> for</w:t>
                  </w:r>
                  <w:r w:rsidRPr="001D1B80">
                    <w:rPr>
                      <w:lang w:val="sl-SI"/>
                    </w:rPr>
                    <w:t xml:space="preserve"> a</w:t>
                  </w:r>
                  <w:r w:rsidRPr="001D1B80">
                    <w:rPr>
                      <w:lang w:val="pt-BR"/>
                    </w:rPr>
                    <w:t xml:space="preserve"> total volume</w:t>
                  </w:r>
                  <w:r w:rsidRPr="001D1B80">
                    <w:rPr>
                      <w:lang w:val="en-US"/>
                    </w:rPr>
                    <w:t xml:space="preserve"> of</w:t>
                  </w:r>
                  <w:r w:rsidRPr="001D1B80">
                    <w:rPr>
                      <w:lang w:val="ca-ES"/>
                    </w:rPr>
                    <w:t xml:space="preserve"> 3 m3</w:t>
                  </w:r>
                  <w:r w:rsidRPr="001D1B80">
                    <w:rPr>
                      <w:lang w:val="en-US"/>
                    </w:rPr>
                    <w:t xml:space="preserve"> each, filled with</w:t>
                  </w:r>
                  <w:r w:rsidRPr="001D1B80">
                    <w:rPr>
                      <w:lang w:val="ca-ES"/>
                    </w:rPr>
                    <w:t xml:space="preserve"> 2.6 m3</w:t>
                  </w:r>
                  <w:r w:rsidRPr="001D1B80">
                    <w:rPr>
                      <w:lang w:val="en-US"/>
                    </w:rPr>
                    <w:t xml:space="preserve"> of continuously aerated</w:t>
                  </w:r>
                  <w:r w:rsidRPr="001D1B80">
                    <w:rPr>
                      <w:lang w:val="da-DK"/>
                    </w:rPr>
                    <w:t xml:space="preserve"> tap</w:t>
                  </w:r>
                  <w:r w:rsidRPr="001D1B80">
                    <w:rPr>
                      <w:lang w:val="en-US"/>
                    </w:rPr>
                    <w:t xml:space="preserve"> water. Continuous water mixing</w:t>
                  </w:r>
                  <w:r w:rsidRPr="001D1B80">
                    <w:rPr>
                      <w:lang w:val="da-DK"/>
                    </w:rPr>
                    <w:t xml:space="preserve"> and</w:t>
                  </w:r>
                  <w:r w:rsidRPr="001D1B80">
                    <w:rPr>
                      <w:lang w:val="en-US"/>
                    </w:rPr>
                    <w:t xml:space="preserve"> aeration was ensured through</w:t>
                  </w:r>
                  <w:r w:rsidRPr="001D1B80">
                    <w:rPr>
                      <w:lang w:val="da-DK"/>
                    </w:rPr>
                    <w:t xml:space="preserve"> air</w:t>
                  </w:r>
                  <w:r w:rsidRPr="001D1B80">
                    <w:rPr>
                      <w:lang w:val="en-US"/>
                    </w:rPr>
                    <w:t xml:space="preserve"> bubble introduction</w:t>
                  </w:r>
                  <w:r w:rsidRPr="001D1B80">
                    <w:rPr>
                      <w:lang w:val="da-DK"/>
                    </w:rPr>
                    <w:t xml:space="preserve"> at</w:t>
                  </w:r>
                  <w:r w:rsidRPr="001D1B80">
                    <w:rPr>
                      <w:lang w:val="en-US"/>
                    </w:rPr>
                    <w:t xml:space="preserve"> the bottom of the</w:t>
                  </w:r>
                  <w:r w:rsidRPr="001D1B80">
                    <w:rPr>
                      <w:lang w:val="da-DK"/>
                    </w:rPr>
                    <w:t xml:space="preserve"> tanks.</w:t>
                  </w:r>
                  <w:r w:rsidRPr="001D1B80">
                    <w:rPr>
                      <w:lang w:val="en-US"/>
                    </w:rPr>
                    <w:t xml:space="preserve"> They were</w:t>
                  </w:r>
                  <w:r w:rsidRPr="001D1B80">
                    <w:rPr>
                      <w:lang w:val="da-DK"/>
                    </w:rPr>
                    <w:t xml:space="preserve"> all</w:t>
                  </w:r>
                  <w:r w:rsidRPr="001D1B80">
                    <w:rPr>
                      <w:lang w:val="en-US"/>
                    </w:rPr>
                    <w:t xml:space="preserve"> located</w:t>
                  </w:r>
                  <w:r w:rsidRPr="001D1B80">
                    <w:rPr>
                      <w:lang w:val="da-DK"/>
                    </w:rPr>
                    <w:t xml:space="preserve"> at</w:t>
                  </w:r>
                  <w:r w:rsidRPr="001D1B80">
                    <w:rPr>
                      <w:lang w:val="en-US"/>
                    </w:rPr>
                    <w:t xml:space="preserve"> the outdoor facility of INRA –</w:t>
                  </w:r>
                  <w:r w:rsidRPr="001D1B80">
                    <w:rPr>
                      <w:lang w:val="sl-SI"/>
                    </w:rPr>
                    <w:t xml:space="preserve"> La</w:t>
                  </w:r>
                  <w:r w:rsidRPr="001D1B80">
                    <w:rPr>
                      <w:lang w:val="en-US"/>
                    </w:rPr>
                    <w:t xml:space="preserve"> Bouzule</w:t>
                  </w:r>
                  <w:r w:rsidRPr="001D1B80">
                    <w:rPr>
                      <w:lang w:val="sl-SI"/>
                    </w:rPr>
                    <w:t xml:space="preserve"> farm</w:t>
                  </w:r>
                  <w:r w:rsidRPr="001D1B80">
                    <w:rPr>
                      <w:lang w:val="en-US"/>
                    </w:rPr>
                    <w:t xml:space="preserve"> (Laneuvellotte, Meurthe-et-Moselle,</w:t>
                  </w:r>
                  <w:r w:rsidRPr="001D1B80">
                    <w:rPr>
                      <w:lang w:val="sl-SI"/>
                    </w:rPr>
                    <w:t xml:space="preserve"> France)</w:t>
                  </w:r>
                  <w:r w:rsidRPr="001D1B80">
                    <w:rPr>
                      <w:lang w:val="da-DK"/>
                    </w:rPr>
                    <w:t xml:space="preserve"> – and</w:t>
                  </w:r>
                  <w:r w:rsidRPr="001D1B80">
                    <w:rPr>
                      <w:lang w:val="en-US"/>
                    </w:rPr>
                    <w:t xml:space="preserve"> exposed</w:t>
                  </w:r>
                  <w:r w:rsidRPr="001D1B80">
                    <w:rPr>
                      <w:lang w:val="sl-SI"/>
                    </w:rPr>
                    <w:t xml:space="preserve"> to</w:t>
                  </w:r>
                  <w:r w:rsidRPr="001D1B80">
                    <w:rPr>
                      <w:lang w:val="en-US"/>
                    </w:rPr>
                    <w:t xml:space="preserve"> naturally varying climate conditions (from May</w:t>
                  </w:r>
                  <w:r w:rsidRPr="001D1B80">
                    <w:rPr>
                      <w:lang w:val="sl-SI"/>
                    </w:rPr>
                    <w:t xml:space="preserve"> to</w:t>
                  </w:r>
                  <w:r w:rsidRPr="001D1B80">
                    <w:rPr>
                      <w:lang w:val="en-US"/>
                    </w:rPr>
                    <w:t xml:space="preserve"> July). Half of the surface of each mesocosm was covered with</w:t>
                  </w:r>
                  <w:r w:rsidRPr="001D1B80">
                    <w:rPr>
                      <w:lang w:val="sl-SI"/>
                    </w:rPr>
                    <w:t xml:space="preserve"> a PVC</w:t>
                  </w:r>
                  <w:r w:rsidRPr="001D1B80">
                    <w:rPr>
                      <w:lang w:val="en-US"/>
                    </w:rPr>
                    <w:t xml:space="preserve"> shade cloth</w:t>
                  </w:r>
                  <w:r w:rsidRPr="001D1B80">
                    <w:rPr>
                      <w:lang w:val="da-DK"/>
                    </w:rPr>
                    <w:t xml:space="preserve"> and</w:t>
                  </w:r>
                  <w:r w:rsidRPr="001D1B80">
                    <w:rPr>
                      <w:lang w:val="en-US"/>
                    </w:rPr>
                    <w:t xml:space="preserve"> the other half with</w:t>
                  </w:r>
                  <w:r w:rsidRPr="001D1B80">
                    <w:rPr>
                      <w:lang w:val="sl-SI"/>
                    </w:rPr>
                    <w:t xml:space="preserve"> a</w:t>
                  </w:r>
                  <w:r w:rsidRPr="001D1B80">
                    <w:rPr>
                      <w:lang w:val="da-DK"/>
                    </w:rPr>
                    <w:t xml:space="preserve"> net</w:t>
                  </w:r>
                  <w:r w:rsidRPr="001D1B80">
                    <w:rPr>
                      <w:lang w:val="sl-SI"/>
                    </w:rPr>
                    <w:t xml:space="preserve"> to</w:t>
                  </w:r>
                  <w:r w:rsidRPr="001D1B80">
                    <w:rPr>
                      <w:lang w:val="en-US"/>
                    </w:rPr>
                    <w:t xml:space="preserve"> prevent bird predation</w:t>
                  </w:r>
                  <w:r w:rsidRPr="001D1B80">
                    <w:rPr>
                      <w:lang w:val="sl-SI"/>
                    </w:rPr>
                    <w:t xml:space="preserve"> on</w:t>
                  </w:r>
                  <w:r w:rsidRPr="001D1B80">
                    <w:rPr>
                      <w:lang w:val="en-US"/>
                    </w:rPr>
                    <w:t xml:space="preserve"> fish.</w:t>
                  </w:r>
                  <w:r w:rsidRPr="001D1B80">
                    <w:rPr>
                      <w:lang w:val="sl-SI"/>
                    </w:rPr>
                    <w:t xml:space="preserve"> A</w:t>
                  </w:r>
                  <w:r w:rsidRPr="001D1B80">
                    <w:rPr>
                      <w:lang w:val="ca-ES"/>
                    </w:rPr>
                    <w:t xml:space="preserve"> 25</w:t>
                  </w:r>
                  <w:r w:rsidRPr="001D1B80">
                    <w:rPr>
                      <w:lang w:val="sl-SI"/>
                    </w:rPr>
                    <w:t xml:space="preserve"> L</w:t>
                  </w:r>
                  <w:r w:rsidRPr="001D1B80">
                    <w:rPr>
                      <w:lang w:val="pt-BR"/>
                    </w:rPr>
                    <w:t xml:space="preserve"> volume</w:t>
                  </w:r>
                  <w:r w:rsidRPr="001D1B80">
                    <w:rPr>
                      <w:lang w:val="en-US"/>
                    </w:rPr>
                    <w:t xml:space="preserve"> of surface sediments collected from</w:t>
                  </w:r>
                  <w:r w:rsidRPr="001D1B80">
                    <w:rPr>
                      <w:lang w:val="sl-SI"/>
                    </w:rPr>
                    <w:t xml:space="preserve"> a reference site in</w:t>
                  </w:r>
                  <w:r w:rsidRPr="001D1B80">
                    <w:rPr>
                      <w:lang w:val="en-US"/>
                    </w:rPr>
                    <w:t xml:space="preserve"> anon-polluted area</w:t>
                  </w:r>
                  <w:r w:rsidRPr="001D1B80">
                    <w:rPr>
                      <w:lang w:val="da-DK"/>
                    </w:rPr>
                    <w:t xml:space="preserve"> (“wild”</w:t>
                  </w:r>
                  <w:r w:rsidRPr="001D1B80">
                    <w:rPr>
                      <w:lang w:val="en-US"/>
                    </w:rPr>
                    <w:t xml:space="preserve"> Moselle River, Tonnoy,</w:t>
                  </w:r>
                  <w:r w:rsidRPr="001D1B80">
                    <w:rPr>
                      <w:lang w:val="ca-ES"/>
                    </w:rPr>
                    <w:t xml:space="preserve"> 54210,</w:t>
                  </w:r>
                  <w:r w:rsidRPr="001D1B80">
                    <w:rPr>
                      <w:lang w:val="sl-SI"/>
                    </w:rPr>
                    <w:t xml:space="preserve"> France)</w:t>
                  </w:r>
                  <w:r w:rsidRPr="001D1B80">
                    <w:rPr>
                      <w:lang w:val="en-US"/>
                    </w:rPr>
                    <w:t xml:space="preserve"> was packed into rectangular</w:t>
                  </w:r>
                  <w:r w:rsidRPr="001D1B80">
                    <w:rPr>
                      <w:lang w:val="sl-SI"/>
                    </w:rPr>
                    <w:t xml:space="preserve"> PVC</w:t>
                  </w:r>
                  <w:r w:rsidRPr="001D1B80">
                    <w:rPr>
                      <w:lang w:val="da-DK"/>
                    </w:rPr>
                    <w:t xml:space="preserve"> containers and</w:t>
                  </w:r>
                  <w:r w:rsidRPr="001D1B80">
                    <w:rPr>
                      <w:lang w:val="en-US"/>
                    </w:rPr>
                    <w:t xml:space="preserve"> laid</w:t>
                  </w:r>
                  <w:r w:rsidRPr="001D1B80">
                    <w:rPr>
                      <w:lang w:val="da-DK"/>
                    </w:rPr>
                    <w:t xml:space="preserve"> at</w:t>
                  </w:r>
                  <w:r w:rsidRPr="001D1B80">
                    <w:rPr>
                      <w:lang w:val="en-US"/>
                    </w:rPr>
                    <w:t xml:space="preserve"> the bot</w:t>
                  </w:r>
                  <w:r w:rsidRPr="001D1B80">
                    <w:rPr>
                      <w:lang w:val="en-US"/>
                    </w:rPr>
                    <w:softHyphen/>
                    <w:t>tom of the</w:t>
                  </w:r>
                  <w:r w:rsidRPr="001D1B80">
                    <w:rPr>
                      <w:lang w:val="da-DK"/>
                    </w:rPr>
                    <w:t xml:space="preserve"> tanks</w:t>
                  </w:r>
                  <w:r w:rsidRPr="001D1B80">
                    <w:rPr>
                      <w:lang w:val="sv-SE"/>
                    </w:rPr>
                    <w:t xml:space="preserve"> inorder</w:t>
                  </w:r>
                  <w:r w:rsidRPr="001D1B80">
                    <w:rPr>
                      <w:lang w:val="sl-SI"/>
                    </w:rPr>
                    <w:t xml:space="preserve"> to</w:t>
                  </w:r>
                  <w:r w:rsidRPr="001D1B80">
                    <w:rPr>
                      <w:lang w:val="en-US"/>
                    </w:rPr>
                    <w:t xml:space="preserve"> simulate</w:t>
                  </w:r>
                  <w:r w:rsidRPr="001D1B80">
                    <w:rPr>
                      <w:lang w:val="sl-SI"/>
                    </w:rPr>
                    <w:t xml:space="preserve"> more</w:t>
                  </w:r>
                  <w:r w:rsidRPr="001D1B80">
                    <w:rPr>
                      <w:lang w:val="en-US"/>
                    </w:rPr>
                    <w:t xml:space="preserve"> natural environmental con</w:t>
                  </w:r>
                  <w:r w:rsidRPr="001D1B80">
                    <w:rPr>
                      <w:lang w:val="en-US"/>
                    </w:rPr>
                    <w:softHyphen/>
                    <w:t>ditions especially</w:t>
                  </w:r>
                  <w:r w:rsidRPr="001D1B80">
                    <w:rPr>
                      <w:lang w:val="sl-SI"/>
                    </w:rPr>
                    <w:t xml:space="preserve"> in</w:t>
                  </w:r>
                  <w:r w:rsidRPr="001D1B80">
                    <w:rPr>
                      <w:lang w:val="en-US"/>
                    </w:rPr>
                    <w:t xml:space="preserve"> ponds. Several</w:t>
                  </w:r>
                  <w:r w:rsidRPr="001D1B80">
                    <w:rPr>
                      <w:lang w:val="sl-SI"/>
                    </w:rPr>
                    <w:t xml:space="preserve"> plankton</w:t>
                  </w:r>
                  <w:r w:rsidRPr="001D1B80">
                    <w:rPr>
                      <w:lang w:val="en-US"/>
                    </w:rPr>
                    <w:t xml:space="preserve"> enrichments (sampled from</w:t>
                  </w:r>
                  <w:r w:rsidRPr="001D1B80">
                    <w:rPr>
                      <w:lang w:val="sl-SI"/>
                    </w:rPr>
                    <w:t xml:space="preserve"> a</w:t>
                  </w:r>
                  <w:r w:rsidRPr="001D1B80">
                    <w:rPr>
                      <w:lang w:val="da-DK"/>
                    </w:rPr>
                    <w:t xml:space="preserve"> pond</w:t>
                  </w:r>
                  <w:r w:rsidRPr="001D1B80">
                    <w:rPr>
                      <w:lang w:val="en-US"/>
                    </w:rPr>
                    <w:t xml:space="preserve"> located near the experimental</w:t>
                  </w:r>
                  <w:r w:rsidRPr="001D1B80">
                    <w:rPr>
                      <w:lang w:val="sl-SI"/>
                    </w:rPr>
                    <w:t xml:space="preserve"> platform)</w:t>
                  </w:r>
                  <w:r w:rsidRPr="001D1B80">
                    <w:rPr>
                      <w:lang w:val="en-US"/>
                    </w:rPr>
                    <w:t xml:space="preserve"> were conducted weekly during the mesocosm stabilization period.</w:t>
                  </w:r>
                  <w:r w:rsidRPr="001D1B80">
                    <w:rPr>
                      <w:lang w:val="pt-BR"/>
                    </w:rPr>
                    <w:t xml:space="preserve"> For</w:t>
                  </w:r>
                  <w:r w:rsidRPr="001D1B80">
                    <w:rPr>
                      <w:lang w:val="en-US"/>
                    </w:rPr>
                    <w:t xml:space="preserve"> this purpose,</w:t>
                  </w:r>
                  <w:r w:rsidRPr="001D1B80">
                    <w:rPr>
                      <w:lang w:val="sl-SI"/>
                    </w:rPr>
                    <w:t xml:space="preserve"> a</w:t>
                  </w:r>
                  <w:r w:rsidRPr="001D1B80">
                    <w:rPr>
                      <w:lang w:val="en-US"/>
                    </w:rPr>
                    <w:t xml:space="preserve"> 20-μm mesh size</w:t>
                  </w:r>
                  <w:r w:rsidRPr="001D1B80">
                    <w:rPr>
                      <w:lang w:val="sl-SI"/>
                    </w:rPr>
                    <w:t xml:space="preserve"> plankton</w:t>
                  </w:r>
                  <w:r w:rsidRPr="001D1B80">
                    <w:rPr>
                      <w:lang w:val="da-DK"/>
                    </w:rPr>
                    <w:t xml:space="preserve"> sampling net</w:t>
                  </w:r>
                  <w:r w:rsidRPr="001D1B80">
                    <w:rPr>
                      <w:lang w:val="en-US"/>
                    </w:rPr>
                    <w:t xml:space="preserve"> was regularly deployed aboard</w:t>
                  </w:r>
                  <w:r w:rsidRPr="001D1B80">
                    <w:rPr>
                      <w:lang w:val="sl-SI"/>
                    </w:rPr>
                    <w:t xml:space="preserve"> a motor</w:t>
                  </w:r>
                  <w:r w:rsidRPr="001D1B80">
                    <w:rPr>
                      <w:lang w:val="en-US"/>
                    </w:rPr>
                    <w:t xml:space="preserve"> boat</w:t>
                  </w:r>
                  <w:r w:rsidRPr="001D1B80">
                    <w:rPr>
                      <w:lang w:val="sl-SI"/>
                    </w:rPr>
                    <w:t xml:space="preserve"> in</w:t>
                  </w:r>
                  <w:r w:rsidRPr="001D1B80">
                    <w:rPr>
                      <w:lang w:val="en-US"/>
                    </w:rPr>
                    <w:t xml:space="preserve"> the nearby</w:t>
                  </w:r>
                  <w:r w:rsidRPr="001D1B80">
                    <w:rPr>
                      <w:lang w:val="da-DK"/>
                    </w:rPr>
                    <w:t xml:space="preserve"> pond.</w:t>
                  </w:r>
                  <w:r w:rsidRPr="001D1B80">
                    <w:rPr>
                      <w:lang w:val="en-US"/>
                    </w:rPr>
                    <w:t xml:space="preserve"> Then, the</w:t>
                  </w:r>
                  <w:r w:rsidRPr="001D1B80">
                    <w:rPr>
                      <w:lang w:val="da-DK"/>
                    </w:rPr>
                    <w:t xml:space="preserve"> net</w:t>
                  </w:r>
                  <w:r w:rsidRPr="001D1B80">
                    <w:rPr>
                      <w:lang w:val="en-US"/>
                    </w:rPr>
                    <w:t xml:space="preserve"> content was</w:t>
                  </w:r>
                  <w:r w:rsidRPr="001D1B80">
                    <w:rPr>
                      <w:lang w:val="da-DK"/>
                    </w:rPr>
                    <w:t xml:space="preserve"> split</w:t>
                  </w:r>
                  <w:r w:rsidRPr="001D1B80">
                    <w:rPr>
                      <w:lang w:val="en-US"/>
                    </w:rPr>
                    <w:t xml:space="preserve"> into equal</w:t>
                  </w:r>
                  <w:r w:rsidRPr="001D1B80">
                    <w:rPr>
                      <w:lang w:val="pt-BR"/>
                    </w:rPr>
                    <w:t xml:space="preserve"> volumes</w:t>
                  </w:r>
                  <w:r w:rsidRPr="001D1B80">
                    <w:rPr>
                      <w:lang w:val="en-US"/>
                    </w:rPr>
                    <w:t xml:space="preserve"> of</w:t>
                  </w:r>
                  <w:r w:rsidRPr="001D1B80">
                    <w:rPr>
                      <w:lang w:val="sl-SI"/>
                    </w:rPr>
                    <w:t xml:space="preserve"> one liter</w:t>
                  </w:r>
                  <w:r w:rsidRPr="001D1B80">
                    <w:rPr>
                      <w:lang w:val="da-DK"/>
                    </w:rPr>
                    <w:t xml:space="preserve"> and</w:t>
                  </w:r>
                  <w:r w:rsidRPr="001D1B80">
                    <w:rPr>
                      <w:lang w:val="en-US"/>
                    </w:rPr>
                    <w:t xml:space="preserve"> introduced into each mesocosm. Such</w:t>
                  </w:r>
                  <w:r w:rsidRPr="001D1B80">
                    <w:rPr>
                      <w:lang w:val="cs-CZ"/>
                    </w:rPr>
                    <w:t xml:space="preserve"> an</w:t>
                  </w:r>
                  <w:r w:rsidRPr="001D1B80">
                    <w:rPr>
                      <w:lang w:val="en-US"/>
                    </w:rPr>
                    <w:t xml:space="preserve"> operation aimed</w:t>
                  </w:r>
                  <w:r w:rsidRPr="001D1B80">
                    <w:rPr>
                      <w:lang w:val="da-DK"/>
                    </w:rPr>
                    <w:t xml:space="preserve"> at</w:t>
                  </w:r>
                  <w:r w:rsidRPr="001D1B80">
                    <w:rPr>
                      <w:lang w:val="en-US"/>
                    </w:rPr>
                    <w:t xml:space="preserve"> favoring the biodiversity</w:t>
                  </w:r>
                  <w:r w:rsidRPr="001D1B80">
                    <w:rPr>
                      <w:lang w:val="da-DK"/>
                    </w:rPr>
                    <w:t xml:space="preserve"> and</w:t>
                  </w:r>
                  <w:r w:rsidRPr="001D1B80">
                    <w:rPr>
                      <w:lang w:val="en-US"/>
                    </w:rPr>
                    <w:t xml:space="preserve"> rapid development of</w:t>
                  </w:r>
                  <w:r w:rsidRPr="001D1B80">
                    <w:rPr>
                      <w:lang w:val="sl-SI"/>
                    </w:rPr>
                    <w:t xml:space="preserve"> plankton</w:t>
                  </w:r>
                  <w:r w:rsidRPr="001D1B80">
                    <w:rPr>
                      <w:lang w:val="en-US"/>
                    </w:rPr>
                    <w:t xml:space="preserve"> communities (Caquet</w:t>
                  </w:r>
                  <w:r w:rsidRPr="001D1B80">
                    <w:rPr>
                      <w:lang w:val="pt-BR"/>
                    </w:rPr>
                    <w:t xml:space="preserve"> et</w:t>
                  </w:r>
                  <w:r w:rsidRPr="001D1B80">
                    <w:rPr>
                      <w:lang w:val="da-DK"/>
                    </w:rPr>
                    <w:t xml:space="preserve"> al.,</w:t>
                  </w:r>
                  <w:r w:rsidRPr="001D1B80">
                    <w:rPr>
                      <w:lang w:val="ca-ES"/>
                    </w:rPr>
                    <w:t xml:space="preserve"> 2005).</w:t>
                  </w:r>
                  <w:r w:rsidRPr="001D1B80">
                    <w:rPr>
                      <w:lang w:val="en-US"/>
                    </w:rPr>
                    <w:t xml:space="preserve"> Previous microscopic examination of water</w:t>
                  </w:r>
                  <w:r w:rsidRPr="001D1B80">
                    <w:rPr>
                      <w:lang w:val="da-DK"/>
                    </w:rPr>
                    <w:t xml:space="preserve"> samples</w:t>
                  </w:r>
                  <w:r w:rsidRPr="001D1B80">
                    <w:rPr>
                      <w:lang w:val="cs-CZ"/>
                    </w:rPr>
                    <w:t xml:space="preserve"> had</w:t>
                  </w:r>
                  <w:r w:rsidRPr="001D1B80">
                    <w:rPr>
                      <w:lang w:val="en-US"/>
                    </w:rPr>
                    <w:t xml:space="preserve"> revealed the presence of Merismopedia</w:t>
                  </w:r>
                  <w:r w:rsidRPr="001D1B80">
                    <w:rPr>
                      <w:lang w:val="sv-SE"/>
                    </w:rPr>
                    <w:t xml:space="preserve"> elegans</w:t>
                  </w:r>
                  <w:r w:rsidRPr="001D1B80">
                    <w:rPr>
                      <w:lang w:val="sl-SI"/>
                    </w:rPr>
                    <w:t xml:space="preserve"> as</w:t>
                  </w:r>
                  <w:r w:rsidRPr="001D1B80">
                    <w:rPr>
                      <w:lang w:val="en-US"/>
                    </w:rPr>
                    <w:t xml:space="preserve"> the</w:t>
                  </w:r>
                  <w:r w:rsidRPr="001D1B80">
                    <w:rPr>
                      <w:lang w:val="sl-SI"/>
                    </w:rPr>
                    <w:t xml:space="preserve"> major</w:t>
                  </w:r>
                  <w:r w:rsidRPr="001D1B80">
                    <w:rPr>
                      <w:lang w:val="en-US"/>
                    </w:rPr>
                    <w:t xml:space="preserve"> cyanobacterial</w:t>
                  </w:r>
                  <w:r w:rsidRPr="001D1B80">
                    <w:rPr>
                      <w:lang w:val="da-DK"/>
                    </w:rPr>
                    <w:t xml:space="preserve"> species</w:t>
                  </w:r>
                  <w:r w:rsidRPr="001D1B80">
                    <w:rPr>
                      <w:lang w:val="sl-SI"/>
                    </w:rPr>
                    <w:t xml:space="preserve"> in</w:t>
                  </w:r>
                  <w:r w:rsidRPr="001D1B80">
                    <w:rPr>
                      <w:lang w:val="en-US"/>
                    </w:rPr>
                    <w:t xml:space="preserve"> the sampled</w:t>
                  </w:r>
                  <w:r w:rsidRPr="001D1B80">
                    <w:rPr>
                      <w:lang w:val="da-DK"/>
                    </w:rPr>
                    <w:t xml:space="preserve"> pond (per</w:t>
                  </w:r>
                  <w:r w:rsidRPr="001D1B80">
                    <w:rPr>
                      <w:lang w:val="da-DK"/>
                    </w:rPr>
                    <w:softHyphen/>
                    <w:t>sonal</w:t>
                  </w:r>
                  <w:r w:rsidRPr="001D1B80">
                    <w:rPr>
                      <w:lang w:val="en-US"/>
                    </w:rPr>
                    <w:t xml:space="preserve"> observation). After</w:t>
                  </w:r>
                  <w:r w:rsidRPr="001D1B80">
                    <w:rPr>
                      <w:lang w:val="sl-SI"/>
                    </w:rPr>
                    <w:t xml:space="preserve"> a</w:t>
                  </w:r>
                  <w:r w:rsidRPr="001D1B80">
                    <w:rPr>
                      <w:lang w:val="en-US"/>
                    </w:rPr>
                    <w:t xml:space="preserve"> two-week stabilization period, rudds</w:t>
                  </w:r>
                  <w:r w:rsidRPr="001D1B80">
                    <w:rPr>
                      <w:lang w:val="sl-SI"/>
                    </w:rPr>
                    <w:t xml:space="preserve"> (S.</w:t>
                  </w:r>
                  <w:r w:rsidRPr="001D1B80">
                    <w:rPr>
                      <w:lang w:val="en-US"/>
                    </w:rPr>
                    <w:t xml:space="preserve"> erythrophthalmus)</w:t>
                  </w:r>
                  <w:r w:rsidRPr="001D1B80">
                    <w:rPr>
                      <w:lang w:val="sl-SI"/>
                    </w:rPr>
                    <w:t xml:space="preserve"> in</w:t>
                  </w:r>
                  <w:r w:rsidRPr="001D1B80">
                    <w:rPr>
                      <w:lang w:val="en-US"/>
                    </w:rPr>
                    <w:t xml:space="preserve"> the juvenile</w:t>
                  </w:r>
                  <w:r w:rsidRPr="001D1B80">
                    <w:rPr>
                      <w:lang w:val="da-DK"/>
                    </w:rPr>
                    <w:t xml:space="preserve"> stage</w:t>
                  </w:r>
                  <w:r w:rsidRPr="001D1B80">
                    <w:rPr>
                      <w:lang w:val="sl-SI"/>
                    </w:rPr>
                    <w:t xml:space="preserve"> as</w:t>
                  </w:r>
                  <w:r w:rsidRPr="001D1B80">
                    <w:rPr>
                      <w:lang w:val="en-US"/>
                    </w:rPr>
                    <w:t xml:space="preserve"> mainly planktivorous</w:t>
                  </w:r>
                  <w:r w:rsidRPr="001D1B80">
                    <w:rPr>
                      <w:lang w:val="sl-SI"/>
                    </w:rPr>
                    <w:t xml:space="preserve"> filter</w:t>
                  </w:r>
                  <w:r w:rsidRPr="001D1B80">
                    <w:rPr>
                      <w:lang w:val="en-US"/>
                    </w:rPr>
                    <w:t>-feeding</w:t>
                  </w:r>
                  <w:r w:rsidRPr="001D1B80">
                    <w:rPr>
                      <w:lang w:val="da-DK"/>
                    </w:rPr>
                    <w:t xml:space="preserve"> and</w:t>
                  </w:r>
                  <w:r w:rsidRPr="001D1B80">
                    <w:rPr>
                      <w:lang w:val="en-US"/>
                    </w:rPr>
                    <w:t xml:space="preserve"> herbivorous fish, Physa</w:t>
                  </w:r>
                  <w:r w:rsidRPr="001D1B80">
                    <w:rPr>
                      <w:lang w:val="da-DK"/>
                    </w:rPr>
                    <w:t xml:space="preserve"> (P.</w:t>
                  </w:r>
                  <w:r w:rsidRPr="001D1B80">
                    <w:rPr>
                      <w:lang w:val="en-US"/>
                    </w:rPr>
                    <w:t xml:space="preserve"> marmorata)</w:t>
                  </w:r>
                  <w:r w:rsidRPr="001D1B80">
                    <w:rPr>
                      <w:lang w:val="da-DK"/>
                    </w:rPr>
                    <w:t xml:space="preserve"> and</w:t>
                  </w:r>
                  <w:r w:rsidRPr="001D1B80">
                    <w:rPr>
                      <w:lang w:val="en-US"/>
                    </w:rPr>
                    <w:t xml:space="preserve"> Lymnaea</w:t>
                  </w:r>
                  <w:r w:rsidRPr="001D1B80">
                    <w:rPr>
                      <w:lang w:val="sl-SI"/>
                    </w:rPr>
                    <w:t xml:space="preserve"> (L.</w:t>
                  </w:r>
                  <w:r w:rsidRPr="001D1B80">
                    <w:rPr>
                      <w:lang w:val="en-US"/>
                    </w:rPr>
                    <w:t xml:space="preserve"> stagnalis)</w:t>
                  </w:r>
                  <w:r w:rsidRPr="001D1B80">
                    <w:rPr>
                      <w:lang w:val="sl-SI"/>
                    </w:rPr>
                    <w:t xml:space="preserve"> as</w:t>
                  </w:r>
                  <w:r w:rsidRPr="001D1B80">
                    <w:rPr>
                      <w:lang w:val="da-DK"/>
                    </w:rPr>
                    <w:t xml:space="preserve"> biofilm,</w:t>
                  </w:r>
                  <w:r w:rsidRPr="001D1B80">
                    <w:rPr>
                      <w:lang w:val="en-US"/>
                    </w:rPr>
                    <w:t xml:space="preserve"> algae</w:t>
                  </w:r>
                  <w:r w:rsidRPr="001D1B80">
                    <w:rPr>
                      <w:lang w:val="da-DK"/>
                    </w:rPr>
                    <w:t xml:space="preserve"> and plant</w:t>
                  </w:r>
                  <w:r w:rsidRPr="001D1B80">
                    <w:rPr>
                      <w:lang w:val="en-US"/>
                    </w:rPr>
                    <w:t xml:space="preserve"> feeders,</w:t>
                  </w:r>
                  <w:r w:rsidRPr="001D1B80">
                    <w:rPr>
                      <w:lang w:val="da-DK"/>
                    </w:rPr>
                    <w:t xml:space="preserve"> and Gammarus</w:t>
                  </w:r>
                  <w:r w:rsidRPr="001D1B80">
                    <w:rPr>
                      <w:lang w:val="sl-SI"/>
                    </w:rPr>
                    <w:t xml:space="preserve"> (G.</w:t>
                  </w:r>
                  <w:r w:rsidRPr="001D1B80">
                    <w:rPr>
                      <w:lang w:val="en-US"/>
                    </w:rPr>
                    <w:t xml:space="preserve"> roeseli)</w:t>
                  </w:r>
                  <w:r w:rsidRPr="001D1B80">
                    <w:rPr>
                      <w:lang w:val="sl-SI"/>
                    </w:rPr>
                    <w:t xml:space="preserve"> as</w:t>
                  </w:r>
                  <w:r w:rsidRPr="001D1B80">
                    <w:rPr>
                      <w:lang w:val="en-US"/>
                    </w:rPr>
                    <w:t xml:space="preserve"> shredder representative were successively introduced into the</w:t>
                  </w:r>
                  <w:r w:rsidRPr="001D1B80">
                    <w:rPr>
                      <w:lang w:val="pt-BR"/>
                    </w:rPr>
                    <w:t xml:space="preserve"> artificial</w:t>
                  </w:r>
                  <w:r w:rsidRPr="001D1B80">
                    <w:rPr>
                      <w:lang w:val="en-US"/>
                    </w:rPr>
                    <w:t xml:space="preserve"> ponds. Rudds</w:t>
                  </w:r>
                  <w:r w:rsidRPr="001D1B80">
                    <w:rPr>
                      <w:lang w:val="ca-ES"/>
                    </w:rPr>
                    <w:t xml:space="preserve"> (20</w:t>
                  </w:r>
                  <w:r w:rsidRPr="001D1B80">
                    <w:rPr>
                      <w:lang w:val="en-US"/>
                    </w:rPr>
                    <w:t xml:space="preserve"> individuals</w:t>
                  </w:r>
                  <w:r w:rsidRPr="001D1B80">
                    <w:rPr>
                      <w:lang w:val="pt-BR"/>
                    </w:rPr>
                    <w:t xml:space="preserve"> per</w:t>
                  </w:r>
                  <w:r w:rsidRPr="001D1B80">
                    <w:rPr>
                      <w:lang w:val="en-US"/>
                    </w:rPr>
                    <w:t xml:space="preserve"> mesocosm;</w:t>
                  </w:r>
                  <w:r w:rsidRPr="001D1B80">
                    <w:rPr>
                      <w:lang w:val="ca-ES"/>
                    </w:rPr>
                    <w:t xml:space="preserve"> 6.7</w:t>
                  </w:r>
                  <w:r w:rsidRPr="001D1B80">
                    <w:rPr>
                      <w:lang w:val="en-US"/>
                    </w:rPr>
                    <w:t xml:space="preserve"> ±</w:t>
                  </w:r>
                  <w:r w:rsidRPr="001D1B80">
                    <w:rPr>
                      <w:lang w:val="ca-ES"/>
                    </w:rPr>
                    <w:t xml:space="preserve"> 0.2</w:t>
                  </w:r>
                  <w:r w:rsidRPr="001D1B80">
                    <w:rPr>
                      <w:lang w:val="sl-SI"/>
                    </w:rPr>
                    <w:t xml:space="preserve"> cm)</w:t>
                  </w:r>
                  <w:r w:rsidRPr="001D1B80">
                    <w:rPr>
                      <w:lang w:val="en-US"/>
                    </w:rPr>
                    <w:t xml:space="preserve"> were obtained from</w:t>
                  </w:r>
                  <w:r w:rsidRPr="001D1B80">
                    <w:rPr>
                      <w:lang w:val="sl-SI"/>
                    </w:rPr>
                    <w:t xml:space="preserve"> a</w:t>
                  </w:r>
                  <w:r w:rsidRPr="001D1B80">
                    <w:rPr>
                      <w:lang w:val="en-US"/>
                    </w:rPr>
                    <w:t xml:space="preserve"> fish farming</w:t>
                  </w:r>
                  <w:r w:rsidRPr="001D1B80">
                    <w:rPr>
                      <w:lang w:val="da-DK"/>
                    </w:rPr>
                    <w:t xml:space="preserve"> pond</w:t>
                  </w:r>
                  <w:r w:rsidRPr="001D1B80">
                    <w:rPr>
                      <w:lang w:val="en-US"/>
                    </w:rPr>
                    <w:t xml:space="preserve"> (Lorraine</w:t>
                  </w:r>
                  <w:r w:rsidRPr="001D1B80">
                    <w:rPr>
                      <w:lang w:val="cs-CZ"/>
                    </w:rPr>
                    <w:t xml:space="preserve"> Region,</w:t>
                  </w:r>
                  <w:r w:rsidRPr="001D1B80">
                    <w:rPr>
                      <w:lang w:val="sl-SI"/>
                    </w:rPr>
                    <w:t xml:space="preserve"> France).</w:t>
                  </w:r>
                  <w:r w:rsidRPr="001D1B80">
                    <w:rPr>
                      <w:lang w:val="en-US"/>
                    </w:rPr>
                    <w:t xml:space="preserve"> Adult Lymnaea</w:t>
                  </w:r>
                  <w:r w:rsidRPr="001D1B80">
                    <w:rPr>
                      <w:lang w:val="ca-ES"/>
                    </w:rPr>
                    <w:t xml:space="preserve"> (30</w:t>
                  </w:r>
                  <w:r w:rsidRPr="001D1B80">
                    <w:rPr>
                      <w:lang w:val="en-US"/>
                    </w:rPr>
                    <w:t xml:space="preserve"> specimens</w:t>
                  </w:r>
                  <w:r w:rsidRPr="001D1B80">
                    <w:rPr>
                      <w:lang w:val="pt-BR"/>
                    </w:rPr>
                    <w:t xml:space="preserve"> per</w:t>
                  </w:r>
                  <w:r w:rsidRPr="001D1B80">
                    <w:rPr>
                      <w:lang w:val="en-US"/>
                    </w:rPr>
                    <w:t xml:space="preserve"> mesocosm) were sampled from the</w:t>
                  </w:r>
                  <w:r w:rsidRPr="001D1B80">
                    <w:rPr>
                      <w:lang w:val="sl-SI"/>
                    </w:rPr>
                    <w:t xml:space="preserve"> reference site</w:t>
                  </w:r>
                  <w:r w:rsidRPr="001D1B80">
                    <w:rPr>
                      <w:lang w:val="da-DK"/>
                    </w:rPr>
                    <w:t xml:space="preserve"> (“wild”</w:t>
                  </w:r>
                  <w:r w:rsidRPr="001D1B80">
                    <w:rPr>
                      <w:lang w:val="en-US"/>
                    </w:rPr>
                    <w:t xml:space="preserve"> Moselle River, Tonnoy,</w:t>
                  </w:r>
                  <w:r w:rsidRPr="001D1B80">
                    <w:rPr>
                      <w:lang w:val="ca-ES"/>
                    </w:rPr>
                    <w:t xml:space="preserve"> 54210,</w:t>
                  </w:r>
                  <w:r w:rsidRPr="001D1B80">
                    <w:rPr>
                      <w:lang w:val="sl-SI"/>
                    </w:rPr>
                    <w:t xml:space="preserve"> France)</w:t>
                  </w:r>
                  <w:r w:rsidRPr="001D1B80">
                    <w:rPr>
                      <w:lang w:val="en-US"/>
                    </w:rPr>
                    <w:t xml:space="preserve"> whereas</w:t>
                  </w:r>
                  <w:r w:rsidRPr="001D1B80">
                    <w:rPr>
                      <w:lang w:val="da-DK"/>
                    </w:rPr>
                    <w:t xml:space="preserve"> P.</w:t>
                  </w:r>
                  <w:r w:rsidRPr="001D1B80">
                    <w:rPr>
                      <w:lang w:val="en-US"/>
                    </w:rPr>
                    <w:t xml:space="preserve"> marmorata</w:t>
                  </w:r>
                  <w:r w:rsidRPr="001D1B80">
                    <w:rPr>
                      <w:lang w:val="ca-ES"/>
                    </w:rPr>
                    <w:t xml:space="preserve"> (100</w:t>
                  </w:r>
                  <w:r w:rsidRPr="001D1B80">
                    <w:rPr>
                      <w:lang w:val="en-US"/>
                    </w:rPr>
                    <w:t xml:space="preserve"> specimens</w:t>
                  </w:r>
                  <w:r w:rsidRPr="001D1B80">
                    <w:rPr>
                      <w:lang w:val="pt-BR"/>
                    </w:rPr>
                    <w:t xml:space="preserve"> per</w:t>
                  </w:r>
                  <w:r w:rsidRPr="001D1B80">
                    <w:rPr>
                      <w:lang w:val="en-US"/>
                    </w:rPr>
                    <w:t xml:space="preserve"> mesocosm) were obtained from</w:t>
                  </w:r>
                  <w:r w:rsidRPr="001D1B80">
                    <w:rPr>
                      <w:lang w:val="sl-SI"/>
                    </w:rPr>
                    <w:t xml:space="preserve"> a</w:t>
                  </w:r>
                  <w:r w:rsidRPr="001D1B80">
                    <w:rPr>
                      <w:lang w:val="en-US"/>
                    </w:rPr>
                    <w:t xml:space="preserve"> local fish</w:t>
                  </w:r>
                  <w:r w:rsidRPr="001D1B80">
                    <w:rPr>
                      <w:lang w:val="da-DK"/>
                    </w:rPr>
                    <w:t xml:space="preserve"> farmer</w:t>
                  </w:r>
                  <w:r w:rsidRPr="001D1B80">
                    <w:rPr>
                      <w:lang w:val="en-US"/>
                    </w:rPr>
                    <w:t xml:space="preserve"> (Lorraine</w:t>
                  </w:r>
                  <w:r w:rsidRPr="001D1B80">
                    <w:rPr>
                      <w:lang w:val="cs-CZ"/>
                    </w:rPr>
                    <w:t xml:space="preserve"> Region,</w:t>
                  </w:r>
                  <w:r w:rsidRPr="001D1B80">
                    <w:rPr>
                      <w:lang w:val="sl-SI"/>
                    </w:rPr>
                    <w:t xml:space="preserve"> France). In</w:t>
                  </w:r>
                  <w:r w:rsidRPr="001D1B80">
                    <w:rPr>
                      <w:lang w:val="en-US"/>
                    </w:rPr>
                    <w:t xml:space="preserve"> order</w:t>
                  </w:r>
                  <w:r w:rsidRPr="001D1B80">
                    <w:rPr>
                      <w:lang w:val="sl-SI"/>
                    </w:rPr>
                    <w:t xml:space="preserve"> to</w:t>
                  </w:r>
                  <w:r w:rsidRPr="001D1B80">
                    <w:rPr>
                      <w:lang w:val="en-US"/>
                    </w:rPr>
                    <w:t xml:space="preserve"> avoid</w:t>
                  </w:r>
                  <w:r w:rsidRPr="001D1B80">
                    <w:rPr>
                      <w:lang w:val="da-DK"/>
                    </w:rPr>
                    <w:t xml:space="preserve"> Gammarus</w:t>
                  </w:r>
                  <w:r w:rsidRPr="001D1B80">
                    <w:rPr>
                      <w:lang w:val="en-US"/>
                    </w:rPr>
                    <w:t xml:space="preserve"> predation</w:t>
                  </w:r>
                  <w:r w:rsidRPr="001D1B80">
                    <w:rPr>
                      <w:lang w:val="cs-CZ"/>
                    </w:rPr>
                    <w:t xml:space="preserve"> by</w:t>
                  </w:r>
                  <w:r w:rsidRPr="001D1B80">
                    <w:rPr>
                      <w:lang w:val="en-US"/>
                    </w:rPr>
                    <w:t xml:space="preserve"> rudds</w:t>
                  </w:r>
                  <w:r w:rsidRPr="001D1B80">
                    <w:rPr>
                      <w:lang w:val="da-DK"/>
                    </w:rPr>
                    <w:t xml:space="preserve"> and</w:t>
                  </w:r>
                  <w:r w:rsidRPr="001D1B80">
                    <w:rPr>
                      <w:lang w:val="pt-BR"/>
                    </w:rPr>
                    <w:t xml:space="preserve"> for</w:t>
                  </w:r>
                  <w:r w:rsidRPr="001D1B80">
                    <w:rPr>
                      <w:lang w:val="en-US"/>
                    </w:rPr>
                    <w:t xml:space="preserve"> easier later</w:t>
                  </w:r>
                  <w:r w:rsidRPr="001D1B80">
                    <w:rPr>
                      <w:lang w:val="da-DK"/>
                    </w:rPr>
                    <w:t xml:space="preserve"> sampling,</w:t>
                  </w:r>
                  <w:r w:rsidRPr="001D1B80">
                    <w:rPr>
                      <w:lang w:val="en-US"/>
                    </w:rPr>
                    <w:t xml:space="preserve"> the amphi-pods were encaged.</w:t>
                  </w:r>
                  <w:r w:rsidRPr="001D1B80">
                    <w:rPr>
                      <w:lang w:val="pt-BR"/>
                    </w:rPr>
                    <w:t xml:space="preserve"> For</w:t>
                  </w:r>
                  <w:r w:rsidRPr="001D1B80">
                    <w:rPr>
                      <w:lang w:val="en-US"/>
                    </w:rPr>
                    <w:t xml:space="preserve"> this purpose,</w:t>
                  </w:r>
                  <w:r w:rsidRPr="001D1B80">
                    <w:rPr>
                      <w:lang w:val="sl-SI"/>
                    </w:rPr>
                    <w:t xml:space="preserve"> a transparent</w:t>
                  </w:r>
                  <w:r w:rsidRPr="001D1B80">
                    <w:rPr>
                      <w:lang w:val="en-US"/>
                    </w:rPr>
                    <w:t xml:space="preserve"> polyethylene water bottle was</w:t>
                  </w:r>
                  <w:r w:rsidRPr="001D1B80">
                    <w:rPr>
                      <w:lang w:val="da-DK"/>
                    </w:rPr>
                    <w:t xml:space="preserve"> cut</w:t>
                  </w:r>
                  <w:r w:rsidRPr="001D1B80">
                    <w:rPr>
                      <w:lang w:val="sl-SI"/>
                    </w:rPr>
                    <w:t xml:space="preserve"> in</w:t>
                  </w:r>
                  <w:r w:rsidRPr="001D1B80">
                    <w:rPr>
                      <w:lang w:val="en-US"/>
                    </w:rPr>
                    <w:t xml:space="preserve"> the</w:t>
                  </w:r>
                  <w:r w:rsidRPr="001D1B80">
                    <w:rPr>
                      <w:lang w:val="hu-HU"/>
                    </w:rPr>
                    <w:t xml:space="preserve"> mid-part</w:t>
                  </w:r>
                  <w:r w:rsidRPr="001D1B80">
                    <w:rPr>
                      <w:lang w:val="da-DK"/>
                    </w:rPr>
                    <w:t xml:space="preserve"> and</w:t>
                  </w:r>
                  <w:r w:rsidRPr="001D1B80">
                    <w:rPr>
                      <w:lang w:val="en-US"/>
                    </w:rPr>
                    <w:t xml:space="preserve"> filled with</w:t>
                  </w:r>
                  <w:r w:rsidRPr="001D1B80">
                    <w:rPr>
                      <w:lang w:val="sl-SI"/>
                    </w:rPr>
                    <w:t xml:space="preserve"> a</w:t>
                  </w:r>
                  <w:r w:rsidRPr="001D1B80">
                    <w:rPr>
                      <w:lang w:val="ca-ES"/>
                    </w:rPr>
                    <w:t xml:space="preserve"> 2</w:t>
                  </w:r>
                  <w:r w:rsidRPr="001D1B80">
                    <w:rPr>
                      <w:lang w:val="sl-SI"/>
                    </w:rPr>
                    <w:t xml:space="preserve"> cm</w:t>
                  </w:r>
                  <w:r w:rsidRPr="001D1B80">
                    <w:rPr>
                      <w:lang w:val="en-US"/>
                    </w:rPr>
                    <w:t xml:space="preserve"> layer of natural sed</w:t>
                  </w:r>
                  <w:r w:rsidRPr="001D1B80">
                    <w:rPr>
                      <w:lang w:val="en-US"/>
                    </w:rPr>
                    <w:softHyphen/>
                    <w:t>iments;</w:t>
                  </w:r>
                  <w:r w:rsidRPr="001D1B80">
                    <w:rPr>
                      <w:lang w:val="sl-SI"/>
                    </w:rPr>
                    <w:t xml:space="preserve"> a</w:t>
                  </w:r>
                  <w:r w:rsidRPr="001D1B80">
                    <w:rPr>
                      <w:lang w:val="en-US"/>
                    </w:rPr>
                    <w:t xml:space="preserve"> willow branch was also added</w:t>
                  </w:r>
                  <w:r w:rsidRPr="001D1B80">
                    <w:rPr>
                      <w:lang w:val="sl-SI"/>
                    </w:rPr>
                    <w:t xml:space="preserve"> so as to</w:t>
                  </w:r>
                  <w:r w:rsidRPr="001D1B80">
                    <w:rPr>
                      <w:lang w:val="pt-BR"/>
                    </w:rPr>
                    <w:t xml:space="preserve"> serve</w:t>
                  </w:r>
                  <w:r w:rsidRPr="001D1B80">
                    <w:rPr>
                      <w:lang w:val="sl-SI"/>
                    </w:rPr>
                    <w:t xml:space="preserve"> as a</w:t>
                  </w:r>
                  <w:r w:rsidRPr="001D1B80">
                    <w:rPr>
                      <w:lang w:val="en-US"/>
                    </w:rPr>
                    <w:t xml:space="preserve"> feeding-source.</w:t>
                  </w:r>
                  <w:r w:rsidRPr="001D1B80">
                    <w:rPr>
                      <w:lang w:val="ca-ES"/>
                    </w:rPr>
                    <w:t xml:space="preserve"> 20</w:t>
                  </w:r>
                  <w:r w:rsidRPr="001D1B80">
                    <w:rPr>
                      <w:lang w:val="en-US"/>
                    </w:rPr>
                    <w:t xml:space="preserve"> specimens of</w:t>
                  </w:r>
                  <w:r w:rsidRPr="001D1B80">
                    <w:rPr>
                      <w:lang w:val="sl-SI"/>
                    </w:rPr>
                    <w:t xml:space="preserve"> G.</w:t>
                  </w:r>
                  <w:r w:rsidRPr="001D1B80">
                    <w:rPr>
                      <w:lang w:val="en-US"/>
                    </w:rPr>
                    <w:t xml:space="preserve"> roeseli collected from the</w:t>
                  </w:r>
                  <w:r w:rsidRPr="001D1B80">
                    <w:rPr>
                      <w:lang w:val="sl-SI"/>
                    </w:rPr>
                    <w:t xml:space="preserve"> reference site</w:t>
                  </w:r>
                  <w:r w:rsidRPr="001D1B80">
                    <w:rPr>
                      <w:lang w:val="en-US"/>
                    </w:rPr>
                    <w:t xml:space="preserve"> were introduced into each bottle which was enclosed with</w:t>
                  </w:r>
                  <w:r w:rsidRPr="001D1B80">
                    <w:rPr>
                      <w:lang w:val="sl-SI"/>
                    </w:rPr>
                    <w:t xml:space="preserve"> a</w:t>
                  </w:r>
                  <w:r w:rsidRPr="001D1B80">
                    <w:rPr>
                      <w:lang w:val="da-DK"/>
                    </w:rPr>
                    <w:t xml:space="preserve"> plastic</w:t>
                  </w:r>
                  <w:r w:rsidRPr="001D1B80">
                    <w:rPr>
                      <w:lang w:val="en-US"/>
                    </w:rPr>
                    <w:t xml:space="preserve"> mesh before</w:t>
                  </w:r>
                  <w:r w:rsidRPr="001D1B80">
                    <w:rPr>
                      <w:lang w:val="pt-BR"/>
                    </w:rPr>
                    <w:t xml:space="preserve"> total</w:t>
                  </w:r>
                  <w:r w:rsidRPr="001D1B80">
                    <w:rPr>
                      <w:lang w:val="en-US"/>
                    </w:rPr>
                    <w:t xml:space="preserve"> immersion into the</w:t>
                  </w:r>
                  <w:r w:rsidRPr="001D1B80">
                    <w:rPr>
                      <w:lang w:val="pt-BR"/>
                    </w:rPr>
                    <w:t xml:space="preserve"> artificial</w:t>
                  </w:r>
                  <w:r w:rsidRPr="001D1B80">
                    <w:rPr>
                      <w:lang w:val="en-US"/>
                    </w:rPr>
                    <w:t xml:space="preserve"> ponds. The</w:t>
                  </w:r>
                  <w:r w:rsidRPr="001D1B80">
                    <w:rPr>
                      <w:lang w:val="pt-BR"/>
                    </w:rPr>
                    <w:t xml:space="preserve"> total</w:t>
                  </w:r>
                  <w:r w:rsidRPr="001D1B80">
                    <w:rPr>
                      <w:lang w:val="en-US"/>
                    </w:rPr>
                    <w:t xml:space="preserve"> duration of mesocosm layout (including</w:t>
                  </w:r>
                  <w:r w:rsidRPr="001D1B80">
                    <w:rPr>
                      <w:lang w:val="da-DK"/>
                    </w:rPr>
                    <w:t xml:space="preserve"> pond</w:t>
                  </w:r>
                  <w:r w:rsidRPr="001D1B80">
                    <w:rPr>
                      <w:lang w:val="en-US"/>
                    </w:rPr>
                    <w:t xml:space="preserve"> stabilization</w:t>
                  </w:r>
                  <w:r w:rsidRPr="001D1B80">
                    <w:rPr>
                      <w:lang w:val="da-DK"/>
                    </w:rPr>
                    <w:t xml:space="preserve"> and</w:t>
                  </w:r>
                  <w:r w:rsidRPr="001D1B80">
                    <w:rPr>
                      <w:lang w:val="en-US"/>
                    </w:rPr>
                    <w:t xml:space="preserve"> organism accli</w:t>
                  </w:r>
                  <w:r w:rsidRPr="001D1B80">
                    <w:rPr>
                      <w:lang w:val="en-US"/>
                    </w:rPr>
                    <w:softHyphen/>
                    <w:t>mation) was eight weeks after which subsequent treatments with allelopathic substances started.</w:t>
                  </w:r>
                </w:p>
              </w:sdtContent>
            </w:sdt>
          </w:sdtContent>
        </w:sdt>
        <w:sdt>
          <w:sdtPr>
            <w:rPr>
              <w:b w:val="0"/>
              <w:bCs w:val="0"/>
              <w:sz w:val="20"/>
              <w:szCs w:val="20"/>
            </w:rPr>
            <w:id w:val="1496370296"/>
            <w:placeholder>
              <w:docPart w:val="029EC803C91E402985CAF6F0CC877F51"/>
            </w:placeholder>
            <w15:repeatingSectionItem/>
          </w:sdtPr>
          <w:sdtEndPr/>
          <w:sdtContent>
            <w:p w:rsidR="006F2346" w:rsidRPr="001D1B80" w:rsidRDefault="00D27E5B" w:rsidP="001D1B80">
              <w:pPr>
                <w:pStyle w:val="SousTitrePartieArticle"/>
              </w:pPr>
              <w:sdt>
                <w:sdtPr>
                  <w:id w:val="-2102098543"/>
                  <w:placeholder>
                    <w:docPart w:val="58180C064E604AA0B1460A94AED0DDFF"/>
                  </w:placeholder>
                  <w:text/>
                </w:sdtPr>
                <w:sdtEndPr/>
                <w:sdtContent>
                  <w:r w:rsidR="006F2346" w:rsidRPr="001D1B80">
                    <w:t>Allelopathic treatments</w:t>
                  </w:r>
                </w:sdtContent>
              </w:sdt>
              <w:r w:rsidR="006F2346" w:rsidRPr="001D1B80">
                <w:tab/>
              </w:r>
            </w:p>
            <w:sdt>
              <w:sdtPr>
                <w:id w:val="1718929085"/>
                <w:placeholder>
                  <w:docPart w:val="5603E3CCA1DF479C9C3C340C6F3824BB"/>
                </w:placeholder>
              </w:sdtPr>
              <w:sdtEndPr/>
              <w:sdtContent>
                <w:p w:rsidR="006F2346" w:rsidRPr="001D1B80" w:rsidRDefault="006F2346" w:rsidP="001D1B80">
                  <w:pPr>
                    <w:pStyle w:val="Partie"/>
                    <w:rPr>
                      <w:lang w:val="en-US"/>
                    </w:rPr>
                  </w:pPr>
                  <w:r w:rsidRPr="001D1B80">
                    <w:rPr>
                      <w:lang w:val="sl-SI"/>
                    </w:rPr>
                    <w:t>A</w:t>
                  </w:r>
                  <w:r w:rsidRPr="001D1B80">
                    <w:rPr>
                      <w:lang w:val="en-US"/>
                    </w:rPr>
                    <w:t xml:space="preserve"> full factorial</w:t>
                  </w:r>
                  <w:r w:rsidRPr="001D1B80">
                    <w:rPr>
                      <w:lang w:val="cs-CZ"/>
                    </w:rPr>
                    <w:t xml:space="preserve"> design</w:t>
                  </w:r>
                  <w:r w:rsidRPr="001D1B80">
                    <w:rPr>
                      <w:lang w:val="en-US"/>
                    </w:rPr>
                    <w:t xml:space="preserve"> based</w:t>
                  </w:r>
                  <w:r w:rsidRPr="001D1B80">
                    <w:rPr>
                      <w:lang w:val="sl-SI"/>
                    </w:rPr>
                    <w:t xml:space="preserve"> on</w:t>
                  </w:r>
                  <w:r w:rsidRPr="001D1B80">
                    <w:rPr>
                      <w:lang w:val="en-US"/>
                    </w:rPr>
                    <w:t xml:space="preserve"> the presence/absence of gallic</w:t>
                  </w:r>
                  <w:r w:rsidRPr="001D1B80">
                    <w:rPr>
                      <w:lang w:val="da-DK"/>
                    </w:rPr>
                    <w:t xml:space="preserve"> and</w:t>
                  </w:r>
                  <w:r w:rsidRPr="001D1B80">
                    <w:rPr>
                      <w:lang w:val="en-US"/>
                    </w:rPr>
                    <w:t xml:space="preserve"> nonanoic acids was established, leading</w:t>
                  </w:r>
                  <w:r w:rsidRPr="001D1B80">
                    <w:rPr>
                      <w:lang w:val="sl-SI"/>
                    </w:rPr>
                    <w:t xml:space="preserve"> to</w:t>
                  </w:r>
                  <w:r w:rsidRPr="001D1B80">
                    <w:rPr>
                      <w:lang w:val="en-US"/>
                    </w:rPr>
                    <w:t xml:space="preserve"> four treatment combina</w:t>
                  </w:r>
                  <w:r w:rsidRPr="001D1B80">
                    <w:rPr>
                      <w:lang w:val="en-US"/>
                    </w:rPr>
                    <w:softHyphen/>
                    <w:t>tions: control mesocosms (without any allelopathic substances;</w:t>
                  </w:r>
                  <w:r w:rsidRPr="001D1B80">
                    <w:rPr>
                      <w:lang w:val="da-DK"/>
                    </w:rPr>
                    <w:t xml:space="preserve"> n</w:t>
                  </w:r>
                  <w:r w:rsidRPr="001D1B80">
                    <w:rPr>
                      <w:lang w:val="en-US"/>
                    </w:rPr>
                    <w:t xml:space="preserve"> =</w:t>
                  </w:r>
                  <w:r w:rsidRPr="001D1B80">
                    <w:rPr>
                      <w:lang w:val="ca-ES"/>
                    </w:rPr>
                    <w:t xml:space="preserve"> 4</w:t>
                  </w:r>
                  <w:r w:rsidRPr="001D1B80">
                    <w:rPr>
                      <w:lang w:val="da-DK"/>
                    </w:rPr>
                    <w:t xml:space="preserve"> tanks),</w:t>
                  </w:r>
                  <w:r w:rsidRPr="001D1B80">
                    <w:rPr>
                      <w:lang w:val="en-US"/>
                    </w:rPr>
                    <w:t xml:space="preserve"> [+ gallic acid] treated mesocosms</w:t>
                  </w:r>
                  <w:r w:rsidRPr="001D1B80">
                    <w:rPr>
                      <w:lang w:val="da-DK"/>
                    </w:rPr>
                    <w:t xml:space="preserve"> (n</w:t>
                  </w:r>
                  <w:r w:rsidRPr="001D1B80">
                    <w:rPr>
                      <w:lang w:val="en-US"/>
                    </w:rPr>
                    <w:t xml:space="preserve"> =</w:t>
                  </w:r>
                  <w:r w:rsidRPr="001D1B80">
                    <w:rPr>
                      <w:lang w:val="ca-ES"/>
                    </w:rPr>
                    <w:t xml:space="preserve"> 3),</w:t>
                  </w:r>
                  <w:r w:rsidRPr="001D1B80">
                    <w:rPr>
                      <w:lang w:val="en-US"/>
                    </w:rPr>
                    <w:t xml:space="preserve"> [+ nonanoic acid] treated mesocosms</w:t>
                  </w:r>
                  <w:r w:rsidRPr="001D1B80">
                    <w:rPr>
                      <w:lang w:val="da-DK"/>
                    </w:rPr>
                    <w:t xml:space="preserve"> (n</w:t>
                  </w:r>
                  <w:r w:rsidRPr="001D1B80">
                    <w:rPr>
                      <w:lang w:val="en-US"/>
                    </w:rPr>
                    <w:t xml:space="preserve"> =</w:t>
                  </w:r>
                  <w:r w:rsidRPr="001D1B80">
                    <w:rPr>
                      <w:lang w:val="ca-ES"/>
                    </w:rPr>
                    <w:t xml:space="preserve"> 3),</w:t>
                  </w:r>
                  <w:r w:rsidRPr="001D1B80">
                    <w:rPr>
                      <w:lang w:val="da-DK"/>
                    </w:rPr>
                    <w:t xml:space="preserve"> and</w:t>
                  </w:r>
                  <w:r w:rsidRPr="001D1B80">
                    <w:rPr>
                      <w:lang w:val="en-US"/>
                    </w:rPr>
                    <w:t xml:space="preserve"> [+gallic acid + nonanoic acid] treated mesocosms</w:t>
                  </w:r>
                  <w:r w:rsidRPr="001D1B80">
                    <w:rPr>
                      <w:lang w:val="da-DK"/>
                    </w:rPr>
                    <w:t xml:space="preserve"> (n</w:t>
                  </w:r>
                  <w:r w:rsidRPr="001D1B80">
                    <w:rPr>
                      <w:lang w:val="en-US"/>
                    </w:rPr>
                    <w:t xml:space="preserve"> =</w:t>
                  </w:r>
                  <w:r w:rsidRPr="001D1B80">
                    <w:rPr>
                      <w:lang w:val="ca-ES"/>
                    </w:rPr>
                    <w:t xml:space="preserve"> 3).</w:t>
                  </w:r>
                  <w:r w:rsidRPr="001D1B80">
                    <w:rPr>
                      <w:lang w:val="en-US"/>
                    </w:rPr>
                    <w:t xml:space="preserve"> Sequential allelochemical treatments were con</w:t>
                  </w:r>
                  <w:r w:rsidRPr="001D1B80">
                    <w:rPr>
                      <w:lang w:val="en-US"/>
                    </w:rPr>
                    <w:softHyphen/>
                    <w:t>ducted</w:t>
                  </w:r>
                  <w:r w:rsidRPr="001D1B80">
                    <w:rPr>
                      <w:lang w:val="sl-SI"/>
                    </w:rPr>
                    <w:t xml:space="preserve"> in</w:t>
                  </w:r>
                  <w:r w:rsidRPr="001D1B80">
                    <w:rPr>
                      <w:lang w:val="en-US"/>
                    </w:rPr>
                    <w:t xml:space="preserve"> the exposure</w:t>
                  </w:r>
                  <w:r w:rsidRPr="001D1B80">
                    <w:rPr>
                      <w:lang w:val="da-DK"/>
                    </w:rPr>
                    <w:t xml:space="preserve"> tanks</w:t>
                  </w:r>
                  <w:r w:rsidRPr="001D1B80">
                    <w:rPr>
                      <w:lang w:val="en-US"/>
                    </w:rPr>
                    <w:t xml:space="preserve"> according</w:t>
                  </w:r>
                  <w:r w:rsidRPr="001D1B80">
                    <w:rPr>
                      <w:lang w:val="sl-SI"/>
                    </w:rPr>
                    <w:t xml:space="preserve"> to a</w:t>
                  </w:r>
                  <w:r w:rsidRPr="001D1B80">
                    <w:rPr>
                      <w:lang w:val="en-US"/>
                    </w:rPr>
                    <w:t xml:space="preserve"> geometric concentration</w:t>
                  </w:r>
                  <w:r w:rsidRPr="001D1B80">
                    <w:rPr>
                      <w:lang w:val="pt-BR"/>
                    </w:rPr>
                    <w:t xml:space="preserve"> se</w:t>
                  </w:r>
                  <w:r w:rsidRPr="001D1B80">
                    <w:rPr>
                      <w:lang w:val="pt-BR"/>
                    </w:rPr>
                    <w:softHyphen/>
                    <w:t>ries</w:t>
                  </w:r>
                  <w:r w:rsidRPr="001D1B80">
                    <w:rPr>
                      <w:lang w:val="sl-SI"/>
                    </w:rPr>
                    <w:t xml:space="preserve"> (on</w:t>
                  </w:r>
                  <w:r w:rsidRPr="001D1B80">
                    <w:rPr>
                      <w:lang w:val="en-US"/>
                    </w:rPr>
                    <w:t xml:space="preserve"> the </w:t>
                  </w:r>
                  <w:r w:rsidRPr="001D1B80">
                    <w:rPr>
                      <w:lang w:val="en-US"/>
                    </w:rPr>
                    <w:lastRenderedPageBreak/>
                    <w:t>assumption that</w:t>
                  </w:r>
                  <w:r w:rsidRPr="001D1B80">
                    <w:rPr>
                      <w:lang w:val="sl-SI"/>
                    </w:rPr>
                    <w:t xml:space="preserve"> most</w:t>
                  </w:r>
                  <w:r w:rsidRPr="001D1B80">
                    <w:rPr>
                      <w:lang w:val="en-US"/>
                    </w:rPr>
                    <w:t xml:space="preserve"> allelochemical activity of the selected substances could be neglected after</w:t>
                  </w:r>
                  <w:r w:rsidRPr="001D1B80">
                    <w:rPr>
                      <w:lang w:val="sl-SI"/>
                    </w:rPr>
                    <w:t xml:space="preserve"> a</w:t>
                  </w:r>
                  <w:r w:rsidRPr="001D1B80">
                    <w:rPr>
                      <w:lang w:val="en-US"/>
                    </w:rPr>
                    <w:t xml:space="preserve"> five-day exposure; Laue</w:t>
                  </w:r>
                  <w:r w:rsidRPr="001D1B80">
                    <w:rPr>
                      <w:lang w:val="pt-BR"/>
                    </w:rPr>
                    <w:t xml:space="preserve"> et</w:t>
                  </w:r>
                  <w:r w:rsidRPr="001D1B80">
                    <w:rPr>
                      <w:lang w:val="da-DK"/>
                    </w:rPr>
                    <w:t xml:space="preserve"> al.,</w:t>
                  </w:r>
                  <w:r w:rsidRPr="001D1B80">
                    <w:rPr>
                      <w:lang w:val="ca-ES"/>
                    </w:rPr>
                    <w:t xml:space="preserve"> 2014;</w:t>
                  </w:r>
                  <w:r w:rsidRPr="001D1B80">
                    <w:rPr>
                      <w:lang w:val="en-US"/>
                    </w:rPr>
                    <w:t xml:space="preserve"> Shao</w:t>
                  </w:r>
                  <w:r w:rsidRPr="001D1B80">
                    <w:rPr>
                      <w:lang w:val="pt-BR"/>
                    </w:rPr>
                    <w:t xml:space="preserve"> et</w:t>
                  </w:r>
                  <w:r w:rsidRPr="001D1B80">
                    <w:rPr>
                      <w:lang w:val="da-DK"/>
                    </w:rPr>
                    <w:t xml:space="preserve"> al.,</w:t>
                  </w:r>
                  <w:r w:rsidRPr="001D1B80">
                    <w:rPr>
                      <w:lang w:val="ca-ES"/>
                    </w:rPr>
                    <w:t xml:space="preserve"> 2009).</w:t>
                  </w:r>
                  <w:r w:rsidRPr="001D1B80">
                    <w:rPr>
                      <w:lang w:val="en-US"/>
                    </w:rPr>
                    <w:t xml:space="preserve"> Our experimental strategy aimed</w:t>
                  </w:r>
                  <w:r w:rsidRPr="001D1B80">
                    <w:rPr>
                      <w:lang w:val="da-DK"/>
                    </w:rPr>
                    <w:t xml:space="preserve"> at</w:t>
                  </w:r>
                  <w:r w:rsidRPr="001D1B80">
                    <w:rPr>
                      <w:lang w:val="en-US"/>
                    </w:rPr>
                    <w:t xml:space="preserve"> working</w:t>
                  </w:r>
                  <w:r w:rsidRPr="001D1B80">
                    <w:rPr>
                      <w:lang w:val="sl-SI"/>
                    </w:rPr>
                    <w:t xml:space="preserve"> in a</w:t>
                  </w:r>
                  <w:r w:rsidRPr="001D1B80">
                    <w:rPr>
                      <w:lang w:val="en-US"/>
                    </w:rPr>
                    <w:t xml:space="preserve"> proactive way,</w:t>
                  </w:r>
                  <w:r w:rsidRPr="001D1B80">
                    <w:rPr>
                      <w:lang w:val="sl-SI"/>
                    </w:rPr>
                    <w:t xml:space="preserve"> as</w:t>
                  </w:r>
                  <w:r w:rsidRPr="001D1B80">
                    <w:rPr>
                      <w:lang w:val="en-US"/>
                    </w:rPr>
                    <w:t xml:space="preserve"> soon</w:t>
                  </w:r>
                  <w:r w:rsidRPr="001D1B80">
                    <w:rPr>
                      <w:lang w:val="sl-SI"/>
                    </w:rPr>
                    <w:t xml:space="preserve"> as</w:t>
                  </w:r>
                  <w:r w:rsidRPr="001D1B80">
                    <w:rPr>
                      <w:lang w:val="en-US"/>
                    </w:rPr>
                    <w:t xml:space="preserve"> the</w:t>
                  </w:r>
                  <w:r w:rsidRPr="001D1B80">
                    <w:rPr>
                      <w:lang w:val="da-DK"/>
                    </w:rPr>
                    <w:t xml:space="preserve"> first</w:t>
                  </w:r>
                  <w:r w:rsidRPr="001D1B80">
                    <w:rPr>
                      <w:lang w:val="en-US"/>
                    </w:rPr>
                    <w:t xml:space="preserve"> signs of cyanobacterial prolifera</w:t>
                  </w:r>
                  <w:r w:rsidRPr="001D1B80">
                    <w:rPr>
                      <w:lang w:val="en-US"/>
                    </w:rPr>
                    <w:softHyphen/>
                    <w:t>tion would occur (i.e. when the relative percentage of cyanobacterial biomass compared</w:t>
                  </w:r>
                  <w:r w:rsidRPr="001D1B80">
                    <w:rPr>
                      <w:lang w:val="sl-SI"/>
                    </w:rPr>
                    <w:t xml:space="preserve"> to</w:t>
                  </w:r>
                  <w:r w:rsidRPr="001D1B80">
                    <w:rPr>
                      <w:lang w:val="en-US"/>
                    </w:rPr>
                    <w:t xml:space="preserve"> the</w:t>
                  </w:r>
                  <w:r w:rsidRPr="001D1B80">
                    <w:rPr>
                      <w:lang w:val="pt-BR"/>
                    </w:rPr>
                    <w:t xml:space="preserve"> total</w:t>
                  </w:r>
                  <w:r w:rsidRPr="001D1B80">
                    <w:rPr>
                      <w:lang w:val="en-US"/>
                    </w:rPr>
                    <w:t xml:space="preserve"> phytoplankton community biomass tended</w:t>
                  </w:r>
                  <w:r w:rsidRPr="001D1B80">
                    <w:rPr>
                      <w:lang w:val="sl-SI"/>
                    </w:rPr>
                    <w:t xml:space="preserve"> to</w:t>
                  </w:r>
                  <w:r w:rsidRPr="001D1B80">
                    <w:rPr>
                      <w:lang w:val="en-US"/>
                    </w:rPr>
                    <w:t xml:space="preserve"> increase</w:t>
                  </w:r>
                  <w:r w:rsidRPr="001D1B80">
                    <w:rPr>
                      <w:lang w:val="da-DK"/>
                    </w:rPr>
                    <w:t xml:space="preserve"> overall</w:t>
                  </w:r>
                  <w:r w:rsidRPr="001D1B80">
                    <w:rPr>
                      <w:lang w:val="en-US"/>
                    </w:rPr>
                    <w:t xml:space="preserve"> among the mesocosms of</w:t>
                  </w:r>
                  <w:r w:rsidRPr="001D1B80">
                    <w:rPr>
                      <w:lang w:val="sl-SI"/>
                    </w:rPr>
                    <w:t xml:space="preserve"> a</w:t>
                  </w:r>
                  <w:r w:rsidRPr="001D1B80">
                    <w:rPr>
                      <w:lang w:val="en-US"/>
                    </w:rPr>
                    <w:t xml:space="preserve"> given treatment, cf. supplementary</w:t>
                  </w:r>
                  <w:r w:rsidRPr="001D1B80">
                    <w:rPr>
                      <w:lang w:val="sl-SI"/>
                    </w:rPr>
                    <w:t xml:space="preserve"> material),</w:t>
                  </w:r>
                  <w:r w:rsidRPr="001D1B80">
                    <w:rPr>
                      <w:lang w:val="cs-CZ"/>
                    </w:rPr>
                    <w:t xml:space="preserve"> by</w:t>
                  </w:r>
                  <w:r w:rsidRPr="001D1B80">
                    <w:rPr>
                      <w:lang w:val="en-US"/>
                    </w:rPr>
                    <w:t xml:space="preserve"> applying gallic acid and/or nonanoic acid directly onto water. Regular monitoring of</w:t>
                  </w:r>
                  <w:r w:rsidRPr="001D1B80">
                    <w:rPr>
                      <w:lang w:val="sl-SI"/>
                    </w:rPr>
                    <w:t xml:space="preserve"> major</w:t>
                  </w:r>
                  <w:r w:rsidRPr="001D1B80">
                    <w:rPr>
                      <w:lang w:val="en-US"/>
                    </w:rPr>
                    <w:t xml:space="preserve"> phytoplankton</w:t>
                  </w:r>
                  <w:r w:rsidRPr="001D1B80">
                    <w:rPr>
                      <w:lang w:val="pt-BR"/>
                    </w:rPr>
                    <w:t xml:space="preserve"> taxa</w:t>
                  </w:r>
                  <w:r w:rsidRPr="001D1B80">
                    <w:rPr>
                      <w:lang w:val="en-US"/>
                    </w:rPr>
                    <w:t xml:space="preserve"> biomass development was conducted afterwards</w:t>
                  </w:r>
                  <w:r w:rsidRPr="001D1B80">
                    <w:rPr>
                      <w:lang w:val="sl-SI"/>
                    </w:rPr>
                    <w:t xml:space="preserve"> in</w:t>
                  </w:r>
                  <w:r w:rsidRPr="001D1B80">
                    <w:rPr>
                      <w:lang w:val="da-DK"/>
                    </w:rPr>
                    <w:t xml:space="preserve"> all</w:t>
                  </w:r>
                  <w:r w:rsidRPr="001D1B80">
                    <w:rPr>
                      <w:lang w:val="en-US"/>
                    </w:rPr>
                    <w:t xml:space="preserve"> the experi</w:t>
                  </w:r>
                  <w:r w:rsidRPr="001D1B80">
                    <w:rPr>
                      <w:lang w:val="en-US"/>
                    </w:rPr>
                    <w:softHyphen/>
                    <w:t>mental</w:t>
                  </w:r>
                  <w:r w:rsidRPr="001D1B80">
                    <w:rPr>
                      <w:lang w:val="da-DK"/>
                    </w:rPr>
                    <w:t xml:space="preserve"> units</w:t>
                  </w:r>
                  <w:r w:rsidRPr="001D1B80">
                    <w:rPr>
                      <w:lang w:val="en-US"/>
                    </w:rPr>
                    <w:t xml:space="preserve"> using</w:t>
                  </w:r>
                  <w:r w:rsidRPr="001D1B80">
                    <w:rPr>
                      <w:lang w:val="sl-SI"/>
                    </w:rPr>
                    <w:t xml:space="preserve"> a</w:t>
                  </w:r>
                  <w:r w:rsidRPr="001D1B80">
                    <w:rPr>
                      <w:lang w:val="en-US"/>
                    </w:rPr>
                    <w:t xml:space="preserve"> chlorophyll fluorometer</w:t>
                  </w:r>
                  <w:r w:rsidRPr="001D1B80">
                    <w:rPr>
                      <w:lang w:val="sl-SI"/>
                    </w:rPr>
                    <w:t xml:space="preserve"> (as</w:t>
                  </w:r>
                  <w:r w:rsidRPr="001D1B80">
                    <w:rPr>
                      <w:lang w:val="en-US"/>
                    </w:rPr>
                    <w:t xml:space="preserve"> described</w:t>
                  </w:r>
                  <w:r w:rsidRPr="001D1B80">
                    <w:rPr>
                      <w:lang w:val="sl-SI"/>
                    </w:rPr>
                    <w:t xml:space="preserve"> in</w:t>
                  </w:r>
                  <w:r w:rsidRPr="001D1B80">
                    <w:rPr>
                      <w:lang w:val="en-US"/>
                    </w:rPr>
                    <w:t xml:space="preserve"> the next section). Depending</w:t>
                  </w:r>
                  <w:r w:rsidRPr="001D1B80">
                    <w:rPr>
                      <w:lang w:val="sl-SI"/>
                    </w:rPr>
                    <w:t xml:space="preserve"> on</w:t>
                  </w:r>
                  <w:r w:rsidRPr="001D1B80">
                    <w:rPr>
                      <w:lang w:val="en-US"/>
                    </w:rPr>
                    <w:t xml:space="preserve"> the growth of phytoplankton biomass</w:t>
                  </w:r>
                  <w:r w:rsidRPr="001D1B80">
                    <w:rPr>
                      <w:lang w:val="sl-SI"/>
                    </w:rPr>
                    <w:t xml:space="preserve"> in</w:t>
                  </w:r>
                  <w:r w:rsidRPr="001D1B80">
                    <w:rPr>
                      <w:lang w:val="en-US"/>
                    </w:rPr>
                    <w:t xml:space="preserve"> the mesocosms, different</w:t>
                  </w:r>
                  <w:r w:rsidRPr="001D1B80">
                    <w:rPr>
                      <w:lang w:val="pt-BR"/>
                    </w:rPr>
                    <w:t xml:space="preserve"> doses</w:t>
                  </w:r>
                  <w:r w:rsidRPr="001D1B80">
                    <w:rPr>
                      <w:lang w:val="ca-ES"/>
                    </w:rPr>
                    <w:t xml:space="preserve"> (1</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sl-SI"/>
                    </w:rPr>
                    <w:t xml:space="preserve"> [on</w:t>
                  </w:r>
                  <w:r w:rsidRPr="001D1B80">
                    <w:rPr>
                      <w:lang w:val="en-US"/>
                    </w:rPr>
                    <w:t xml:space="preserve"> the</w:t>
                  </w:r>
                  <w:r w:rsidRPr="001D1B80">
                    <w:rPr>
                      <w:lang w:val="da-DK"/>
                    </w:rPr>
                    <w:t xml:space="preserve"> basis</w:t>
                  </w:r>
                  <w:r w:rsidRPr="001D1B80">
                    <w:rPr>
                      <w:lang w:val="en-US"/>
                    </w:rPr>
                    <w:t xml:space="preserve"> of literature</w:t>
                  </w:r>
                  <w:r w:rsidRPr="001D1B80">
                    <w:rPr>
                      <w:lang w:val="pt-BR"/>
                    </w:rPr>
                    <w:t xml:space="preserve"> data,</w:t>
                  </w:r>
                  <w:r w:rsidRPr="001D1B80">
                    <w:rPr>
                      <w:lang w:val="en-US"/>
                    </w:rPr>
                    <w:t xml:space="preserve"> Nakai</w:t>
                  </w:r>
                  <w:r w:rsidRPr="001D1B80">
                    <w:rPr>
                      <w:lang w:val="pt-BR"/>
                    </w:rPr>
                    <w:t xml:space="preserve"> et</w:t>
                  </w:r>
                  <w:r w:rsidRPr="001D1B80">
                    <w:rPr>
                      <w:lang w:val="da-DK"/>
                    </w:rPr>
                    <w:t xml:space="preserve"> al.,</w:t>
                  </w:r>
                  <w:r w:rsidRPr="001D1B80">
                    <w:rPr>
                      <w:lang w:val="ca-ES"/>
                    </w:rPr>
                    <w:t xml:space="preserve"> 2000], 2</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sl-SI"/>
                    </w:rPr>
                    <w:t xml:space="preserve"> or</w:t>
                  </w:r>
                  <w:r w:rsidRPr="001D1B80">
                    <w:rPr>
                      <w:lang w:val="ca-ES"/>
                    </w:rPr>
                    <w:t xml:space="preserve"> 4</w:t>
                  </w:r>
                  <w:r w:rsidRPr="001D1B80">
                    <w:rPr>
                      <w:lang w:val="sl-SI"/>
                    </w:rPr>
                    <w:t xml:space="preserve"> mg</w:t>
                  </w:r>
                  <w:r w:rsidRPr="001D1B80">
                    <w:rPr>
                      <w:lang w:val="en-US"/>
                    </w:rPr>
                    <w:t xml:space="preserve"> L</w:t>
                  </w:r>
                  <w:r w:rsidRPr="001D1B80">
                    <w:rPr>
                      <w:lang w:val="en-US"/>
                    </w:rPr>
                    <w:sym w:font="Symbol" w:char="F02D"/>
                  </w:r>
                  <w:r w:rsidRPr="001D1B80">
                    <w:rPr>
                      <w:lang w:val="en-US"/>
                    </w:rPr>
                    <w:t>1) were applied</w:t>
                  </w:r>
                  <w:r w:rsidRPr="001D1B80">
                    <w:rPr>
                      <w:lang w:val="da-DK"/>
                    </w:rPr>
                    <w:t xml:space="preserve"> at</w:t>
                  </w:r>
                  <w:r w:rsidRPr="001D1B80">
                    <w:rPr>
                      <w:lang w:val="en-US"/>
                    </w:rPr>
                    <w:t xml:space="preserve"> different</w:t>
                  </w:r>
                  <w:r w:rsidRPr="001D1B80">
                    <w:rPr>
                      <w:lang w:val="pt-BR"/>
                    </w:rPr>
                    <w:t xml:space="preserve"> times</w:t>
                  </w:r>
                  <w:r w:rsidRPr="001D1B80">
                    <w:rPr>
                      <w:lang w:val="en-US"/>
                    </w:rPr>
                    <w:t xml:space="preserve"> (respectively identified</w:t>
                  </w:r>
                  <w:r w:rsidRPr="001D1B80">
                    <w:rPr>
                      <w:lang w:val="sl-SI"/>
                    </w:rPr>
                    <w:t xml:space="preserve"> as</w:t>
                  </w:r>
                  <w:r w:rsidRPr="001D1B80">
                    <w:rPr>
                      <w:lang w:val="ca-ES"/>
                    </w:rPr>
                    <w:t xml:space="preserve"> A1</w:t>
                  </w:r>
                  <w:r w:rsidRPr="001D1B80">
                    <w:rPr>
                      <w:lang w:val="pt-BR"/>
                    </w:rPr>
                    <w:t xml:space="preserve"> for</w:t>
                  </w:r>
                  <w:r w:rsidRPr="001D1B80">
                    <w:rPr>
                      <w:lang w:val="en-US"/>
                    </w:rPr>
                    <w:t xml:space="preserve"> the</w:t>
                  </w:r>
                  <w:r w:rsidRPr="001D1B80">
                    <w:rPr>
                      <w:lang w:val="da-DK"/>
                    </w:rPr>
                    <w:t xml:space="preserve"> first</w:t>
                  </w:r>
                  <w:r w:rsidRPr="001D1B80">
                    <w:rPr>
                      <w:lang w:val="sv-SE"/>
                    </w:rPr>
                    <w:t xml:space="preserve"> BDS</w:t>
                  </w:r>
                  <w:r w:rsidRPr="001D1B80">
                    <w:rPr>
                      <w:lang w:val="en-US"/>
                    </w:rPr>
                    <w:t xml:space="preserve"> application,</w:t>
                  </w:r>
                  <w:r w:rsidRPr="001D1B80">
                    <w:rPr>
                      <w:lang w:val="ca-ES"/>
                    </w:rPr>
                    <w:t xml:space="preserve"> A2</w:t>
                  </w:r>
                  <w:r w:rsidRPr="001D1B80">
                    <w:rPr>
                      <w:lang w:val="da-DK"/>
                    </w:rPr>
                    <w:t xml:space="preserve"> at</w:t>
                  </w:r>
                  <w:r w:rsidRPr="001D1B80">
                    <w:rPr>
                      <w:lang w:val="ca-ES"/>
                    </w:rPr>
                    <w:t xml:space="preserve"> T+13</w:t>
                  </w:r>
                  <w:r w:rsidRPr="001D1B80">
                    <w:rPr>
                      <w:lang w:val="en-US"/>
                    </w:rPr>
                    <w:t xml:space="preserve"> days,</w:t>
                  </w:r>
                  <w:r w:rsidRPr="001D1B80">
                    <w:rPr>
                      <w:lang w:val="da-DK"/>
                    </w:rPr>
                    <w:t xml:space="preserve"> and</w:t>
                  </w:r>
                  <w:r w:rsidRPr="001D1B80">
                    <w:rPr>
                      <w:lang w:val="ca-ES"/>
                    </w:rPr>
                    <w:t xml:space="preserve"> A3</w:t>
                  </w:r>
                  <w:r w:rsidRPr="001D1B80">
                    <w:rPr>
                      <w:lang w:val="da-DK"/>
                    </w:rPr>
                    <w:t xml:space="preserve"> at</w:t>
                  </w:r>
                  <w:r w:rsidRPr="001D1B80">
                    <w:rPr>
                      <w:lang w:val="ca-ES"/>
                    </w:rPr>
                    <w:t xml:space="preserve"> T+19</w:t>
                  </w:r>
                  <w:r w:rsidRPr="001D1B80">
                    <w:rPr>
                      <w:lang w:val="en-US"/>
                    </w:rPr>
                    <w:t xml:space="preserve"> days).</w:t>
                  </w:r>
                  <w:r w:rsidRPr="001D1B80">
                    <w:rPr>
                      <w:lang w:val="pt-BR"/>
                    </w:rPr>
                    <w:t xml:space="preserve"> At</w:t>
                  </w:r>
                  <w:r w:rsidRPr="001D1B80">
                    <w:rPr>
                      <w:lang w:val="ca-ES"/>
                    </w:rPr>
                    <w:t xml:space="preserve"> T+28</w:t>
                  </w:r>
                  <w:r w:rsidRPr="001D1B80">
                    <w:rPr>
                      <w:lang w:val="en-US"/>
                    </w:rPr>
                    <w:t xml:space="preserve"> days of the experiments, the</w:t>
                  </w:r>
                  <w:r w:rsidRPr="001D1B80">
                    <w:rPr>
                      <w:lang w:val="pt-BR"/>
                    </w:rPr>
                    <w:t xml:space="preserve"> global</w:t>
                  </w:r>
                  <w:r w:rsidRPr="001D1B80">
                    <w:rPr>
                      <w:lang w:val="en-US"/>
                    </w:rPr>
                    <w:t xml:space="preserve"> health</w:t>
                  </w:r>
                  <w:r w:rsidRPr="001D1B80">
                    <w:rPr>
                      <w:lang w:val="sl-SI"/>
                    </w:rPr>
                    <w:t xml:space="preserve"> status</w:t>
                  </w:r>
                  <w:r w:rsidRPr="001D1B80">
                    <w:rPr>
                      <w:lang w:val="en-US"/>
                    </w:rPr>
                    <w:t xml:space="preserve"> of the</w:t>
                  </w:r>
                  <w:r w:rsidRPr="001D1B80">
                    <w:rPr>
                      <w:lang w:val="nl-NL"/>
                    </w:rPr>
                    <w:t xml:space="preserve"> non-target</w:t>
                  </w:r>
                  <w:r w:rsidRPr="001D1B80">
                    <w:rPr>
                      <w:lang w:val="da-DK"/>
                    </w:rPr>
                    <w:t xml:space="preserve"> species</w:t>
                  </w:r>
                  <w:r w:rsidRPr="001D1B80">
                    <w:rPr>
                      <w:lang w:val="en-US"/>
                    </w:rPr>
                    <w:t xml:space="preserve"> (snails,</w:t>
                  </w:r>
                  <w:r w:rsidRPr="001D1B80">
                    <w:rPr>
                      <w:lang w:val="da-DK"/>
                    </w:rPr>
                    <w:t xml:space="preserve"> gammarids, and</w:t>
                  </w:r>
                  <w:r w:rsidRPr="001D1B80">
                    <w:rPr>
                      <w:lang w:val="en-US"/>
                    </w:rPr>
                    <w:t xml:space="preserve"> fish) was finally assessed through measurement of</w:t>
                  </w:r>
                  <w:r w:rsidRPr="001D1B80">
                    <w:rPr>
                      <w:lang w:val="sl-SI"/>
                    </w:rPr>
                    <w:t xml:space="preserve"> a set</w:t>
                  </w:r>
                  <w:r w:rsidRPr="001D1B80">
                    <w:rPr>
                      <w:lang w:val="en-US"/>
                    </w:rPr>
                    <w:t xml:space="preserve"> of exposure</w:t>
                  </w:r>
                  <w:r w:rsidRPr="001D1B80">
                    <w:rPr>
                      <w:lang w:val="da-DK"/>
                    </w:rPr>
                    <w:t xml:space="preserve"> biomarkers.</w:t>
                  </w:r>
                </w:p>
              </w:sdtContent>
            </w:sdt>
          </w:sdtContent>
        </w:sdt>
        <w:sdt>
          <w:sdtPr>
            <w:rPr>
              <w:b w:val="0"/>
              <w:bCs w:val="0"/>
              <w:sz w:val="20"/>
              <w:szCs w:val="20"/>
            </w:rPr>
            <w:id w:val="1658342729"/>
            <w:placeholder>
              <w:docPart w:val="A5070A0AAE5742DAA9E6B178A264E34E"/>
            </w:placeholder>
            <w15:repeatingSectionItem/>
          </w:sdtPr>
          <w:sdtEndPr/>
          <w:sdtContent>
            <w:p w:rsidR="006F2346" w:rsidRPr="001D1B80" w:rsidRDefault="00D27E5B" w:rsidP="001D1B80">
              <w:pPr>
                <w:pStyle w:val="SousTitrePartieArticle"/>
              </w:pPr>
              <w:sdt>
                <w:sdtPr>
                  <w:id w:val="832419539"/>
                  <w:placeholder>
                    <w:docPart w:val="101E3467C1624950AF62FD13026A440E"/>
                  </w:placeholder>
                  <w:text/>
                </w:sdtPr>
                <w:sdtEndPr/>
                <w:sdtContent>
                  <w:r w:rsidR="006F2346" w:rsidRPr="001D1B80">
                    <w:t>Phytoplankton analysis</w:t>
                  </w:r>
                </w:sdtContent>
              </w:sdt>
              <w:r w:rsidR="006F2346" w:rsidRPr="001D1B80">
                <w:tab/>
              </w:r>
            </w:p>
            <w:sdt>
              <w:sdtPr>
                <w:id w:val="280234181"/>
                <w:placeholder>
                  <w:docPart w:val="2D55BBBCB36D411586D0D6DDFF117B82"/>
                </w:placeholder>
              </w:sdtPr>
              <w:sdtEndPr/>
              <w:sdtContent>
                <w:p w:rsidR="006F2346" w:rsidRPr="001D1B80" w:rsidRDefault="006F2346" w:rsidP="001D1B80">
                  <w:pPr>
                    <w:pStyle w:val="Partie"/>
                    <w:rPr>
                      <w:lang w:val="en-US"/>
                    </w:rPr>
                  </w:pPr>
                  <w:r w:rsidRPr="001D1B80">
                    <w:rPr>
                      <w:lang w:val="en-US"/>
                    </w:rPr>
                    <w:t>Water</w:t>
                  </w:r>
                  <w:r w:rsidRPr="001D1B80">
                    <w:rPr>
                      <w:lang w:val="da-DK"/>
                    </w:rPr>
                    <w:t xml:space="preserve"> samples</w:t>
                  </w:r>
                  <w:r w:rsidRPr="001D1B80">
                    <w:rPr>
                      <w:lang w:val="en-US"/>
                    </w:rPr>
                    <w:t xml:space="preserve"> were regularly collected from each mesocosm using</w:t>
                  </w:r>
                  <w:r w:rsidRPr="001D1B80">
                    <w:rPr>
                      <w:lang w:val="sl-SI"/>
                    </w:rPr>
                    <w:t xml:space="preserve"> a PVC tube</w:t>
                  </w:r>
                  <w:r w:rsidRPr="001D1B80">
                    <w:rPr>
                      <w:lang w:val="en-US"/>
                    </w:rPr>
                    <w:t xml:space="preserve"> equipped with</w:t>
                  </w:r>
                  <w:r w:rsidRPr="001D1B80">
                    <w:rPr>
                      <w:lang w:val="sl-SI"/>
                    </w:rPr>
                    <w:t xml:space="preserve"> a</w:t>
                  </w:r>
                  <w:r w:rsidRPr="001D1B80">
                    <w:rPr>
                      <w:lang w:val="en-US"/>
                    </w:rPr>
                    <w:t xml:space="preserve"> bottom-closing</w:t>
                  </w:r>
                  <w:r w:rsidRPr="001D1B80">
                    <w:rPr>
                      <w:lang w:val="da-DK"/>
                    </w:rPr>
                    <w:t xml:space="preserve"> rubber</w:t>
                  </w:r>
                  <w:r w:rsidRPr="001D1B80">
                    <w:rPr>
                      <w:lang w:val="sl-SI"/>
                    </w:rPr>
                    <w:t xml:space="preserve"> cap.</w:t>
                  </w:r>
                  <w:r w:rsidRPr="001D1B80">
                    <w:rPr>
                      <w:lang w:val="pt-BR"/>
                    </w:rPr>
                    <w:t xml:space="preserve"> Series</w:t>
                  </w:r>
                  <w:r w:rsidRPr="001D1B80">
                    <w:rPr>
                      <w:lang w:val="en-US"/>
                    </w:rPr>
                    <w:t xml:space="preserve"> of</w:t>
                  </w:r>
                  <w:r w:rsidRPr="001D1B80">
                    <w:rPr>
                      <w:lang w:val="ca-ES"/>
                    </w:rPr>
                    <w:t xml:space="preserve"> 25</w:t>
                  </w:r>
                  <w:r w:rsidRPr="001D1B80">
                    <w:rPr>
                      <w:lang w:val="en-US"/>
                    </w:rPr>
                    <w:t xml:space="preserve"> mL</w:t>
                  </w:r>
                  <w:r w:rsidRPr="001D1B80">
                    <w:rPr>
                      <w:lang w:val="nl-NL"/>
                    </w:rPr>
                    <w:t xml:space="preserve"> subsamples</w:t>
                  </w:r>
                  <w:r w:rsidRPr="001D1B80">
                    <w:rPr>
                      <w:lang w:val="en-US"/>
                    </w:rPr>
                    <w:t xml:space="preserve"> were used</w:t>
                  </w:r>
                  <w:r w:rsidRPr="001D1B80">
                    <w:rPr>
                      <w:lang w:val="pt-BR"/>
                    </w:rPr>
                    <w:t xml:space="preserve"> for</w:t>
                  </w:r>
                  <w:r w:rsidRPr="001D1B80">
                    <w:rPr>
                      <w:lang w:val="en-US"/>
                    </w:rPr>
                    <w:t xml:space="preserve"> direct chlorophyll fluorescence measure</w:t>
                  </w:r>
                  <w:r w:rsidRPr="001D1B80">
                    <w:rPr>
                      <w:lang w:val="en-US"/>
                    </w:rPr>
                    <w:softHyphen/>
                    <w:t>ment</w:t>
                  </w:r>
                  <w:r w:rsidRPr="001D1B80">
                    <w:rPr>
                      <w:lang w:val="da-DK"/>
                    </w:rPr>
                    <w:t xml:space="preserve"> and</w:t>
                  </w:r>
                  <w:r w:rsidRPr="001D1B80">
                    <w:rPr>
                      <w:lang w:val="en-US"/>
                    </w:rPr>
                    <w:t xml:space="preserve"> algae class differentiation using</w:t>
                  </w:r>
                  <w:r w:rsidRPr="001D1B80">
                    <w:rPr>
                      <w:lang w:val="cs-CZ"/>
                    </w:rPr>
                    <w:t xml:space="preserve"> an</w:t>
                  </w:r>
                  <w:r w:rsidRPr="001D1B80">
                    <w:rPr>
                      <w:lang w:val="en-US"/>
                    </w:rPr>
                    <w:t xml:space="preserve"> AlgaeLabAnalyser</w:t>
                  </w:r>
                  <w:r w:rsidRPr="001D1B80">
                    <w:rPr>
                      <w:lang w:val="sl-SI"/>
                    </w:rPr>
                    <w:t xml:space="preserve"> instru</w:t>
                  </w:r>
                  <w:r w:rsidRPr="001D1B80">
                    <w:rPr>
                      <w:lang w:val="sl-SI"/>
                    </w:rPr>
                    <w:softHyphen/>
                    <w:t>ment</w:t>
                  </w:r>
                  <w:r w:rsidRPr="001D1B80">
                    <w:rPr>
                      <w:lang w:val="en-US"/>
                    </w:rPr>
                    <w:t xml:space="preserve"> (ALA bbe Moldaenke,</w:t>
                  </w:r>
                  <w:r w:rsidRPr="001D1B80">
                    <w:rPr>
                      <w:lang w:val="da-DK"/>
                    </w:rPr>
                    <w:t xml:space="preserve"> Kiel,</w:t>
                  </w:r>
                  <w:r w:rsidRPr="001D1B80">
                    <w:rPr>
                      <w:lang w:val="en-US"/>
                    </w:rPr>
                    <w:t xml:space="preserve"> Germany) (Beutler</w:t>
                  </w:r>
                  <w:r w:rsidRPr="001D1B80">
                    <w:rPr>
                      <w:lang w:val="pt-BR"/>
                    </w:rPr>
                    <w:t xml:space="preserve"> et</w:t>
                  </w:r>
                  <w:r w:rsidRPr="001D1B80">
                    <w:rPr>
                      <w:lang w:val="da-DK"/>
                    </w:rPr>
                    <w:t xml:space="preserve"> al.,</w:t>
                  </w:r>
                  <w:r w:rsidRPr="001D1B80">
                    <w:rPr>
                      <w:lang w:val="ca-ES"/>
                    </w:rPr>
                    <w:t xml:space="preserve"> 2002).</w:t>
                  </w:r>
                  <w:r w:rsidRPr="001D1B80">
                    <w:rPr>
                      <w:lang w:val="en-US"/>
                    </w:rPr>
                    <w:t xml:space="preserve"> The ALA</w:t>
                  </w:r>
                  <w:r w:rsidRPr="001D1B80">
                    <w:rPr>
                      <w:lang w:val="pt-BR"/>
                    </w:rPr>
                    <w:t xml:space="preserve"> is</w:t>
                  </w:r>
                  <w:r w:rsidRPr="001D1B80">
                    <w:rPr>
                      <w:lang w:val="cs-CZ"/>
                    </w:rPr>
                    <w:t xml:space="preserve"> an</w:t>
                  </w:r>
                  <w:r w:rsidRPr="001D1B80">
                    <w:rPr>
                      <w:lang w:val="pt-BR"/>
                    </w:rPr>
                    <w:t xml:space="preserve"> on-line</w:t>
                  </w:r>
                  <w:r w:rsidRPr="001D1B80">
                    <w:rPr>
                      <w:lang w:val="en-US"/>
                    </w:rPr>
                    <w:t xml:space="preserve"> laboratory cuvette spectrofluorometer which allows</w:t>
                  </w:r>
                  <w:r w:rsidRPr="001D1B80">
                    <w:rPr>
                      <w:lang w:val="da-DK"/>
                    </w:rPr>
                    <w:t xml:space="preserve"> separate</w:t>
                  </w:r>
                  <w:r w:rsidRPr="001D1B80">
                    <w:rPr>
                      <w:lang w:val="en-US"/>
                    </w:rPr>
                    <w:t xml:space="preserve"> determination of chlorophyll</w:t>
                  </w:r>
                  <w:r w:rsidRPr="001D1B80">
                    <w:rPr>
                      <w:lang w:val="sl-SI"/>
                    </w:rPr>
                    <w:t xml:space="preserve"> a</w:t>
                  </w:r>
                  <w:r w:rsidRPr="001D1B80">
                    <w:rPr>
                      <w:lang w:val="en-US"/>
                    </w:rPr>
                    <w:t xml:space="preserve"> </w:t>
                  </w:r>
                  <w:proofErr w:type="gramStart"/>
                  <w:r w:rsidRPr="001D1B80">
                    <w:rPr>
                      <w:lang w:val="en-US"/>
                    </w:rPr>
                    <w:t>contents</w:t>
                  </w:r>
                  <w:proofErr w:type="gramEnd"/>
                  <w:r w:rsidRPr="001D1B80">
                    <w:rPr>
                      <w:lang w:val="en-US"/>
                    </w:rPr>
                    <w:t xml:space="preserve"> (expressed</w:t>
                  </w:r>
                  <w:r w:rsidRPr="001D1B80">
                    <w:rPr>
                      <w:lang w:val="sl-SI"/>
                    </w:rPr>
                    <w:t xml:space="preserve"> in</w:t>
                  </w:r>
                  <w:r w:rsidRPr="001D1B80">
                    <w:rPr>
                      <w:lang w:val="en-US"/>
                    </w:rPr>
                    <w:t xml:space="preserve"> μg chlorophyll a/L) from blue-green algae (Cyanophyceae),</w:t>
                  </w:r>
                  <w:r w:rsidRPr="001D1B80">
                    <w:rPr>
                      <w:lang w:val="da-DK"/>
                    </w:rPr>
                    <w:t xml:space="preserve"> green</w:t>
                  </w:r>
                  <w:r w:rsidRPr="001D1B80">
                    <w:rPr>
                      <w:lang w:val="en-US"/>
                    </w:rPr>
                    <w:t xml:space="preserve"> algae (Chlorophyceae), brown algae (Bacillariophyceae, Dinophyceae),</w:t>
                  </w:r>
                  <w:r w:rsidRPr="001D1B80">
                    <w:rPr>
                      <w:lang w:val="da-DK"/>
                    </w:rPr>
                    <w:t xml:space="preserve"> and</w:t>
                  </w:r>
                  <w:r w:rsidRPr="001D1B80">
                    <w:rPr>
                      <w:lang w:val="en-US"/>
                    </w:rPr>
                    <w:t xml:space="preserve"> Cryptophyceae (Beutler</w:t>
                  </w:r>
                  <w:r w:rsidRPr="001D1B80">
                    <w:rPr>
                      <w:lang w:val="pt-BR"/>
                    </w:rPr>
                    <w:t xml:space="preserve"> et</w:t>
                  </w:r>
                  <w:r w:rsidRPr="001D1B80">
                    <w:rPr>
                      <w:lang w:val="da-DK"/>
                    </w:rPr>
                    <w:t xml:space="preserve"> al.,</w:t>
                  </w:r>
                  <w:r w:rsidRPr="001D1B80">
                    <w:rPr>
                      <w:lang w:val="ca-ES"/>
                    </w:rPr>
                    <w:t xml:space="preserve"> 2002).</w:t>
                  </w:r>
                </w:p>
              </w:sdtContent>
            </w:sdt>
          </w:sdtContent>
        </w:sdt>
        <w:sdt>
          <w:sdtPr>
            <w:rPr>
              <w:b w:val="0"/>
              <w:bCs w:val="0"/>
              <w:sz w:val="20"/>
              <w:szCs w:val="20"/>
            </w:rPr>
            <w:id w:val="-63571014"/>
            <w:placeholder>
              <w:docPart w:val="238318E8D9D54301BE2467EE3FE76041"/>
            </w:placeholder>
            <w15:repeatingSectionItem/>
          </w:sdtPr>
          <w:sdtEndPr/>
          <w:sdtContent>
            <w:p w:rsidR="006F2346" w:rsidRPr="001D1B80" w:rsidRDefault="00D27E5B" w:rsidP="001D1B80">
              <w:pPr>
                <w:pStyle w:val="SousTitrePartieArticle"/>
              </w:pPr>
              <w:sdt>
                <w:sdtPr>
                  <w:id w:val="-2122065397"/>
                  <w:placeholder>
                    <w:docPart w:val="F09A6718EE544A8DA12B20D7D9F04E06"/>
                  </w:placeholder>
                  <w:text/>
                </w:sdtPr>
                <w:sdtEndPr/>
                <w:sdtContent>
                  <w:r w:rsidR="006F2346" w:rsidRPr="001D1B80">
                    <w:t>Physicochemical parameters</w:t>
                  </w:r>
                </w:sdtContent>
              </w:sdt>
              <w:r w:rsidR="006F2346" w:rsidRPr="001D1B80">
                <w:tab/>
              </w:r>
            </w:p>
            <w:sdt>
              <w:sdtPr>
                <w:id w:val="988740562"/>
                <w:placeholder>
                  <w:docPart w:val="32207CC89AD44758AD7576DE805BD924"/>
                </w:placeholder>
              </w:sdtPr>
              <w:sdtEndPr/>
              <w:sdtContent>
                <w:p w:rsidR="006F2346" w:rsidRPr="001D1B80" w:rsidRDefault="006F2346" w:rsidP="001D1B80">
                  <w:pPr>
                    <w:pStyle w:val="Partie"/>
                    <w:rPr>
                      <w:lang w:val="en-US"/>
                    </w:rPr>
                  </w:pPr>
                  <w:r w:rsidRPr="001D1B80">
                    <w:rPr>
                      <w:lang w:val="en-US"/>
                    </w:rPr>
                    <w:t>Water temperature was continuously recorded</w:t>
                  </w:r>
                  <w:r w:rsidRPr="001D1B80">
                    <w:rPr>
                      <w:lang w:val="sl-SI"/>
                    </w:rPr>
                    <w:t xml:space="preserve"> in</w:t>
                  </w:r>
                  <w:r w:rsidRPr="001D1B80">
                    <w:rPr>
                      <w:lang w:val="da-DK"/>
                    </w:rPr>
                    <w:t xml:space="preserve"> all</w:t>
                  </w:r>
                  <w:r w:rsidRPr="001D1B80">
                    <w:rPr>
                      <w:lang w:val="en-US"/>
                    </w:rPr>
                    <w:t xml:space="preserve"> the exposure</w:t>
                  </w:r>
                  <w:r w:rsidRPr="001D1B80">
                    <w:rPr>
                      <w:lang w:val="da-DK"/>
                    </w:rPr>
                    <w:t xml:space="preserve"> tanks</w:t>
                  </w:r>
                  <w:r w:rsidRPr="001D1B80">
                    <w:rPr>
                      <w:lang w:val="en-US"/>
                    </w:rPr>
                    <w:t xml:space="preserve"> using</w:t>
                  </w:r>
                  <w:r w:rsidRPr="001D1B80">
                    <w:rPr>
                      <w:lang w:val="sl-SI"/>
                    </w:rPr>
                    <w:t xml:space="preserve"> a</w:t>
                  </w:r>
                  <w:r w:rsidRPr="001D1B80">
                    <w:rPr>
                      <w:lang w:val="en-US"/>
                    </w:rPr>
                    <w:t xml:space="preserve"> HOBO</w:t>
                  </w:r>
                  <w:r w:rsidRPr="001D1B80">
                    <w:rPr>
                      <w:lang w:val="pt-BR"/>
                    </w:rPr>
                    <w:t xml:space="preserve"> data</w:t>
                  </w:r>
                  <w:r w:rsidRPr="001D1B80">
                    <w:rPr>
                      <w:lang w:val="da-DK"/>
                    </w:rPr>
                    <w:t xml:space="preserve"> logger.</w:t>
                  </w:r>
                  <w:r w:rsidRPr="001D1B80">
                    <w:rPr>
                      <w:lang w:val="en-US"/>
                    </w:rPr>
                    <w:t xml:space="preserve"> Conductivity, pH,</w:t>
                  </w:r>
                  <w:r w:rsidRPr="001D1B80">
                    <w:rPr>
                      <w:lang w:val="da-DK"/>
                    </w:rPr>
                    <w:t xml:space="preserve"> and</w:t>
                  </w:r>
                  <w:r w:rsidRPr="001D1B80">
                    <w:rPr>
                      <w:lang w:val="en-US"/>
                    </w:rPr>
                    <w:t xml:space="preserve"> dissolved oxygen were monitored twice</w:t>
                  </w:r>
                  <w:r w:rsidRPr="001D1B80">
                    <w:rPr>
                      <w:lang w:val="sl-SI"/>
                    </w:rPr>
                    <w:t xml:space="preserve"> a</w:t>
                  </w:r>
                  <w:r w:rsidRPr="001D1B80">
                    <w:rPr>
                      <w:lang w:val="en-US"/>
                    </w:rPr>
                    <w:t xml:space="preserve"> week using</w:t>
                  </w:r>
                  <w:r w:rsidRPr="001D1B80">
                    <w:rPr>
                      <w:lang w:val="cs-CZ"/>
                    </w:rPr>
                    <w:t xml:space="preserve"> an</w:t>
                  </w:r>
                  <w:r w:rsidRPr="001D1B80">
                    <w:rPr>
                      <w:lang w:val="en-US"/>
                    </w:rPr>
                    <w:t xml:space="preserve"> appropriate</w:t>
                  </w:r>
                  <w:r w:rsidRPr="001D1B80">
                    <w:rPr>
                      <w:lang w:val="pt-BR"/>
                    </w:rPr>
                    <w:t xml:space="preserve"> digital</w:t>
                  </w:r>
                  <w:r w:rsidRPr="001D1B80">
                    <w:rPr>
                      <w:lang w:val="en-US"/>
                    </w:rPr>
                    <w:t xml:space="preserve"> probe</w:t>
                  </w:r>
                  <w:r w:rsidRPr="001D1B80">
                    <w:rPr>
                      <w:lang w:val="nl-NL"/>
                    </w:rPr>
                    <w:t xml:space="preserve"> (PONSEL</w:t>
                  </w:r>
                  <w:r w:rsidRPr="001D1B80">
                    <w:rPr>
                      <w:lang w:val="en-US"/>
                    </w:rPr>
                    <w:t xml:space="preserve"> ODEON®</w:t>
                  </w:r>
                  <w:r w:rsidRPr="001D1B80">
                    <w:rPr>
                      <w:lang w:val="pt-BR"/>
                    </w:rPr>
                    <w:t xml:space="preserve"> Digital</w:t>
                  </w:r>
                  <w:r w:rsidRPr="001D1B80">
                    <w:rPr>
                      <w:lang w:val="en-US"/>
                    </w:rPr>
                    <w:t xml:space="preserve"> Handheld</w:t>
                  </w:r>
                  <w:r w:rsidRPr="001D1B80">
                    <w:rPr>
                      <w:lang w:val="da-DK"/>
                    </w:rPr>
                    <w:t xml:space="preserve"> Multiparameter).</w:t>
                  </w:r>
                  <w:r w:rsidRPr="001D1B80">
                    <w:rPr>
                      <w:lang w:val="en-US"/>
                    </w:rPr>
                    <w:t xml:space="preserve"> Ammonia, ni</w:t>
                  </w:r>
                  <w:r w:rsidRPr="001D1B80">
                    <w:rPr>
                      <w:lang w:val="en-US"/>
                    </w:rPr>
                    <w:softHyphen/>
                    <w:t>trite, nitrate,</w:t>
                  </w:r>
                  <w:r w:rsidRPr="001D1B80">
                    <w:rPr>
                      <w:lang w:val="da-DK"/>
                    </w:rPr>
                    <w:t xml:space="preserve"> and</w:t>
                  </w:r>
                  <w:r w:rsidRPr="001D1B80">
                    <w:rPr>
                      <w:lang w:val="en-US"/>
                    </w:rPr>
                    <w:t xml:space="preserve"> orthophosphate</w:t>
                  </w:r>
                  <w:r w:rsidRPr="001D1B80">
                    <w:rPr>
                      <w:lang w:val="sl-SI"/>
                    </w:rPr>
                    <w:t xml:space="preserve"> ion</w:t>
                  </w:r>
                  <w:r w:rsidRPr="001D1B80">
                    <w:rPr>
                      <w:lang w:val="en-US"/>
                    </w:rPr>
                    <w:t xml:space="preserve"> concentrations were determined colorimetrically using</w:t>
                  </w:r>
                  <w:r w:rsidRPr="001D1B80">
                    <w:rPr>
                      <w:lang w:val="sl-SI"/>
                    </w:rPr>
                    <w:t xml:space="preserve"> a</w:t>
                  </w:r>
                  <w:r w:rsidRPr="001D1B80">
                    <w:rPr>
                      <w:lang w:val="da-DK"/>
                    </w:rPr>
                    <w:t xml:space="preserve"> portable</w:t>
                  </w:r>
                  <w:r w:rsidRPr="001D1B80">
                    <w:rPr>
                      <w:lang w:val="en-US"/>
                    </w:rPr>
                    <w:t xml:space="preserve"> spectrophotometer</w:t>
                  </w:r>
                  <w:r w:rsidRPr="001D1B80">
                    <w:rPr>
                      <w:lang w:val="da-DK"/>
                    </w:rPr>
                    <w:t xml:space="preserve"> and</w:t>
                  </w:r>
                  <w:r w:rsidRPr="001D1B80">
                    <w:rPr>
                      <w:lang w:val="en-US"/>
                    </w:rPr>
                    <w:t xml:space="preserve"> specific pro</w:t>
                  </w:r>
                  <w:r w:rsidRPr="001D1B80">
                    <w:rPr>
                      <w:lang w:val="en-US"/>
                    </w:rPr>
                    <w:softHyphen/>
                    <w:t>prietary reagents</w:t>
                  </w:r>
                  <w:r w:rsidRPr="001D1B80">
                    <w:rPr>
                      <w:lang w:val="da-DK"/>
                    </w:rPr>
                    <w:t xml:space="preserve"> (HANNA</w:t>
                  </w:r>
                  <w:r w:rsidRPr="001D1B80">
                    <w:rPr>
                      <w:lang w:val="en-US"/>
                    </w:rPr>
                    <w:t xml:space="preserve"> Instruments,</w:t>
                  </w:r>
                  <w:r w:rsidRPr="001D1B80">
                    <w:rPr>
                      <w:lang w:val="sl-SI"/>
                    </w:rPr>
                    <w:t xml:space="preserve"> HI</w:t>
                  </w:r>
                  <w:r w:rsidRPr="001D1B80">
                    <w:rPr>
                      <w:lang w:val="ca-ES"/>
                    </w:rPr>
                    <w:t xml:space="preserve"> 3873,</w:t>
                  </w:r>
                  <w:r w:rsidRPr="001D1B80">
                    <w:rPr>
                      <w:lang w:val="sl-SI"/>
                    </w:rPr>
                    <w:t xml:space="preserve"> HI</w:t>
                  </w:r>
                  <w:r w:rsidRPr="001D1B80">
                    <w:rPr>
                      <w:lang w:val="ca-ES"/>
                    </w:rPr>
                    <w:t xml:space="preserve"> 93700-01).</w:t>
                  </w:r>
                  <w:r w:rsidRPr="001D1B80">
                    <w:rPr>
                      <w:lang w:val="sl-SI"/>
                    </w:rPr>
                    <w:t xml:space="preserve"> Use</w:t>
                  </w:r>
                  <w:r w:rsidRPr="001D1B80">
                    <w:rPr>
                      <w:lang w:val="en-US"/>
                    </w:rPr>
                    <w:t xml:space="preserve"> of</w:t>
                  </w:r>
                  <w:r w:rsidRPr="001D1B80">
                    <w:rPr>
                      <w:lang w:val="sl-SI"/>
                    </w:rPr>
                    <w:t xml:space="preserve"> a</w:t>
                  </w:r>
                  <w:r w:rsidRPr="001D1B80">
                    <w:rPr>
                      <w:lang w:val="pt-BR"/>
                    </w:rPr>
                    <w:t xml:space="preserve"> digital</w:t>
                  </w:r>
                  <w:r w:rsidRPr="001D1B80">
                    <w:rPr>
                      <w:lang w:val="en-US"/>
                    </w:rPr>
                    <w:t xml:space="preserve"> probe</w:t>
                  </w:r>
                  <w:r w:rsidRPr="001D1B80">
                    <w:rPr>
                      <w:lang w:val="da-DK"/>
                    </w:rPr>
                    <w:t xml:space="preserve"> and portable</w:t>
                  </w:r>
                  <w:r w:rsidRPr="001D1B80">
                    <w:rPr>
                      <w:lang w:val="en-US"/>
                    </w:rPr>
                    <w:t xml:space="preserve"> spectrophotometer was particularly appro</w:t>
                  </w:r>
                  <w:r w:rsidRPr="001D1B80">
                    <w:rPr>
                      <w:lang w:val="en-US"/>
                    </w:rPr>
                    <w:softHyphen/>
                    <w:t>priate</w:t>
                  </w:r>
                  <w:r w:rsidRPr="001D1B80">
                    <w:rPr>
                      <w:lang w:val="pt-BR"/>
                    </w:rPr>
                    <w:t xml:space="preserve"> for</w:t>
                  </w:r>
                  <w:r w:rsidRPr="001D1B80">
                    <w:rPr>
                      <w:lang w:val="en-US"/>
                    </w:rPr>
                    <w:t xml:space="preserve"> direct, rapid,</w:t>
                  </w:r>
                  <w:r w:rsidRPr="001D1B80">
                    <w:rPr>
                      <w:lang w:val="da-DK"/>
                    </w:rPr>
                    <w:t xml:space="preserve"> and</w:t>
                  </w:r>
                  <w:r w:rsidRPr="001D1B80">
                    <w:rPr>
                      <w:lang w:val="en-US"/>
                    </w:rPr>
                    <w:t xml:space="preserve"> reliable</w:t>
                  </w:r>
                  <w:r w:rsidRPr="001D1B80">
                    <w:rPr>
                      <w:lang w:val="sl-SI"/>
                    </w:rPr>
                    <w:t xml:space="preserve"> in</w:t>
                  </w:r>
                  <w:r w:rsidRPr="001D1B80">
                    <w:rPr>
                      <w:lang w:val="en-US"/>
                    </w:rPr>
                    <w:t xml:space="preserve"> situ monitoring of water physico</w:t>
                  </w:r>
                  <w:r w:rsidRPr="001D1B80">
                    <w:rPr>
                      <w:lang w:val="en-US"/>
                    </w:rPr>
                    <w:softHyphen/>
                    <w:t>chemical parameters</w:t>
                  </w:r>
                  <w:r w:rsidRPr="001D1B80">
                    <w:rPr>
                      <w:lang w:val="sl-SI"/>
                    </w:rPr>
                    <w:t xml:space="preserve"> in</w:t>
                  </w:r>
                  <w:r w:rsidRPr="001D1B80">
                    <w:rPr>
                      <w:lang w:val="en-US"/>
                    </w:rPr>
                    <w:t xml:space="preserve"> the outdoor mesocosms (Caquet</w:t>
                  </w:r>
                  <w:r w:rsidRPr="001D1B80">
                    <w:rPr>
                      <w:lang w:val="pt-BR"/>
                    </w:rPr>
                    <w:t xml:space="preserve"> et</w:t>
                  </w:r>
                  <w:r w:rsidRPr="001D1B80">
                    <w:rPr>
                      <w:lang w:val="da-DK"/>
                    </w:rPr>
                    <w:t xml:space="preserve"> al.,</w:t>
                  </w:r>
                  <w:r w:rsidRPr="001D1B80">
                    <w:rPr>
                      <w:lang w:val="ca-ES"/>
                    </w:rPr>
                    <w:t xml:space="preserve"> 1996;</w:t>
                  </w:r>
                  <w:r w:rsidRPr="001D1B80">
                    <w:rPr>
                      <w:lang w:val="en-US"/>
                    </w:rPr>
                    <w:t xml:space="preserve"> Orellana</w:t>
                  </w:r>
                  <w:r w:rsidRPr="001D1B80">
                    <w:rPr>
                      <w:lang w:val="pt-BR"/>
                    </w:rPr>
                    <w:t xml:space="preserve"> et</w:t>
                  </w:r>
                  <w:r w:rsidRPr="001D1B80">
                    <w:rPr>
                      <w:lang w:val="da-DK"/>
                    </w:rPr>
                    <w:t xml:space="preserve"> al.,</w:t>
                  </w:r>
                  <w:r w:rsidRPr="001D1B80">
                    <w:rPr>
                      <w:lang w:val="ca-ES"/>
                    </w:rPr>
                    <w:t xml:space="preserve"> 2011).</w:t>
                  </w:r>
                </w:p>
              </w:sdtContent>
            </w:sdt>
          </w:sdtContent>
        </w:sdt>
        <w:sdt>
          <w:sdtPr>
            <w:rPr>
              <w:b w:val="0"/>
              <w:bCs w:val="0"/>
              <w:sz w:val="20"/>
              <w:szCs w:val="20"/>
            </w:rPr>
            <w:id w:val="-844858519"/>
            <w:placeholder>
              <w:docPart w:val="1F87CA6E38FE4EC187E98BBB8517E866"/>
            </w:placeholder>
            <w15:repeatingSectionItem/>
          </w:sdtPr>
          <w:sdtEndPr/>
          <w:sdtContent>
            <w:p w:rsidR="006F2346" w:rsidRPr="001D1B80" w:rsidRDefault="00D27E5B" w:rsidP="001D1B80">
              <w:pPr>
                <w:pStyle w:val="SousTitrePartieArticle"/>
                <w:rPr>
                  <w:lang w:val="en-US"/>
                </w:rPr>
              </w:pPr>
              <w:sdt>
                <w:sdtPr>
                  <w:rPr>
                    <w:lang w:val="en-US"/>
                  </w:rPr>
                  <w:id w:val="-1127387498"/>
                  <w:placeholder>
                    <w:docPart w:val="FCCA7BB14E474FFBAEA6416E584CD2E9"/>
                  </w:placeholder>
                  <w:text/>
                </w:sdtPr>
                <w:sdtEndPr/>
                <w:sdtContent>
                  <w:r w:rsidR="006F2346" w:rsidRPr="001D1B80">
                    <w:rPr>
                      <w:lang w:val="en-US"/>
                    </w:rPr>
                    <w:t>Biomarker determination in non-target organisms</w:t>
                  </w:r>
                </w:sdtContent>
              </w:sdt>
              <w:r w:rsidR="006F2346" w:rsidRPr="001D1B80">
                <w:rPr>
                  <w:lang w:val="en-US"/>
                </w:rPr>
                <w:tab/>
              </w:r>
            </w:p>
            <w:sdt>
              <w:sdtPr>
                <w:id w:val="-879168692"/>
                <w:placeholder>
                  <w:docPart w:val="E8915CB0763A4A0888AE51A30EB5F694"/>
                </w:placeholder>
              </w:sdtPr>
              <w:sdtEndPr/>
              <w:sdtContent>
                <w:p w:rsidR="006F2346" w:rsidRPr="001D1B80" w:rsidRDefault="006F2346" w:rsidP="001D1B80">
                  <w:pPr>
                    <w:pStyle w:val="Partie"/>
                    <w:rPr>
                      <w:lang w:val="en-US"/>
                    </w:rPr>
                  </w:pPr>
                  <w:r w:rsidRPr="001D1B80">
                    <w:rPr>
                      <w:lang w:val="en-US"/>
                    </w:rPr>
                    <w:t>Lactate dehydrogenase (LDH), glutathione</w:t>
                  </w:r>
                  <w:r w:rsidRPr="001D1B80">
                    <w:rPr>
                      <w:lang w:val="sl-SI"/>
                    </w:rPr>
                    <w:t>-S</w:t>
                  </w:r>
                  <w:r w:rsidRPr="001D1B80">
                    <w:rPr>
                      <w:lang w:val="en-US"/>
                    </w:rPr>
                    <w:t>-transferase</w:t>
                  </w:r>
                  <w:r w:rsidRPr="001D1B80">
                    <w:rPr>
                      <w:lang w:val="de-DE"/>
                    </w:rPr>
                    <w:t xml:space="preserve"> (GST),</w:t>
                  </w:r>
                  <w:r w:rsidRPr="001D1B80">
                    <w:rPr>
                      <w:lang w:val="da-DK"/>
                    </w:rPr>
                    <w:t xml:space="preserve"> and</w:t>
                  </w:r>
                  <w:r w:rsidRPr="001D1B80">
                    <w:rPr>
                      <w:lang w:val="pt-BR"/>
                    </w:rPr>
                    <w:t xml:space="preserve"> total</w:t>
                  </w:r>
                  <w:r w:rsidRPr="001D1B80">
                    <w:rPr>
                      <w:lang w:val="en-US"/>
                    </w:rPr>
                    <w:t xml:space="preserve"> glutathione peroxidase (GPx) activities were determined</w:t>
                  </w:r>
                  <w:r w:rsidRPr="001D1B80">
                    <w:rPr>
                      <w:lang w:val="sl-SI"/>
                    </w:rPr>
                    <w:t xml:space="preserve"> to</w:t>
                  </w:r>
                  <w:r w:rsidRPr="001D1B80">
                    <w:rPr>
                      <w:lang w:val="en-US"/>
                    </w:rPr>
                    <w:t xml:space="preserve"> inves</w:t>
                  </w:r>
                  <w:r w:rsidRPr="001D1B80">
                    <w:rPr>
                      <w:lang w:val="en-US"/>
                    </w:rPr>
                    <w:softHyphen/>
                    <w:t>tigate the potential adverse effects of allelochemicals</w:t>
                  </w:r>
                  <w:r w:rsidRPr="001D1B80">
                    <w:rPr>
                      <w:lang w:val="sl-SI"/>
                    </w:rPr>
                    <w:t xml:space="preserve"> on</w:t>
                  </w:r>
                  <w:r w:rsidRPr="001D1B80">
                    <w:rPr>
                      <w:lang w:val="en-US"/>
                    </w:rPr>
                    <w:t xml:space="preserve"> the higher aquatic organisms.</w:t>
                  </w:r>
                  <w:r w:rsidRPr="001D1B80">
                    <w:rPr>
                      <w:lang w:val="da-DK"/>
                    </w:rPr>
                    <w:t xml:space="preserve"> All</w:t>
                  </w:r>
                  <w:r w:rsidRPr="001D1B80">
                    <w:rPr>
                      <w:lang w:val="en-US"/>
                    </w:rPr>
                    <w:t xml:space="preserve"> of these enzymes</w:t>
                  </w:r>
                  <w:r w:rsidRPr="001D1B80">
                    <w:rPr>
                      <w:lang w:val="sl-SI"/>
                    </w:rPr>
                    <w:t xml:space="preserve"> are</w:t>
                  </w:r>
                  <w:r w:rsidRPr="001D1B80">
                    <w:rPr>
                      <w:lang w:val="en-US"/>
                    </w:rPr>
                    <w:t xml:space="preserve"> expressed</w:t>
                  </w:r>
                  <w:r w:rsidRPr="001D1B80">
                    <w:rPr>
                      <w:lang w:val="sl-SI"/>
                    </w:rPr>
                    <w:t xml:space="preserve"> in</w:t>
                  </w:r>
                  <w:r w:rsidRPr="001D1B80">
                    <w:rPr>
                      <w:lang w:val="en-US"/>
                    </w:rPr>
                    <w:t xml:space="preserve"> tissues of</w:t>
                  </w:r>
                  <w:r w:rsidRPr="001D1B80">
                    <w:rPr>
                      <w:lang w:val="sl-SI"/>
                    </w:rPr>
                    <w:t xml:space="preserve"> most</w:t>
                  </w:r>
                  <w:r w:rsidRPr="001D1B80">
                    <w:rPr>
                      <w:lang w:val="en-US"/>
                    </w:rPr>
                    <w:t xml:space="preserve"> organisms, being involved</w:t>
                  </w:r>
                  <w:r w:rsidRPr="001D1B80">
                    <w:rPr>
                      <w:lang w:val="sl-SI"/>
                    </w:rPr>
                    <w:t xml:space="preserve"> in</w:t>
                  </w:r>
                  <w:r w:rsidRPr="001D1B80">
                    <w:rPr>
                      <w:lang w:val="en-US"/>
                    </w:rPr>
                    <w:t xml:space="preserve"> energy production, xenobiotic phase</w:t>
                  </w:r>
                  <w:r w:rsidRPr="001D1B80">
                    <w:rPr>
                      <w:lang w:val="sl-SI"/>
                    </w:rPr>
                    <w:t xml:space="preserve"> II</w:t>
                  </w:r>
                  <w:r w:rsidRPr="001D1B80">
                    <w:rPr>
                      <w:lang w:val="da-DK"/>
                    </w:rPr>
                    <w:t xml:space="preserve"> biotransformation, and</w:t>
                  </w:r>
                  <w:r w:rsidRPr="001D1B80">
                    <w:rPr>
                      <w:lang w:val="en-US"/>
                    </w:rPr>
                    <w:t xml:space="preserve"> detoxification, respectively,</w:t>
                  </w:r>
                  <w:r w:rsidRPr="001D1B80">
                    <w:rPr>
                      <w:lang w:val="sl-SI"/>
                    </w:rPr>
                    <w:t xml:space="preserve"> as</w:t>
                  </w:r>
                  <w:r w:rsidRPr="001D1B80">
                    <w:rPr>
                      <w:lang w:val="en-US"/>
                    </w:rPr>
                    <w:t xml:space="preserve"> well</w:t>
                  </w:r>
                  <w:r w:rsidRPr="001D1B80">
                    <w:rPr>
                      <w:lang w:val="sl-SI"/>
                    </w:rPr>
                    <w:t xml:space="preserve"> as in</w:t>
                  </w:r>
                  <w:r w:rsidRPr="001D1B80">
                    <w:rPr>
                      <w:lang w:val="en-US"/>
                    </w:rPr>
                    <w:t xml:space="preserve"> cellular protection against oxidative damage (Coelho</w:t>
                  </w:r>
                  <w:r w:rsidRPr="001D1B80">
                    <w:rPr>
                      <w:lang w:val="pt-BR"/>
                    </w:rPr>
                    <w:t xml:space="preserve"> et</w:t>
                  </w:r>
                  <w:r w:rsidRPr="001D1B80">
                    <w:rPr>
                      <w:lang w:val="da-DK"/>
                    </w:rPr>
                    <w:t xml:space="preserve"> al.,</w:t>
                  </w:r>
                  <w:r w:rsidRPr="001D1B80">
                    <w:rPr>
                      <w:lang w:val="ca-ES"/>
                    </w:rPr>
                    <w:t xml:space="preserve"> </w:t>
                  </w:r>
                  <w:r w:rsidRPr="001D1B80">
                    <w:rPr>
                      <w:lang w:val="ca-ES"/>
                    </w:rPr>
                    <w:lastRenderedPageBreak/>
                    <w:t>2011;</w:t>
                  </w:r>
                  <w:r w:rsidRPr="001D1B80">
                    <w:rPr>
                      <w:lang w:val="pt-BR"/>
                    </w:rPr>
                    <w:t xml:space="preserve"> Diamantino et</w:t>
                  </w:r>
                  <w:r w:rsidRPr="001D1B80">
                    <w:rPr>
                      <w:lang w:val="da-DK"/>
                    </w:rPr>
                    <w:t xml:space="preserve"> al.,</w:t>
                  </w:r>
                  <w:r w:rsidRPr="001D1B80">
                    <w:rPr>
                      <w:lang w:val="ca-ES"/>
                    </w:rPr>
                    <w:t xml:space="preserve"> 2001;</w:t>
                  </w:r>
                  <w:r w:rsidRPr="001D1B80">
                    <w:rPr>
                      <w:lang w:val="sl-SI"/>
                    </w:rPr>
                    <w:t xml:space="preserve"> Hermes-Lima,</w:t>
                  </w:r>
                  <w:r w:rsidRPr="001D1B80">
                    <w:rPr>
                      <w:lang w:val="ca-ES"/>
                    </w:rPr>
                    <w:t xml:space="preserve"> 2004;</w:t>
                  </w:r>
                  <w:r w:rsidRPr="001D1B80">
                    <w:rPr>
                      <w:lang w:val="cs-CZ"/>
                    </w:rPr>
                    <w:t xml:space="preserve"> van</w:t>
                  </w:r>
                  <w:r w:rsidRPr="001D1B80">
                    <w:rPr>
                      <w:lang w:val="pt-BR"/>
                    </w:rPr>
                    <w:t xml:space="preserve"> der</w:t>
                  </w:r>
                  <w:r w:rsidRPr="001D1B80">
                    <w:rPr>
                      <w:lang w:val="nl-NL"/>
                    </w:rPr>
                    <w:t xml:space="preserve"> Oost</w:t>
                  </w:r>
                  <w:r w:rsidRPr="001D1B80">
                    <w:rPr>
                      <w:lang w:val="pt-BR"/>
                    </w:rPr>
                    <w:t xml:space="preserve"> et</w:t>
                  </w:r>
                  <w:r w:rsidRPr="001D1B80">
                    <w:rPr>
                      <w:lang w:val="da-DK"/>
                    </w:rPr>
                    <w:t xml:space="preserve"> al.,</w:t>
                  </w:r>
                  <w:r w:rsidRPr="001D1B80">
                    <w:rPr>
                      <w:lang w:val="ca-ES"/>
                    </w:rPr>
                    <w:t xml:space="preserve"> 2003).</w:t>
                  </w:r>
                  <w:r w:rsidRPr="001D1B80">
                    <w:rPr>
                      <w:lang w:val="en-US"/>
                    </w:rPr>
                    <w:t xml:space="preserve"> LDH,</w:t>
                  </w:r>
                  <w:r w:rsidRPr="001D1B80">
                    <w:rPr>
                      <w:lang w:val="pt-BR"/>
                    </w:rPr>
                    <w:t xml:space="preserve"> total</w:t>
                  </w:r>
                  <w:r w:rsidRPr="001D1B80">
                    <w:rPr>
                      <w:lang w:val="en-US"/>
                    </w:rPr>
                    <w:t xml:space="preserve"> GPx,</w:t>
                  </w:r>
                  <w:r w:rsidRPr="001D1B80">
                    <w:rPr>
                      <w:lang w:val="da-DK"/>
                    </w:rPr>
                    <w:t xml:space="preserve"> and</w:t>
                  </w:r>
                  <w:r w:rsidRPr="001D1B80">
                    <w:rPr>
                      <w:lang w:val="de-DE"/>
                    </w:rPr>
                    <w:t xml:space="preserve"> GST</w:t>
                  </w:r>
                  <w:r w:rsidRPr="001D1B80">
                    <w:rPr>
                      <w:lang w:val="en-US"/>
                    </w:rPr>
                    <w:t xml:space="preserve"> activities were assessed</w:t>
                  </w:r>
                  <w:r w:rsidRPr="001D1B80">
                    <w:rPr>
                      <w:lang w:val="sl-SI"/>
                    </w:rPr>
                    <w:t xml:space="preserve"> as standard</w:t>
                  </w:r>
                  <w:r w:rsidRPr="001D1B80">
                    <w:rPr>
                      <w:lang w:val="en-US"/>
                    </w:rPr>
                    <w:t xml:space="preserve"> exposure</w:t>
                  </w:r>
                  <w:r w:rsidRPr="001D1B80">
                    <w:rPr>
                      <w:lang w:val="da-DK"/>
                    </w:rPr>
                    <w:t xml:space="preserve"> biomarkers</w:t>
                  </w:r>
                  <w:r w:rsidRPr="001D1B80">
                    <w:rPr>
                      <w:lang w:val="sl-SI"/>
                    </w:rPr>
                    <w:t xml:space="preserve"> in</w:t>
                  </w:r>
                  <w:r w:rsidRPr="001D1B80">
                    <w:rPr>
                      <w:lang w:val="pt-BR"/>
                    </w:rPr>
                    <w:t xml:space="preserve"> total</w:t>
                  </w:r>
                  <w:r w:rsidRPr="001D1B80">
                    <w:rPr>
                      <w:lang w:val="en-US"/>
                    </w:rPr>
                    <w:t xml:space="preserve"> per-mesocosm homogenates of Lymnaea</w:t>
                  </w:r>
                  <w:r w:rsidRPr="001D1B80">
                    <w:rPr>
                      <w:lang w:val="da-DK"/>
                    </w:rPr>
                    <w:t xml:space="preserve"> (n</w:t>
                  </w:r>
                  <w:r w:rsidRPr="001D1B80">
                    <w:rPr>
                      <w:lang w:val="en-US"/>
                    </w:rPr>
                    <w:t xml:space="preserve"> =</w:t>
                  </w:r>
                  <w:r w:rsidRPr="001D1B80">
                    <w:rPr>
                      <w:lang w:val="ca-ES"/>
                    </w:rPr>
                    <w:t xml:space="preserve"> 30),</w:t>
                  </w:r>
                  <w:r w:rsidRPr="001D1B80">
                    <w:rPr>
                      <w:lang w:val="en-US"/>
                    </w:rPr>
                    <w:t xml:space="preserve"> Physa</w:t>
                  </w:r>
                  <w:r w:rsidRPr="001D1B80">
                    <w:rPr>
                      <w:lang w:val="da-DK"/>
                    </w:rPr>
                    <w:t xml:space="preserve"> (n</w:t>
                  </w:r>
                  <w:r w:rsidRPr="001D1B80">
                    <w:rPr>
                      <w:lang w:val="en-US"/>
                    </w:rPr>
                    <w:t xml:space="preserve"> =</w:t>
                  </w:r>
                  <w:r w:rsidRPr="001D1B80">
                    <w:rPr>
                      <w:lang w:val="ca-ES"/>
                    </w:rPr>
                    <w:t xml:space="preserve"> 20),</w:t>
                  </w:r>
                  <w:r w:rsidRPr="001D1B80">
                    <w:rPr>
                      <w:lang w:val="da-DK"/>
                    </w:rPr>
                    <w:t xml:space="preserve"> and Gammarus (n</w:t>
                  </w:r>
                  <w:r w:rsidRPr="001D1B80">
                    <w:rPr>
                      <w:lang w:val="en-US"/>
                    </w:rPr>
                    <w:t xml:space="preserve"> =</w:t>
                  </w:r>
                  <w:r w:rsidRPr="001D1B80">
                    <w:rPr>
                      <w:lang w:val="ca-ES"/>
                    </w:rPr>
                    <w:t xml:space="preserve"> 20),</w:t>
                  </w:r>
                  <w:r w:rsidRPr="001D1B80">
                    <w:rPr>
                      <w:lang w:val="sl-SI"/>
                    </w:rPr>
                    <w:t xml:space="preserve"> as</w:t>
                  </w:r>
                  <w:r w:rsidRPr="001D1B80">
                    <w:rPr>
                      <w:lang w:val="en-US"/>
                    </w:rPr>
                    <w:t xml:space="preserve"> well</w:t>
                  </w:r>
                  <w:r w:rsidRPr="001D1B80">
                    <w:rPr>
                      <w:lang w:val="sl-SI"/>
                    </w:rPr>
                    <w:t xml:space="preserve"> as in</w:t>
                  </w:r>
                  <w:r w:rsidRPr="001D1B80">
                    <w:rPr>
                      <w:lang w:val="en-US"/>
                    </w:rPr>
                    <w:t xml:space="preserve"> fish livers</w:t>
                  </w:r>
                  <w:r w:rsidRPr="001D1B80">
                    <w:rPr>
                      <w:lang w:val="da-DK"/>
                    </w:rPr>
                    <w:t xml:space="preserve"> (n</w:t>
                  </w:r>
                  <w:r w:rsidRPr="001D1B80">
                    <w:rPr>
                      <w:lang w:val="en-US"/>
                    </w:rPr>
                    <w:t xml:space="preserve"> =</w:t>
                  </w:r>
                  <w:r w:rsidRPr="001D1B80">
                    <w:rPr>
                      <w:lang w:val="ca-ES"/>
                    </w:rPr>
                    <w:t xml:space="preserve"> 6)</w:t>
                  </w:r>
                  <w:r w:rsidRPr="001D1B80">
                    <w:rPr>
                      <w:lang w:val="da-DK"/>
                    </w:rPr>
                    <w:t xml:space="preserve"> and</w:t>
                  </w:r>
                  <w:r w:rsidRPr="001D1B80">
                    <w:rPr>
                      <w:lang w:val="en-US"/>
                    </w:rPr>
                    <w:t xml:space="preserve"> gills</w:t>
                  </w:r>
                  <w:r w:rsidRPr="001D1B80">
                    <w:rPr>
                      <w:lang w:val="da-DK"/>
                    </w:rPr>
                    <w:t xml:space="preserve"> (n</w:t>
                  </w:r>
                  <w:r w:rsidRPr="001D1B80">
                    <w:rPr>
                      <w:lang w:val="en-US"/>
                    </w:rPr>
                    <w:t xml:space="preserve"> =</w:t>
                  </w:r>
                  <w:r w:rsidRPr="001D1B80">
                    <w:rPr>
                      <w:lang w:val="ca-ES"/>
                    </w:rPr>
                    <w:t xml:space="preserve"> 6).</w:t>
                  </w:r>
                  <w:r w:rsidRPr="001D1B80">
                    <w:rPr>
                      <w:lang w:val="en-US"/>
                    </w:rPr>
                    <w:t xml:space="preserve"> Following anesthesia</w:t>
                  </w:r>
                  <w:r w:rsidRPr="001D1B80">
                    <w:rPr>
                      <w:lang w:val="sl-SI"/>
                    </w:rPr>
                    <w:t xml:space="preserve"> in</w:t>
                  </w:r>
                  <w:r w:rsidRPr="001D1B80">
                    <w:rPr>
                      <w:lang w:val="cs-CZ"/>
                    </w:rPr>
                    <w:t xml:space="preserve"> an</w:t>
                  </w:r>
                  <w:r w:rsidRPr="001D1B80">
                    <w:rPr>
                      <w:lang w:val="en-US"/>
                    </w:rPr>
                    <w:t xml:space="preserve"> ice bath, rudds were killed</w:t>
                  </w:r>
                  <w:r w:rsidRPr="001D1B80">
                    <w:rPr>
                      <w:lang w:val="cs-CZ"/>
                    </w:rPr>
                    <w:t xml:space="preserve"> by</w:t>
                  </w:r>
                  <w:r w:rsidRPr="001D1B80">
                    <w:rPr>
                      <w:lang w:val="sl-SI"/>
                    </w:rPr>
                    <w:t xml:space="preserve"> a</w:t>
                  </w:r>
                  <w:r w:rsidRPr="001D1B80">
                    <w:rPr>
                      <w:lang w:val="da-DK"/>
                    </w:rPr>
                    <w:t xml:space="preserve"> blow</w:t>
                  </w:r>
                  <w:r w:rsidRPr="001D1B80">
                    <w:rPr>
                      <w:lang w:val="sl-SI"/>
                    </w:rPr>
                    <w:t xml:space="preserve"> to</w:t>
                  </w:r>
                  <w:r w:rsidRPr="001D1B80">
                    <w:rPr>
                      <w:lang w:val="en-US"/>
                    </w:rPr>
                    <w:t xml:space="preserve"> the head</w:t>
                  </w:r>
                  <w:r w:rsidRPr="001D1B80">
                    <w:rPr>
                      <w:lang w:val="da-DK"/>
                    </w:rPr>
                    <w:t xml:space="preserve"> and</w:t>
                  </w:r>
                  <w:r w:rsidRPr="001D1B80">
                    <w:rPr>
                      <w:lang w:val="en-US"/>
                    </w:rPr>
                    <w:t xml:space="preserve"> tissue (gills</w:t>
                  </w:r>
                  <w:r w:rsidRPr="001D1B80">
                    <w:rPr>
                      <w:lang w:val="da-DK"/>
                    </w:rPr>
                    <w:t xml:space="preserve"> and</w:t>
                  </w:r>
                  <w:r w:rsidRPr="001D1B80">
                    <w:rPr>
                      <w:lang w:val="en-US"/>
                    </w:rPr>
                    <w:t xml:space="preserve"> liver) were collected, whereas invertebrates were immediately</w:t>
                  </w:r>
                  <w:r w:rsidRPr="001D1B80">
                    <w:rPr>
                      <w:lang w:val="da-DK"/>
                    </w:rPr>
                    <w:t xml:space="preserve"> snap</w:t>
                  </w:r>
                  <w:r w:rsidRPr="001D1B80">
                    <w:rPr>
                      <w:lang w:val="en-US"/>
                    </w:rPr>
                    <w:t>-frozen into liquid nitrogen</w:t>
                  </w:r>
                  <w:r w:rsidRPr="001D1B80">
                    <w:rPr>
                      <w:lang w:val="da-DK"/>
                    </w:rPr>
                    <w:t xml:space="preserve"> and</w:t>
                  </w:r>
                  <w:r w:rsidRPr="001D1B80">
                    <w:rPr>
                      <w:lang w:val="en-US"/>
                    </w:rPr>
                    <w:t xml:space="preserve"> stored</w:t>
                  </w:r>
                  <w:r w:rsidRPr="001D1B80">
                    <w:rPr>
                      <w:lang w:val="da-DK"/>
                    </w:rPr>
                    <w:t xml:space="preserve"> at</w:t>
                  </w:r>
                  <w:r w:rsidRPr="001D1B80">
                    <w:rPr>
                      <w:lang w:val="en-US"/>
                    </w:rPr>
                    <w:t xml:space="preserve"> </w:t>
                  </w:r>
                  <w:r w:rsidRPr="001D1B80">
                    <w:sym w:font="Symbol" w:char="F02D"/>
                  </w:r>
                  <w:r w:rsidRPr="001D1B80">
                    <w:rPr>
                      <w:lang w:val="en-US"/>
                    </w:rPr>
                    <w:t>80</w:t>
                  </w:r>
                  <w:r w:rsidRPr="001D1B80">
                    <w:rPr>
                      <w:lang w:val="sl-SI"/>
                    </w:rPr>
                    <w:t xml:space="preserve"> °C</w:t>
                  </w:r>
                  <w:r w:rsidRPr="001D1B80">
                    <w:rPr>
                      <w:lang w:val="en-US"/>
                    </w:rPr>
                    <w:t xml:space="preserve"> until further laboratory</w:t>
                  </w:r>
                  <w:r w:rsidRPr="001D1B80">
                    <w:rPr>
                      <w:lang w:val="da-DK"/>
                    </w:rPr>
                    <w:t xml:space="preserve"> pro</w:t>
                  </w:r>
                  <w:r w:rsidRPr="001D1B80">
                    <w:rPr>
                      <w:lang w:val="da-DK"/>
                    </w:rPr>
                    <w:softHyphen/>
                    <w:t>cessing.</w:t>
                  </w:r>
                  <w:r w:rsidRPr="001D1B80">
                    <w:rPr>
                      <w:lang w:val="en-US"/>
                    </w:rPr>
                    <w:t xml:space="preserve"> Homogenate preparation was conducted according</w:t>
                  </w:r>
                  <w:r w:rsidRPr="001D1B80">
                    <w:rPr>
                      <w:lang w:val="sl-SI"/>
                    </w:rPr>
                    <w:t xml:space="preserve"> to</w:t>
                  </w:r>
                  <w:r w:rsidRPr="001D1B80">
                    <w:rPr>
                      <w:lang w:val="en-US"/>
                    </w:rPr>
                    <w:t xml:space="preserve"> the</w:t>
                  </w:r>
                  <w:r w:rsidRPr="001D1B80">
                    <w:rPr>
                      <w:lang w:val="sl-SI"/>
                    </w:rPr>
                    <w:t xml:space="preserve"> pro</w:t>
                  </w:r>
                  <w:r w:rsidRPr="001D1B80">
                    <w:rPr>
                      <w:lang w:val="sl-SI"/>
                    </w:rPr>
                    <w:softHyphen/>
                    <w:t>cedure</w:t>
                  </w:r>
                  <w:r w:rsidRPr="001D1B80">
                    <w:rPr>
                      <w:lang w:val="en-US"/>
                    </w:rPr>
                    <w:t xml:space="preserve"> described</w:t>
                  </w:r>
                  <w:r w:rsidRPr="001D1B80">
                    <w:rPr>
                      <w:lang w:val="sl-SI"/>
                    </w:rPr>
                    <w:t xml:space="preserve"> in</w:t>
                  </w:r>
                  <w:r w:rsidRPr="001D1B80">
                    <w:rPr>
                      <w:lang w:val="en-US"/>
                    </w:rPr>
                    <w:t xml:space="preserve"> (Techer</w:t>
                  </w:r>
                  <w:r w:rsidRPr="001D1B80">
                    <w:rPr>
                      <w:lang w:val="pt-BR"/>
                    </w:rPr>
                    <w:t xml:space="preserve"> et</w:t>
                  </w:r>
                  <w:r w:rsidRPr="001D1B80">
                    <w:rPr>
                      <w:lang w:val="da-DK"/>
                    </w:rPr>
                    <w:t xml:space="preserve"> al.,</w:t>
                  </w:r>
                  <w:r w:rsidRPr="001D1B80">
                    <w:rPr>
                      <w:lang w:val="ca-ES"/>
                    </w:rPr>
                    <w:t xml:space="preserve"> 2015a).</w:t>
                  </w:r>
                  <w:r w:rsidRPr="001D1B80">
                    <w:rPr>
                      <w:lang w:val="sl-SI"/>
                    </w:rPr>
                    <w:t xml:space="preserve"> Protein</w:t>
                  </w:r>
                  <w:r w:rsidRPr="001D1B80">
                    <w:rPr>
                      <w:lang w:val="en-US"/>
                    </w:rPr>
                    <w:t xml:space="preserve"> content, LDH activity (EC</w:t>
                  </w:r>
                  <w:r w:rsidRPr="001D1B80">
                    <w:rPr>
                      <w:lang w:val="ca-ES"/>
                    </w:rPr>
                    <w:t xml:space="preserve"> 1.1.1.27),</w:t>
                  </w:r>
                  <w:r w:rsidRPr="001D1B80">
                    <w:rPr>
                      <w:lang w:val="pt-BR"/>
                    </w:rPr>
                    <w:t xml:space="preserve"> total</w:t>
                  </w:r>
                  <w:r w:rsidRPr="001D1B80">
                    <w:rPr>
                      <w:lang w:val="en-US"/>
                    </w:rPr>
                    <w:t xml:space="preserve"> GPx activity (EC</w:t>
                  </w:r>
                  <w:r w:rsidRPr="001D1B80">
                    <w:rPr>
                      <w:lang w:val="ca-ES"/>
                    </w:rPr>
                    <w:t xml:space="preserve"> 1.11.1.9),</w:t>
                  </w:r>
                  <w:r w:rsidRPr="001D1B80">
                    <w:rPr>
                      <w:lang w:val="da-DK"/>
                    </w:rPr>
                    <w:t xml:space="preserve"> and</w:t>
                  </w:r>
                  <w:r w:rsidRPr="001D1B80">
                    <w:rPr>
                      <w:lang w:val="de-DE"/>
                    </w:rPr>
                    <w:t xml:space="preserve"> GST</w:t>
                  </w:r>
                  <w:r w:rsidRPr="001D1B80">
                    <w:rPr>
                      <w:lang w:val="en-US"/>
                    </w:rPr>
                    <w:t xml:space="preserve"> activity (EC</w:t>
                  </w:r>
                  <w:r w:rsidRPr="001D1B80">
                    <w:rPr>
                      <w:lang w:val="ca-ES"/>
                    </w:rPr>
                    <w:t xml:space="preserve"> 2.5.1.18)</w:t>
                  </w:r>
                  <w:r w:rsidRPr="001D1B80">
                    <w:rPr>
                      <w:lang w:val="en-US"/>
                    </w:rPr>
                    <w:t xml:space="preserve"> were respectively determined</w:t>
                  </w:r>
                  <w:r w:rsidRPr="001D1B80">
                    <w:rPr>
                      <w:lang w:val="sl-SI"/>
                    </w:rPr>
                    <w:t xml:space="preserve"> on</w:t>
                  </w:r>
                  <w:r w:rsidRPr="001D1B80">
                    <w:rPr>
                      <w:lang w:val="en-US"/>
                    </w:rPr>
                    <w:t xml:space="preserve"> appropriate</w:t>
                  </w:r>
                  <w:r w:rsidRPr="001D1B80">
                    <w:rPr>
                      <w:lang w:val="ca-ES"/>
                    </w:rPr>
                    <w:t xml:space="preserve"> S9</w:t>
                  </w:r>
                  <w:r w:rsidRPr="001D1B80">
                    <w:rPr>
                      <w:lang w:val="en-US"/>
                    </w:rPr>
                    <w:t xml:space="preserve"> fraction dilutions according</w:t>
                  </w:r>
                  <w:r w:rsidRPr="001D1B80">
                    <w:rPr>
                      <w:lang w:val="sl-SI"/>
                    </w:rPr>
                    <w:t xml:space="preserve"> to</w:t>
                  </w:r>
                  <w:r w:rsidRPr="001D1B80">
                    <w:rPr>
                      <w:lang w:val="en-US"/>
                    </w:rPr>
                    <w:t xml:space="preserve"> the methods of (Bradford,</w:t>
                  </w:r>
                  <w:r w:rsidRPr="001D1B80">
                    <w:rPr>
                      <w:lang w:val="ca-ES"/>
                    </w:rPr>
                    <w:t xml:space="preserve"> 1976;</w:t>
                  </w:r>
                  <w:r w:rsidRPr="001D1B80">
                    <w:rPr>
                      <w:lang w:val="en-US"/>
                    </w:rPr>
                    <w:t xml:space="preserve"> Drotar</w:t>
                  </w:r>
                  <w:r w:rsidRPr="001D1B80">
                    <w:rPr>
                      <w:lang w:val="pt-BR"/>
                    </w:rPr>
                    <w:t xml:space="preserve"> et</w:t>
                  </w:r>
                  <w:r w:rsidRPr="001D1B80">
                    <w:rPr>
                      <w:lang w:val="da-DK"/>
                    </w:rPr>
                    <w:t xml:space="preserve"> al.,</w:t>
                  </w:r>
                  <w:r w:rsidRPr="001D1B80">
                    <w:rPr>
                      <w:lang w:val="ca-ES"/>
                    </w:rPr>
                    <w:t xml:space="preserve"> 1985;</w:t>
                  </w:r>
                  <w:r w:rsidRPr="001D1B80">
                    <w:rPr>
                      <w:lang w:val="en-US"/>
                    </w:rPr>
                    <w:t xml:space="preserve"> Habig</w:t>
                  </w:r>
                  <w:r w:rsidRPr="001D1B80">
                    <w:rPr>
                      <w:lang w:val="da-DK"/>
                    </w:rPr>
                    <w:t xml:space="preserve"> and</w:t>
                  </w:r>
                  <w:r w:rsidRPr="001D1B80">
                    <w:rPr>
                      <w:lang w:val="cs-CZ"/>
                    </w:rPr>
                    <w:t xml:space="preserve"> Jakoby,</w:t>
                  </w:r>
                  <w:r w:rsidRPr="001D1B80">
                    <w:rPr>
                      <w:lang w:val="ca-ES"/>
                    </w:rPr>
                    <w:t xml:space="preserve"> 1981;</w:t>
                  </w:r>
                  <w:r w:rsidRPr="001D1B80">
                    <w:rPr>
                      <w:lang w:val="pt-BR"/>
                    </w:rPr>
                    <w:t xml:space="preserve"> Jesus et</w:t>
                  </w:r>
                  <w:r w:rsidRPr="001D1B80">
                    <w:rPr>
                      <w:lang w:val="da-DK"/>
                    </w:rPr>
                    <w:t xml:space="preserve"> al.,</w:t>
                  </w:r>
                  <w:r w:rsidRPr="001D1B80">
                    <w:rPr>
                      <w:lang w:val="ca-ES"/>
                    </w:rPr>
                    <w:t xml:space="preserve"> 2013)</w:t>
                  </w:r>
                  <w:r w:rsidRPr="001D1B80">
                    <w:rPr>
                      <w:lang w:val="en-US"/>
                    </w:rPr>
                    <w:t xml:space="preserve"> </w:t>
                  </w:r>
                  <w:r w:rsidRPr="001D1B80">
                    <w:rPr>
                      <w:lang w:val="en-US"/>
                    </w:rPr>
                    <w:t>adapted</w:t>
                  </w:r>
                  <w:r w:rsidRPr="001D1B80">
                    <w:rPr>
                      <w:lang w:val="sl-SI"/>
                    </w:rPr>
                    <w:t xml:space="preserve"> to</w:t>
                  </w:r>
                  <w:r w:rsidRPr="001D1B80">
                    <w:rPr>
                      <w:lang w:val="nl-NL"/>
                    </w:rPr>
                    <w:t xml:space="preserve"> microtiter</w:t>
                  </w:r>
                  <w:r w:rsidRPr="001D1B80">
                    <w:rPr>
                      <w:lang w:val="en-US"/>
                    </w:rPr>
                    <w:t xml:space="preserve"> plates</w:t>
                  </w:r>
                  <w:r w:rsidRPr="001D1B80">
                    <w:rPr>
                      <w:lang w:val="sl-SI"/>
                    </w:rPr>
                    <w:t xml:space="preserve"> (as</w:t>
                  </w:r>
                  <w:r w:rsidRPr="001D1B80">
                    <w:rPr>
                      <w:lang w:val="en-US"/>
                    </w:rPr>
                    <w:t xml:space="preserve"> reported</w:t>
                  </w:r>
                  <w:r w:rsidRPr="001D1B80">
                    <w:rPr>
                      <w:lang w:val="sl-SI"/>
                    </w:rPr>
                    <w:t xml:space="preserve"> in</w:t>
                  </w:r>
                  <w:r w:rsidRPr="001D1B80">
                    <w:rPr>
                      <w:lang w:val="en-US"/>
                    </w:rPr>
                    <w:t xml:space="preserve"> Techer</w:t>
                  </w:r>
                  <w:r w:rsidRPr="001D1B80">
                    <w:rPr>
                      <w:lang w:val="pt-BR"/>
                    </w:rPr>
                    <w:t xml:space="preserve"> et</w:t>
                  </w:r>
                  <w:r w:rsidRPr="001D1B80">
                    <w:rPr>
                      <w:lang w:val="da-DK"/>
                    </w:rPr>
                    <w:t xml:space="preserve"> al.,</w:t>
                  </w:r>
                  <w:r w:rsidRPr="001D1B80">
                    <w:rPr>
                      <w:lang w:val="ca-ES"/>
                    </w:rPr>
                    <w:t xml:space="preserve"> 2015a).</w:t>
                  </w:r>
                </w:p>
              </w:sdtContent>
            </w:sdt>
          </w:sdtContent>
        </w:sdt>
        <w:sdt>
          <w:sdtPr>
            <w:rPr>
              <w:b w:val="0"/>
              <w:bCs w:val="0"/>
              <w:sz w:val="20"/>
              <w:szCs w:val="20"/>
            </w:rPr>
            <w:id w:val="-1517845801"/>
            <w:placeholder>
              <w:docPart w:val="A2569388CB9D4F53BBD4875BD2A07101"/>
            </w:placeholder>
            <w15:repeatingSectionItem/>
          </w:sdtPr>
          <w:sdtEndPr/>
          <w:sdtContent>
            <w:p w:rsidR="006F2346" w:rsidRPr="001D1B80" w:rsidRDefault="00D27E5B" w:rsidP="001D1B80">
              <w:pPr>
                <w:pStyle w:val="SousTitrePartieArticle"/>
                <w:rPr>
                  <w:lang w:val="en-US"/>
                </w:rPr>
              </w:pPr>
              <w:sdt>
                <w:sdtPr>
                  <w:rPr>
                    <w:lang w:val="en-US"/>
                  </w:rPr>
                  <w:id w:val="-614218506"/>
                  <w:placeholder>
                    <w:docPart w:val="D2AB7C5EA2604EEDB8A1A8854AAA4DF3"/>
                  </w:placeholder>
                  <w:text/>
                </w:sdtPr>
                <w:sdtEndPr/>
                <w:sdtContent>
                  <w:r w:rsidR="006F2346" w:rsidRPr="001D1B80">
                    <w:rPr>
                      <w:lang w:val="en-US"/>
                    </w:rPr>
                    <w:t>Statistical analysis</w:t>
                  </w:r>
                </w:sdtContent>
              </w:sdt>
              <w:r w:rsidR="006F2346" w:rsidRPr="001D1B80">
                <w:rPr>
                  <w:lang w:val="en-US"/>
                </w:rPr>
                <w:tab/>
              </w:r>
            </w:p>
            <w:sdt>
              <w:sdtPr>
                <w:id w:val="2067982737"/>
                <w:placeholder>
                  <w:docPart w:val="C7323776288C4512BE4A205BE2828F65"/>
                </w:placeholder>
              </w:sdtPr>
              <w:sdtEndPr/>
              <w:sdtContent>
                <w:p w:rsidR="006F2346" w:rsidRPr="001D1B80" w:rsidRDefault="006F2346" w:rsidP="001D1B80">
                  <w:pPr>
                    <w:pStyle w:val="Partie"/>
                  </w:pPr>
                  <w:r w:rsidRPr="001D1B80">
                    <w:rPr>
                      <w:lang w:val="da-DK"/>
                    </w:rPr>
                    <w:t>All</w:t>
                  </w:r>
                  <w:r w:rsidRPr="001D1B80">
                    <w:rPr>
                      <w:lang w:val="pt-BR"/>
                    </w:rPr>
                    <w:t xml:space="preserve"> data</w:t>
                  </w:r>
                  <w:r w:rsidRPr="001D1B80">
                    <w:rPr>
                      <w:lang w:val="en-US"/>
                    </w:rPr>
                    <w:t xml:space="preserve"> were expressed</w:t>
                  </w:r>
                  <w:r w:rsidRPr="001D1B80">
                    <w:rPr>
                      <w:lang w:val="sl-SI"/>
                    </w:rPr>
                    <w:t xml:space="preserve"> as</w:t>
                  </w:r>
                  <w:r w:rsidRPr="001D1B80">
                    <w:rPr>
                      <w:lang w:val="en-US"/>
                    </w:rPr>
                    <w:t xml:space="preserve"> mean ±</w:t>
                  </w:r>
                  <w:r w:rsidRPr="001D1B80">
                    <w:rPr>
                      <w:lang w:val="sl-SI"/>
                    </w:rPr>
                    <w:t xml:space="preserve"> SE.</w:t>
                  </w:r>
                  <w:r w:rsidRPr="001D1B80">
                    <w:rPr>
                      <w:lang w:val="en-US"/>
                    </w:rPr>
                    <w:t xml:space="preserve"> Normality</w:t>
                  </w:r>
                  <w:r w:rsidRPr="001D1B80">
                    <w:rPr>
                      <w:lang w:val="da-DK"/>
                    </w:rPr>
                    <w:t xml:space="preserve"> and</w:t>
                  </w:r>
                  <w:r w:rsidRPr="001D1B80">
                    <w:rPr>
                      <w:lang w:val="en-US"/>
                    </w:rPr>
                    <w:t xml:space="preserve"> homogeneity of variance were tested with the Kolmogorov–Smirnov</w:t>
                  </w:r>
                  <w:r w:rsidRPr="001D1B80">
                    <w:rPr>
                      <w:lang w:val="sl-SI"/>
                    </w:rPr>
                    <w:t xml:space="preserve"> test</w:t>
                  </w:r>
                  <w:r w:rsidRPr="001D1B80">
                    <w:rPr>
                      <w:lang w:val="da-DK"/>
                    </w:rPr>
                    <w:t xml:space="preserve"> and</w:t>
                  </w:r>
                  <w:r w:rsidRPr="001D1B80">
                    <w:rPr>
                      <w:lang w:val="en-US"/>
                    </w:rPr>
                    <w:t xml:space="preserve"> Levene's</w:t>
                  </w:r>
                  <w:r w:rsidRPr="001D1B80">
                    <w:rPr>
                      <w:lang w:val="sl-SI"/>
                    </w:rPr>
                    <w:t xml:space="preserve"> test,</w:t>
                  </w:r>
                  <w:r w:rsidRPr="001D1B80">
                    <w:rPr>
                      <w:lang w:val="en-US"/>
                    </w:rPr>
                    <w:t xml:space="preserve"> respectively. The significance of the differences observed between treatments</w:t>
                  </w:r>
                  <w:r w:rsidRPr="001D1B80">
                    <w:rPr>
                      <w:lang w:val="da-DK"/>
                    </w:rPr>
                    <w:t xml:space="preserve"> (at</w:t>
                  </w:r>
                  <w:r w:rsidRPr="001D1B80">
                    <w:rPr>
                      <w:lang w:val="sl-SI"/>
                    </w:rPr>
                    <w:t xml:space="preserve"> a</w:t>
                  </w:r>
                  <w:r w:rsidRPr="001D1B80">
                    <w:rPr>
                      <w:lang w:val="da-DK"/>
                    </w:rPr>
                    <w:t xml:space="preserve"> level</w:t>
                  </w:r>
                  <w:r w:rsidRPr="001D1B80">
                    <w:rPr>
                      <w:lang w:val="en-US"/>
                    </w:rPr>
                    <w:t xml:space="preserve"> of</w:t>
                  </w:r>
                  <w:r w:rsidRPr="001D1B80">
                    <w:rPr>
                      <w:lang w:val="da-DK"/>
                    </w:rPr>
                    <w:t xml:space="preserve"> p</w:t>
                  </w:r>
                  <w:r w:rsidRPr="001D1B80">
                    <w:rPr>
                      <w:lang w:val="en-US"/>
                    </w:rPr>
                    <w:t xml:space="preserve"> &lt;</w:t>
                  </w:r>
                  <w:r w:rsidRPr="001D1B80">
                    <w:rPr>
                      <w:lang w:val="ca-ES"/>
                    </w:rPr>
                    <w:t xml:space="preserve"> 0.05)</w:t>
                  </w:r>
                  <w:r w:rsidRPr="001D1B80">
                    <w:rPr>
                      <w:lang w:val="en-US"/>
                    </w:rPr>
                    <w:t xml:space="preserve"> was determined</w:t>
                  </w:r>
                  <w:r w:rsidRPr="001D1B80">
                    <w:rPr>
                      <w:lang w:val="cs-CZ"/>
                    </w:rPr>
                    <w:t xml:space="preserve"> by</w:t>
                  </w:r>
                  <w:r w:rsidRPr="001D1B80">
                    <w:rPr>
                      <w:lang w:val="en-US"/>
                    </w:rPr>
                    <w:t xml:space="preserve"> ANOVA</w:t>
                  </w:r>
                  <w:r w:rsidRPr="001D1B80">
                    <w:rPr>
                      <w:lang w:val="pt-BR"/>
                    </w:rPr>
                    <w:t xml:space="preserve"> for</w:t>
                  </w:r>
                  <w:r w:rsidRPr="001D1B80">
                    <w:rPr>
                      <w:lang w:val="en-US"/>
                    </w:rPr>
                    <w:t xml:space="preserve"> parametric distributions</w:t>
                  </w:r>
                  <w:r w:rsidRPr="001D1B80">
                    <w:rPr>
                      <w:lang w:val="sl-SI"/>
                    </w:rPr>
                    <w:t xml:space="preserve"> or</w:t>
                  </w:r>
                  <w:r w:rsidRPr="001D1B80">
                    <w:rPr>
                      <w:lang w:val="cs-CZ"/>
                    </w:rPr>
                    <w:t xml:space="preserve"> by</w:t>
                  </w:r>
                  <w:r w:rsidRPr="001D1B80">
                    <w:rPr>
                      <w:lang w:val="en-US"/>
                    </w:rPr>
                    <w:t xml:space="preserve"> Kruskal–Wallis</w:t>
                  </w:r>
                  <w:r w:rsidRPr="001D1B80">
                    <w:rPr>
                      <w:lang w:val="pt-BR"/>
                    </w:rPr>
                    <w:t xml:space="preserve"> for</w:t>
                  </w:r>
                  <w:r w:rsidRPr="001D1B80">
                    <w:rPr>
                      <w:lang w:val="en-US"/>
                    </w:rPr>
                    <w:t xml:space="preserve"> non</w:t>
                  </w:r>
                  <w:r w:rsidRPr="001D1B80">
                    <w:rPr>
                      <w:lang w:val="en-US"/>
                    </w:rPr>
                    <w:softHyphen/>
                    <w:t>parametric distributions followed</w:t>
                  </w:r>
                  <w:r w:rsidRPr="001D1B80">
                    <w:rPr>
                      <w:lang w:val="cs-CZ"/>
                    </w:rPr>
                    <w:t xml:space="preserve"> by</w:t>
                  </w:r>
                  <w:r w:rsidRPr="001D1B80">
                    <w:rPr>
                      <w:lang w:val="en-US"/>
                    </w:rPr>
                    <w:t xml:space="preserve"> Holm–Sidak</w:t>
                  </w:r>
                  <w:r w:rsidRPr="001D1B80">
                    <w:rPr>
                      <w:lang w:val="da-DK"/>
                    </w:rPr>
                    <w:t xml:space="preserve"> multiple</w:t>
                  </w:r>
                  <w:r w:rsidRPr="001D1B80">
                    <w:rPr>
                      <w:lang w:val="en-US"/>
                    </w:rPr>
                    <w:t xml:space="preserve"> pairwise comparison method (with</w:t>
                  </w:r>
                  <w:r w:rsidRPr="001D1B80">
                    <w:rPr>
                      <w:lang w:val="cs-CZ"/>
                    </w:rPr>
                    <w:t xml:space="preserve"> an</w:t>
                  </w:r>
                  <w:r w:rsidRPr="001D1B80">
                    <w:rPr>
                      <w:lang w:val="da-DK"/>
                    </w:rPr>
                    <w:t xml:space="preserve"> overall</w:t>
                  </w:r>
                  <w:r w:rsidRPr="001D1B80">
                    <w:rPr>
                      <w:lang w:val="en-US"/>
                    </w:rPr>
                    <w:t xml:space="preserve"> significance</w:t>
                  </w:r>
                  <w:r w:rsidRPr="001D1B80">
                    <w:rPr>
                      <w:lang w:val="da-DK"/>
                    </w:rPr>
                    <w:t xml:space="preserve"> level</w:t>
                  </w:r>
                  <w:r w:rsidRPr="001D1B80">
                    <w:rPr>
                      <w:lang w:val="en-US"/>
                    </w:rPr>
                    <w:t xml:space="preserve"> of</w:t>
                  </w:r>
                  <w:r w:rsidRPr="001D1B80">
                    <w:rPr>
                      <w:lang w:val="ca-ES"/>
                    </w:rPr>
                    <w:t xml:space="preserve"> 0.05).</w:t>
                  </w:r>
                  <w:r w:rsidRPr="001D1B80">
                    <w:rPr>
                      <w:lang w:val="pt-BR"/>
                    </w:rPr>
                    <w:t xml:space="preserve"> For</w:t>
                  </w:r>
                  <w:r w:rsidRPr="001D1B80">
                    <w:rPr>
                      <w:lang w:val="en-US"/>
                    </w:rPr>
                    <w:t xml:space="preserve"> un</w:t>
                  </w:r>
                  <w:r w:rsidRPr="001D1B80">
                    <w:rPr>
                      <w:lang w:val="en-US"/>
                    </w:rPr>
                    <w:softHyphen/>
                    <w:t>equal treatment group sizes the</w:t>
                  </w:r>
                  <w:r w:rsidRPr="001D1B80">
                    <w:rPr>
                      <w:lang w:val="da-DK"/>
                    </w:rPr>
                    <w:t xml:space="preserve"> Dunn's</w:t>
                  </w:r>
                  <w:r w:rsidRPr="001D1B80">
                    <w:rPr>
                      <w:lang w:val="sl-SI"/>
                    </w:rPr>
                    <w:t xml:space="preserve"> test</w:t>
                  </w:r>
                  <w:r w:rsidRPr="001D1B80">
                    <w:rPr>
                      <w:lang w:val="en-US"/>
                    </w:rPr>
                    <w:t xml:space="preserve"> was used (also with</w:t>
                  </w:r>
                  <w:r w:rsidRPr="001D1B80">
                    <w:rPr>
                      <w:lang w:val="cs-CZ"/>
                    </w:rPr>
                    <w:t xml:space="preserve"> an</w:t>
                  </w:r>
                  <w:r w:rsidRPr="001D1B80">
                    <w:rPr>
                      <w:lang w:val="da-DK"/>
                    </w:rPr>
                    <w:t xml:space="preserve"> overall</w:t>
                  </w:r>
                  <w:r w:rsidRPr="001D1B80">
                    <w:rPr>
                      <w:lang w:val="en-US"/>
                    </w:rPr>
                    <w:t xml:space="preserve"> significance</w:t>
                  </w:r>
                  <w:r w:rsidRPr="001D1B80">
                    <w:rPr>
                      <w:lang w:val="da-DK"/>
                    </w:rPr>
                    <w:t xml:space="preserve"> level</w:t>
                  </w:r>
                  <w:r w:rsidRPr="001D1B80">
                    <w:rPr>
                      <w:lang w:val="en-US"/>
                    </w:rPr>
                    <w:t xml:space="preserve"> of</w:t>
                  </w:r>
                  <w:r w:rsidRPr="001D1B80">
                    <w:rPr>
                      <w:lang w:val="ca-ES"/>
                    </w:rPr>
                    <w:t xml:space="preserve"> 0.05).</w:t>
                  </w:r>
                  <w:r w:rsidRPr="001D1B80">
                    <w:rPr>
                      <w:lang w:val="da-DK"/>
                    </w:rPr>
                    <w:t xml:space="preserve"> All</w:t>
                  </w:r>
                  <w:r w:rsidRPr="001D1B80">
                    <w:rPr>
                      <w:lang w:val="en-US"/>
                    </w:rPr>
                    <w:t xml:space="preserve"> statistical</w:t>
                  </w:r>
                  <w:r w:rsidRPr="001D1B80">
                    <w:rPr>
                      <w:lang w:val="da-DK"/>
                    </w:rPr>
                    <w:t xml:space="preserve"> analyses</w:t>
                  </w:r>
                  <w:r w:rsidRPr="001D1B80">
                    <w:rPr>
                      <w:lang w:val="en-US"/>
                    </w:rPr>
                    <w:t xml:space="preserve"> were carried</w:t>
                  </w:r>
                  <w:r w:rsidRPr="001D1B80">
                    <w:rPr>
                      <w:lang w:val="cs-CZ"/>
                    </w:rPr>
                    <w:t xml:space="preserve"> out</w:t>
                  </w:r>
                  <w:r w:rsidRPr="001D1B80">
                    <w:rPr>
                      <w:lang w:val="en-US"/>
                    </w:rPr>
                    <w:t xml:space="preserve"> using</w:t>
                  </w:r>
                  <w:r w:rsidRPr="001D1B80">
                    <w:rPr>
                      <w:lang w:val="nl-NL"/>
                    </w:rPr>
                    <w:t xml:space="preserve"> Statistica</w:t>
                  </w:r>
                  <w:r w:rsidRPr="001D1B80">
                    <w:rPr>
                      <w:lang w:val="ca-ES"/>
                    </w:rPr>
                    <w:t xml:space="preserve"> v.10.</w:t>
                  </w:r>
                </w:p>
              </w:sdtContent>
            </w:sdt>
          </w:sdtContent>
        </w:sdt>
      </w:sdtContent>
    </w:sdt>
    <w:p w:rsidR="009C5A40" w:rsidRPr="001D1B80" w:rsidRDefault="009C5A40" w:rsidP="001D1B80">
      <w:pPr>
        <w:pStyle w:val="Invisible"/>
        <w:rPr>
          <w:lang w:val="fr-FR"/>
        </w:rPr>
        <w:sectPr w:rsidR="009C5A40" w:rsidRPr="001D1B80" w:rsidSect="00575F2F">
          <w:type w:val="continuous"/>
          <w:pgSz w:w="11906" w:h="16838"/>
          <w:pgMar w:top="851" w:right="424" w:bottom="567" w:left="426" w:header="426" w:footer="397" w:gutter="0"/>
          <w:cols w:num="2" w:space="141"/>
          <w:formProt w:val="0"/>
          <w:docGrid w:linePitch="360"/>
        </w:sectPr>
      </w:pPr>
    </w:p>
    <w:p w:rsidR="009C5A40" w:rsidRPr="001D1B80" w:rsidRDefault="009C5A40" w:rsidP="001D1B80">
      <w:pPr>
        <w:pStyle w:val="Invisible"/>
        <w:rPr>
          <w:lang w:val="fr-FR"/>
        </w:rPr>
      </w:pPr>
    </w:p>
    <w:p w:rsidR="009C5A40" w:rsidRPr="001D1B80" w:rsidRDefault="009C5A40" w:rsidP="001D1B80">
      <w:pPr>
        <w:pStyle w:val="TitrePartieArticle"/>
        <w:sectPr w:rsidR="009C5A40" w:rsidRPr="001D1B80" w:rsidSect="00575F2F">
          <w:type w:val="continuous"/>
          <w:pgSz w:w="11906" w:h="16838"/>
          <w:pgMar w:top="851" w:right="424" w:bottom="567" w:left="426" w:header="426" w:footer="397" w:gutter="0"/>
          <w:cols w:num="2" w:space="141"/>
          <w:formProt w:val="0"/>
          <w:docGrid w:linePitch="360"/>
        </w:sectPr>
      </w:pPr>
    </w:p>
    <w:p w:rsidR="009C5A40" w:rsidRPr="001D1B80" w:rsidRDefault="00D27E5B" w:rsidP="001D1B80">
      <w:pPr>
        <w:pStyle w:val="TitrePartieArticle"/>
        <w:sectPr w:rsidR="009C5A40" w:rsidRPr="001D1B80" w:rsidSect="009C5A40">
          <w:type w:val="continuous"/>
          <w:pgSz w:w="11906" w:h="16838"/>
          <w:pgMar w:top="851" w:right="424" w:bottom="567" w:left="426" w:header="426" w:footer="397" w:gutter="0"/>
          <w:cols w:space="141"/>
          <w:formProt w:val="0"/>
          <w:docGrid w:linePitch="360"/>
        </w:sectPr>
      </w:pPr>
      <w:sdt>
        <w:sdtPr>
          <w:id w:val="1952665745"/>
          <w:placeholder>
            <w:docPart w:val="869D49E5E87846C59CF37CD57F67B5C2"/>
          </w:placeholder>
          <w:comboBox>
            <w:listItem w:displayText="Results" w:value="Results"/>
            <w:listItem w:displayText="Results and Discussion" w:value="Results and Discussion"/>
          </w:comboBox>
        </w:sdtPr>
        <w:sdtEndPr/>
        <w:sdtContent>
          <w:r w:rsidR="00951155" w:rsidRPr="001D1B80">
            <w:t>Results</w:t>
          </w:r>
        </w:sdtContent>
      </w:sdt>
      <w:r w:rsidR="009C5A40" w:rsidRPr="001D1B80">
        <w:t xml:space="preserve"> </w:t>
      </w:r>
      <w:r w:rsidR="009C5A40" w:rsidRPr="001D1B80">
        <w:tab/>
      </w:r>
    </w:p>
    <w:sdt>
      <w:sdtPr>
        <w:rPr>
          <w:b w:val="0"/>
          <w:bCs w:val="0"/>
          <w:sz w:val="20"/>
          <w:szCs w:val="20"/>
        </w:rPr>
        <w:id w:val="-1191296903"/>
        <w15:repeatingSection/>
      </w:sdtPr>
      <w:sdtEndPr/>
      <w:sdtContent>
        <w:sdt>
          <w:sdtPr>
            <w:rPr>
              <w:b w:val="0"/>
              <w:bCs w:val="0"/>
              <w:sz w:val="20"/>
              <w:szCs w:val="20"/>
            </w:rPr>
            <w:id w:val="-974370498"/>
            <w:placeholder>
              <w:docPart w:val="89449E1EBC814866BE07292CE45B55BB"/>
            </w:placeholder>
            <w15:repeatingSectionItem/>
          </w:sdtPr>
          <w:sdtEndPr/>
          <w:sdtContent>
            <w:p w:rsidR="00951155" w:rsidRPr="001D1B80" w:rsidRDefault="00D27E5B" w:rsidP="001D1B80">
              <w:pPr>
                <w:pStyle w:val="SousTitrePartieArticle"/>
              </w:pPr>
              <w:sdt>
                <w:sdtPr>
                  <w:id w:val="690803633"/>
                  <w:placeholder>
                    <w:docPart w:val="A6D855239F444004BC9981C281768E8A"/>
                  </w:placeholder>
                  <w:text/>
                </w:sdtPr>
                <w:sdtEndPr/>
                <w:sdtContent>
                  <w:r w:rsidR="006F2346" w:rsidRPr="001D1B80">
                    <w:t>Water quality</w:t>
                  </w:r>
                </w:sdtContent>
              </w:sdt>
              <w:r w:rsidR="00951155" w:rsidRPr="001D1B80">
                <w:tab/>
              </w:r>
            </w:p>
            <w:sdt>
              <w:sdtPr>
                <w:id w:val="-2014991058"/>
                <w:placeholder>
                  <w:docPart w:val="66B5ED90C2BB43E085024AD0FF6E6095"/>
                </w:placeholder>
              </w:sdtPr>
              <w:sdtEndPr/>
              <w:sdtContent>
                <w:p w:rsidR="00951155" w:rsidRPr="001D1B80" w:rsidRDefault="006F2346" w:rsidP="001D1B80">
                  <w:pPr>
                    <w:pStyle w:val="Partie"/>
                    <w:rPr>
                      <w:lang w:val="ca-ES"/>
                    </w:rPr>
                  </w:pPr>
                  <w:r w:rsidRPr="001D1B80">
                    <w:rPr>
                      <w:lang w:val="da-DK"/>
                    </w:rPr>
                    <w:t>Overall,</w:t>
                  </w:r>
                  <w:r w:rsidRPr="001D1B80">
                    <w:rPr>
                      <w:lang w:val="sl-SI"/>
                    </w:rPr>
                    <w:t xml:space="preserve"> no</w:t>
                  </w:r>
                  <w:r w:rsidRPr="001D1B80">
                    <w:rPr>
                      <w:lang w:val="en-US"/>
                    </w:rPr>
                    <w:t xml:space="preserve"> significant differences were reported</w:t>
                  </w:r>
                  <w:r w:rsidRPr="001D1B80">
                    <w:rPr>
                      <w:lang w:val="sl-SI"/>
                    </w:rPr>
                    <w:t xml:space="preserve"> in</w:t>
                  </w:r>
                  <w:r w:rsidRPr="001D1B80">
                    <w:rPr>
                      <w:lang w:val="en-US"/>
                    </w:rPr>
                    <w:t xml:space="preserve"> any of the water parameters measured between mesocosms just before experimentation</w:t>
                  </w:r>
                  <w:r w:rsidRPr="001D1B80">
                    <w:rPr>
                      <w:lang w:val="ca-ES"/>
                    </w:rPr>
                    <w:t xml:space="preserve"> (T0)</w:t>
                  </w:r>
                  <w:r w:rsidRPr="001D1B80">
                    <w:rPr>
                      <w:lang w:val="sl-SI"/>
                    </w:rPr>
                    <w:t xml:space="preserve"> (Table</w:t>
                  </w:r>
                  <w:r w:rsidRPr="001D1B80">
                    <w:rPr>
                      <w:lang w:val="ca-ES"/>
                    </w:rPr>
                    <w:t xml:space="preserve"> 1).</w:t>
                  </w:r>
                  <w:r w:rsidRPr="001D1B80">
                    <w:rPr>
                      <w:lang w:val="en-US"/>
                    </w:rPr>
                    <w:t xml:space="preserve"> During the experimental period (Exp), substantial in</w:t>
                  </w:r>
                  <w:r w:rsidRPr="001D1B80">
                    <w:rPr>
                      <w:lang w:val="en-US"/>
                    </w:rPr>
                    <w:softHyphen/>
                    <w:t>creases</w:t>
                  </w:r>
                  <w:r w:rsidRPr="001D1B80">
                    <w:rPr>
                      <w:lang w:val="sl-SI"/>
                    </w:rPr>
                    <w:t xml:space="preserve"> in</w:t>
                  </w:r>
                  <w:r w:rsidRPr="001D1B80">
                    <w:rPr>
                      <w:lang w:val="en-US"/>
                    </w:rPr>
                    <w:t xml:space="preserve"> ammonia</w:t>
                  </w:r>
                  <w:r w:rsidRPr="001D1B80">
                    <w:rPr>
                      <w:lang w:val="da-DK"/>
                    </w:rPr>
                    <w:t xml:space="preserve"> and</w:t>
                  </w:r>
                  <w:r w:rsidRPr="001D1B80">
                    <w:rPr>
                      <w:lang w:val="en-US"/>
                    </w:rPr>
                    <w:t xml:space="preserve"> orthophosphate concentrations were observed</w:t>
                  </w:r>
                  <w:r w:rsidRPr="001D1B80">
                    <w:rPr>
                      <w:lang w:val="sl-SI"/>
                    </w:rPr>
                    <w:t xml:space="preserve"> in</w:t>
                  </w:r>
                  <w:r w:rsidRPr="001D1B80">
                    <w:rPr>
                      <w:lang w:val="da-DK"/>
                    </w:rPr>
                    <w:t xml:space="preserve"> all</w:t>
                  </w:r>
                  <w:r w:rsidRPr="001D1B80">
                    <w:rPr>
                      <w:lang w:val="en-US"/>
                    </w:rPr>
                    <w:t xml:space="preserve"> the mesocosms compared</w:t>
                  </w:r>
                  <w:r w:rsidRPr="001D1B80">
                    <w:rPr>
                      <w:lang w:val="sl-SI"/>
                    </w:rPr>
                    <w:t xml:space="preserve"> to</w:t>
                  </w:r>
                  <w:r w:rsidRPr="001D1B80">
                    <w:rPr>
                      <w:lang w:val="ca-ES"/>
                    </w:rPr>
                    <w:t xml:space="preserve"> T0</w:t>
                  </w:r>
                  <w:r w:rsidRPr="001D1B80">
                    <w:rPr>
                      <w:lang w:val="sl-SI"/>
                    </w:rPr>
                    <w:t xml:space="preserve"> (Table</w:t>
                  </w:r>
                  <w:r w:rsidRPr="001D1B80">
                    <w:rPr>
                      <w:lang w:val="ca-ES"/>
                    </w:rPr>
                    <w:t xml:space="preserve"> 1).</w:t>
                  </w:r>
                  <w:r w:rsidRPr="001D1B80">
                    <w:rPr>
                      <w:lang w:val="en-US"/>
                    </w:rPr>
                    <w:t xml:space="preserve"> Moreover,</w:t>
                  </w:r>
                  <w:r w:rsidRPr="001D1B80">
                    <w:rPr>
                      <w:lang w:val="sl-SI"/>
                    </w:rPr>
                    <w:t xml:space="preserve"> a</w:t>
                  </w:r>
                  <w:r w:rsidRPr="001D1B80">
                    <w:rPr>
                      <w:lang w:val="en-US"/>
                    </w:rPr>
                    <w:t xml:space="preserve"> slight but significant decrease</w:t>
                  </w:r>
                  <w:r w:rsidRPr="001D1B80">
                    <w:rPr>
                      <w:lang w:val="sl-SI"/>
                    </w:rPr>
                    <w:t xml:space="preserve"> in</w:t>
                  </w:r>
                  <w:r w:rsidRPr="001D1B80">
                    <w:rPr>
                      <w:lang w:val="en-US"/>
                    </w:rPr>
                    <w:t xml:space="preserve"> pH was reported</w:t>
                  </w:r>
                  <w:r w:rsidRPr="001D1B80">
                    <w:rPr>
                      <w:lang w:val="sl-SI"/>
                    </w:rPr>
                    <w:t xml:space="preserve"> in</w:t>
                  </w:r>
                  <w:r w:rsidRPr="001D1B80">
                    <w:rPr>
                      <w:lang w:val="en-US"/>
                    </w:rPr>
                    <w:t xml:space="preserve"> [+gallic acid]</w:t>
                  </w:r>
                  <w:r w:rsidRPr="001D1B80">
                    <w:rPr>
                      <w:lang w:val="da-DK"/>
                    </w:rPr>
                    <w:t xml:space="preserve"> and</w:t>
                  </w:r>
                  <w:r w:rsidRPr="001D1B80">
                    <w:rPr>
                      <w:lang w:val="en-US"/>
                    </w:rPr>
                    <w:t xml:space="preserve"> [+gallic acid + nonanoic acid] treated mesocosms compared</w:t>
                  </w:r>
                  <w:r w:rsidRPr="001D1B80">
                    <w:rPr>
                      <w:lang w:val="sl-SI"/>
                    </w:rPr>
                    <w:t xml:space="preserve"> to</w:t>
                  </w:r>
                  <w:r w:rsidRPr="001D1B80">
                    <w:rPr>
                      <w:lang w:val="en-US"/>
                    </w:rPr>
                    <w:t xml:space="preserve"> the control group</w:t>
                  </w:r>
                  <w:r w:rsidRPr="001D1B80">
                    <w:rPr>
                      <w:lang w:val="sl-SI"/>
                    </w:rPr>
                    <w:t xml:space="preserve"> (Table</w:t>
                  </w:r>
                  <w:r w:rsidRPr="001D1B80">
                    <w:rPr>
                      <w:lang w:val="ca-ES"/>
                    </w:rPr>
                    <w:t xml:space="preserve"> 1).</w:t>
                  </w:r>
                  <w:r w:rsidRPr="001D1B80">
                    <w:rPr>
                      <w:lang w:val="en-US"/>
                    </w:rPr>
                    <w:t xml:space="preserve"> Finally, water temperature</w:t>
                  </w:r>
                  <w:r w:rsidRPr="001D1B80">
                    <w:rPr>
                      <w:lang w:val="sl-SI"/>
                    </w:rPr>
                    <w:t xml:space="preserve"> in</w:t>
                  </w:r>
                  <w:r w:rsidRPr="001D1B80">
                    <w:rPr>
                      <w:lang w:val="da-DK"/>
                    </w:rPr>
                    <w:t xml:space="preserve"> all</w:t>
                  </w:r>
                  <w:r w:rsidRPr="001D1B80">
                    <w:rPr>
                      <w:lang w:val="en-US"/>
                    </w:rPr>
                    <w:t xml:space="preserve"> the mesocosms was found</w:t>
                  </w:r>
                  <w:r w:rsidRPr="001D1B80">
                    <w:rPr>
                      <w:lang w:val="sl-SI"/>
                    </w:rPr>
                    <w:t xml:space="preserve"> to</w:t>
                  </w:r>
                  <w:r w:rsidRPr="001D1B80">
                    <w:rPr>
                      <w:lang w:val="da-DK"/>
                    </w:rPr>
                    <w:t xml:space="preserve"> show</w:t>
                  </w:r>
                  <w:r w:rsidRPr="001D1B80">
                    <w:rPr>
                      <w:lang w:val="en-US"/>
                    </w:rPr>
                    <w:t xml:space="preserve"> similar daily variations according</w:t>
                  </w:r>
                  <w:r w:rsidRPr="001D1B80">
                    <w:rPr>
                      <w:lang w:val="sl-SI"/>
                    </w:rPr>
                    <w:t xml:space="preserve"> to</w:t>
                  </w:r>
                  <w:r w:rsidRPr="001D1B80">
                    <w:rPr>
                      <w:lang w:val="en-US"/>
                    </w:rPr>
                    <w:t xml:space="preserve"> the</w:t>
                  </w:r>
                  <w:r w:rsidRPr="001D1B80">
                    <w:rPr>
                      <w:lang w:val="pt-BR"/>
                    </w:rPr>
                    <w:t xml:space="preserve"> time</w:t>
                  </w:r>
                  <w:r w:rsidRPr="001D1B80">
                    <w:rPr>
                      <w:lang w:val="en-US"/>
                    </w:rPr>
                    <w:t xml:space="preserve"> of day, with the highest temperatures recorded around noon</w:t>
                  </w:r>
                  <w:r w:rsidRPr="001D1B80">
                    <w:rPr>
                      <w:lang w:val="da-DK"/>
                    </w:rPr>
                    <w:t xml:space="preserve"> and</w:t>
                  </w:r>
                  <w:r w:rsidRPr="001D1B80">
                    <w:rPr>
                      <w:lang w:val="en-US"/>
                    </w:rPr>
                    <w:t xml:space="preserve"> the lowest temperatures around midnight (Fig.</w:t>
                  </w:r>
                  <w:r w:rsidRPr="001D1B80">
                    <w:rPr>
                      <w:lang w:val="ca-ES"/>
                    </w:rPr>
                    <w:t xml:space="preserve"> 1A).</w:t>
                  </w:r>
                </w:p>
              </w:sdtContent>
            </w:sdt>
          </w:sdtContent>
        </w:sdt>
        <w:sdt>
          <w:sdtPr>
            <w:rPr>
              <w:b w:val="0"/>
              <w:bCs w:val="0"/>
              <w:sz w:val="20"/>
              <w:szCs w:val="20"/>
            </w:rPr>
            <w:id w:val="450525053"/>
            <w:placeholder>
              <w:docPart w:val="34B608C06667437B97C7CC7D4CC11DB0"/>
            </w:placeholder>
            <w15:repeatingSectionItem/>
          </w:sdtPr>
          <w:sdtEndPr/>
          <w:sdtContent>
            <w:p w:rsidR="00951155" w:rsidRPr="001D1B80" w:rsidRDefault="00D27E5B" w:rsidP="001D1B80">
              <w:pPr>
                <w:pStyle w:val="SousTitrePartieArticle"/>
                <w:rPr>
                  <w:lang w:val="en-US"/>
                </w:rPr>
              </w:pPr>
              <w:sdt>
                <w:sdtPr>
                  <w:rPr>
                    <w:lang w:val="en-US"/>
                  </w:rPr>
                  <w:id w:val="-1742944177"/>
                  <w:placeholder>
                    <w:docPart w:val="FB7EC892C7DB453DA6257A1E704F3A1E"/>
                  </w:placeholder>
                  <w:text/>
                </w:sdtPr>
                <w:sdtEndPr/>
                <w:sdtContent>
                  <w:r w:rsidR="006F2346" w:rsidRPr="001D1B80">
                    <w:rPr>
                      <w:lang w:val="en-US"/>
                    </w:rPr>
                    <w:t>Blue-green, green, and brown algae, and cryptophyceae growth</w:t>
                  </w:r>
                </w:sdtContent>
              </w:sdt>
              <w:r w:rsidR="00951155" w:rsidRPr="001D1B80">
                <w:rPr>
                  <w:lang w:val="en-US"/>
                </w:rPr>
                <w:tab/>
              </w:r>
            </w:p>
            <w:sdt>
              <w:sdtPr>
                <w:id w:val="-149058206"/>
                <w:placeholder>
                  <w:docPart w:val="4F767E2CF7444EF4AE0315C0E6177F5B"/>
                </w:placeholder>
              </w:sdtPr>
              <w:sdtEndPr/>
              <w:sdtContent>
                <w:p w:rsidR="006F2346" w:rsidRPr="001D1B80" w:rsidRDefault="006F2346" w:rsidP="001D1B80">
                  <w:pPr>
                    <w:pStyle w:val="Partie"/>
                    <w:rPr>
                      <w:lang w:val="en-US"/>
                    </w:rPr>
                  </w:pPr>
                  <w:r w:rsidRPr="001D1B80">
                    <w:rPr>
                      <w:lang w:val="pt-BR"/>
                    </w:rPr>
                    <w:t>At</w:t>
                  </w:r>
                  <w:r w:rsidRPr="001D1B80">
                    <w:rPr>
                      <w:lang w:val="ca-ES"/>
                    </w:rPr>
                    <w:t xml:space="preserve"> T0</w:t>
                  </w:r>
                  <w:r w:rsidRPr="001D1B80">
                    <w:rPr>
                      <w:lang w:val="en-US"/>
                    </w:rPr>
                    <w:t xml:space="preserve"> (before</w:t>
                  </w:r>
                  <w:r w:rsidRPr="001D1B80">
                    <w:rPr>
                      <w:lang w:val="ca-ES"/>
                    </w:rPr>
                    <w:t xml:space="preserve"> A1),</w:t>
                  </w:r>
                  <w:r w:rsidRPr="001D1B80">
                    <w:rPr>
                      <w:lang w:val="sl-SI"/>
                    </w:rPr>
                    <w:t xml:space="preserve"> no</w:t>
                  </w:r>
                  <w:r w:rsidRPr="001D1B80">
                    <w:rPr>
                      <w:lang w:val="en-US"/>
                    </w:rPr>
                    <w:t xml:space="preserve"> significant differences were noted</w:t>
                  </w:r>
                  <w:r w:rsidRPr="001D1B80">
                    <w:rPr>
                      <w:lang w:val="sl-SI"/>
                    </w:rPr>
                    <w:t xml:space="preserve"> in</w:t>
                  </w:r>
                  <w:r w:rsidRPr="001D1B80">
                    <w:rPr>
                      <w:lang w:val="en-US"/>
                    </w:rPr>
                    <w:t xml:space="preserve"> phyto</w:t>
                  </w:r>
                  <w:r w:rsidRPr="001D1B80">
                    <w:rPr>
                      <w:lang w:val="sl-SI"/>
                    </w:rPr>
                    <w:t>-plankton</w:t>
                  </w:r>
                  <w:r w:rsidRPr="001D1B80">
                    <w:rPr>
                      <w:lang w:val="en-US"/>
                    </w:rPr>
                    <w:t xml:space="preserve"> community biomass regardless of the</w:t>
                  </w:r>
                  <w:r w:rsidRPr="001D1B80">
                    <w:rPr>
                      <w:lang w:val="pt-BR"/>
                    </w:rPr>
                    <w:t xml:space="preserve"> taxa</w:t>
                  </w:r>
                  <w:r w:rsidRPr="001D1B80">
                    <w:rPr>
                      <w:lang w:val="da-DK"/>
                    </w:rPr>
                    <w:t xml:space="preserve"> and</w:t>
                  </w:r>
                  <w:r w:rsidRPr="001D1B80">
                    <w:rPr>
                      <w:lang w:val="en-US"/>
                    </w:rPr>
                    <w:t xml:space="preserve"> allelopathic treatment considered (Fig.</w:t>
                  </w:r>
                  <w:r w:rsidRPr="001D1B80">
                    <w:rPr>
                      <w:lang w:val="ca-ES"/>
                    </w:rPr>
                    <w:t xml:space="preserve"> 1B,</w:t>
                  </w:r>
                  <w:r w:rsidRPr="001D1B80">
                    <w:rPr>
                      <w:lang w:val="sl-SI"/>
                    </w:rPr>
                    <w:t xml:space="preserve"> C, D,</w:t>
                  </w:r>
                  <w:r w:rsidRPr="001D1B80">
                    <w:rPr>
                      <w:lang w:val="pt-BR"/>
                    </w:rPr>
                    <w:t xml:space="preserve"> E).</w:t>
                  </w:r>
                  <w:r w:rsidRPr="001D1B80">
                    <w:rPr>
                      <w:lang w:val="cs-CZ"/>
                    </w:rPr>
                    <w:t xml:space="preserve"> By</w:t>
                  </w:r>
                  <w:r w:rsidRPr="001D1B80">
                    <w:rPr>
                      <w:lang w:val="en-US"/>
                    </w:rPr>
                    <w:t xml:space="preserve"> contrast, the day following</w:t>
                  </w:r>
                  <w:r w:rsidRPr="001D1B80">
                    <w:rPr>
                      <w:lang w:val="ca-ES"/>
                    </w:rPr>
                    <w:t xml:space="preserve"> A1</w:t>
                  </w:r>
                  <w:r w:rsidRPr="001D1B80">
                    <w:rPr>
                      <w:lang w:val="en-US"/>
                    </w:rPr>
                    <w:t xml:space="preserve"> (Day</w:t>
                  </w:r>
                  <w:r w:rsidRPr="001D1B80">
                    <w:rPr>
                      <w:lang w:val="ca-ES"/>
                    </w:rPr>
                    <w:t xml:space="preserve"> 1),</w:t>
                  </w:r>
                  <w:r w:rsidRPr="001D1B80">
                    <w:rPr>
                      <w:lang w:val="sl-SI"/>
                    </w:rPr>
                    <w:t xml:space="preserve"> a</w:t>
                  </w:r>
                  <w:r w:rsidRPr="001D1B80">
                    <w:rPr>
                      <w:lang w:val="en-US"/>
                    </w:rPr>
                    <w:t xml:space="preserve"> slight but significantly lower concentration of cyanobacteria was measured</w:t>
                  </w:r>
                  <w:r w:rsidRPr="001D1B80">
                    <w:rPr>
                      <w:lang w:val="sl-SI"/>
                    </w:rPr>
                    <w:t xml:space="preserve"> in</w:t>
                  </w:r>
                  <w:r w:rsidRPr="001D1B80">
                    <w:rPr>
                      <w:lang w:val="en-US"/>
                    </w:rPr>
                    <w:t xml:space="preserve"> [+gallic acid] treated mesocosms com</w:t>
                  </w:r>
                  <w:r w:rsidRPr="001D1B80">
                    <w:rPr>
                      <w:lang w:val="en-US"/>
                    </w:rPr>
                    <w:softHyphen/>
                    <w:t>pared</w:t>
                  </w:r>
                  <w:r w:rsidRPr="001D1B80">
                    <w:rPr>
                      <w:lang w:val="sl-SI"/>
                    </w:rPr>
                    <w:t xml:space="preserve"> to</w:t>
                  </w:r>
                  <w:r w:rsidRPr="001D1B80">
                    <w:rPr>
                      <w:lang w:val="en-US"/>
                    </w:rPr>
                    <w:t xml:space="preserve"> control (ANOVA</w:t>
                  </w:r>
                  <w:r w:rsidRPr="001D1B80">
                    <w:rPr>
                      <w:lang w:val="da-DK"/>
                    </w:rPr>
                    <w:t xml:space="preserve"> p</w:t>
                  </w:r>
                  <w:r w:rsidRPr="001D1B80">
                    <w:rPr>
                      <w:lang w:val="en-US"/>
                    </w:rPr>
                    <w:t xml:space="preserve"> =</w:t>
                  </w:r>
                  <w:r w:rsidRPr="001D1B80">
                    <w:rPr>
                      <w:lang w:val="ca-ES"/>
                    </w:rPr>
                    <w:t xml:space="preserve"> 0.028</w:t>
                  </w:r>
                  <w:r w:rsidRPr="001D1B80">
                    <w:rPr>
                      <w:lang w:val="en-US"/>
                    </w:rPr>
                    <w:t xml:space="preserve"> followed</w:t>
                  </w:r>
                  <w:r w:rsidRPr="001D1B80">
                    <w:rPr>
                      <w:lang w:val="cs-CZ"/>
                    </w:rPr>
                    <w:t xml:space="preserve"> by</w:t>
                  </w:r>
                  <w:r w:rsidRPr="001D1B80">
                    <w:rPr>
                      <w:lang w:val="en-US"/>
                    </w:rPr>
                    <w:t xml:space="preserve"> Holm–Sidak method</w:t>
                  </w:r>
                  <w:r w:rsidRPr="001D1B80">
                    <w:rPr>
                      <w:lang w:val="da-DK"/>
                    </w:rPr>
                    <w:t xml:space="preserve"> at p</w:t>
                  </w:r>
                  <w:r w:rsidRPr="001D1B80">
                    <w:rPr>
                      <w:lang w:val="en-US"/>
                    </w:rPr>
                    <w:t xml:space="preserve"> &lt;</w:t>
                  </w:r>
                  <w:r w:rsidRPr="001D1B80">
                    <w:rPr>
                      <w:lang w:val="ca-ES"/>
                    </w:rPr>
                    <w:t xml:space="preserve"> 0.05;</w:t>
                  </w:r>
                  <w:r w:rsidRPr="001D1B80">
                    <w:rPr>
                      <w:lang w:val="en-US"/>
                    </w:rPr>
                    <w:t xml:space="preserve"> Fig.</w:t>
                  </w:r>
                  <w:r w:rsidRPr="001D1B80">
                    <w:rPr>
                      <w:lang w:val="ca-ES"/>
                    </w:rPr>
                    <w:t xml:space="preserve"> 1B).</w:t>
                  </w:r>
                  <w:r w:rsidRPr="001D1B80">
                    <w:rPr>
                      <w:lang w:val="da-DK"/>
                    </w:rPr>
                    <w:t xml:space="preserve"> Overall,</w:t>
                  </w:r>
                  <w:r w:rsidRPr="001D1B80">
                    <w:rPr>
                      <w:lang w:val="en-US"/>
                    </w:rPr>
                    <w:t xml:space="preserve"> this</w:t>
                  </w:r>
                  <w:r w:rsidRPr="001D1B80">
                    <w:rPr>
                      <w:lang w:val="sl-SI"/>
                    </w:rPr>
                    <w:t xml:space="preserve"> trend</w:t>
                  </w:r>
                  <w:r w:rsidRPr="001D1B80">
                    <w:rPr>
                      <w:lang w:val="en-US"/>
                    </w:rPr>
                    <w:t xml:space="preserve"> was maintained until</w:t>
                  </w:r>
                  <w:r w:rsidRPr="001D1B80">
                    <w:rPr>
                      <w:lang w:val="ca-ES"/>
                    </w:rPr>
                    <w:t xml:space="preserve"> A2</w:t>
                  </w:r>
                  <w:r w:rsidRPr="001D1B80">
                    <w:rPr>
                      <w:lang w:val="en-US"/>
                    </w:rPr>
                    <w:t xml:space="preserve"> despite the lack of statistical significance between the two categories of mesocosms (i.e. control vs [+gallic acid] treated mesocosms) (Fig.</w:t>
                  </w:r>
                  <w:r w:rsidRPr="001D1B80">
                    <w:rPr>
                      <w:lang w:val="ca-ES"/>
                    </w:rPr>
                    <w:t xml:space="preserve"> 1B).</w:t>
                  </w:r>
                  <w:r w:rsidRPr="001D1B80">
                    <w:rPr>
                      <w:lang w:val="en-US"/>
                    </w:rPr>
                    <w:t xml:space="preserve"> Similarly,</w:t>
                  </w:r>
                  <w:r w:rsidRPr="001D1B80">
                    <w:rPr>
                      <w:lang w:val="sl-SI"/>
                    </w:rPr>
                    <w:t xml:space="preserve"> a trend</w:t>
                  </w:r>
                  <w:r w:rsidRPr="001D1B80">
                    <w:rPr>
                      <w:lang w:val="en-US"/>
                    </w:rPr>
                    <w:t xml:space="preserve"> towards</w:t>
                  </w:r>
                  <w:r w:rsidRPr="001D1B80">
                    <w:rPr>
                      <w:lang w:val="sl-SI"/>
                    </w:rPr>
                    <w:t xml:space="preserve"> a</w:t>
                  </w:r>
                  <w:r w:rsidRPr="001D1B80">
                    <w:rPr>
                      <w:lang w:val="en-US"/>
                    </w:rPr>
                    <w:t xml:space="preserve"> lower cyanobacteria concentration was observed</w:t>
                  </w:r>
                  <w:r w:rsidRPr="001D1B80">
                    <w:rPr>
                      <w:lang w:val="sl-SI"/>
                    </w:rPr>
                    <w:t xml:space="preserve"> in</w:t>
                  </w:r>
                  <w:r w:rsidRPr="001D1B80">
                    <w:rPr>
                      <w:lang w:val="en-US"/>
                    </w:rPr>
                    <w:t xml:space="preserve"> [+gallic acid + nonanoic acid]</w:t>
                  </w:r>
                  <w:r w:rsidRPr="001D1B80">
                    <w:rPr>
                      <w:lang w:val="da-DK"/>
                    </w:rPr>
                    <w:t xml:space="preserve"> tanks</w:t>
                  </w:r>
                  <w:r w:rsidRPr="001D1B80">
                    <w:rPr>
                      <w:lang w:val="en-US"/>
                    </w:rPr>
                    <w:t xml:space="preserve"> during the</w:t>
                  </w:r>
                  <w:r w:rsidRPr="001D1B80">
                    <w:rPr>
                      <w:lang w:val="da-DK"/>
                    </w:rPr>
                    <w:t xml:space="preserve"> first</w:t>
                  </w:r>
                  <w:r w:rsidRPr="001D1B80">
                    <w:rPr>
                      <w:lang w:val="en-US"/>
                    </w:rPr>
                    <w:t xml:space="preserve"> seven days of the experiments compared</w:t>
                  </w:r>
                  <w:r w:rsidRPr="001D1B80">
                    <w:rPr>
                      <w:lang w:val="sl-SI"/>
                    </w:rPr>
                    <w:t xml:space="preserve"> to</w:t>
                  </w:r>
                  <w:r w:rsidRPr="001D1B80">
                    <w:rPr>
                      <w:lang w:val="en-US"/>
                    </w:rPr>
                    <w:t xml:space="preserve"> control</w:t>
                  </w:r>
                  <w:r w:rsidRPr="001D1B80">
                    <w:rPr>
                      <w:lang w:val="da-DK"/>
                    </w:rPr>
                    <w:t xml:space="preserve"> and</w:t>
                  </w:r>
                  <w:r w:rsidRPr="001D1B80">
                    <w:rPr>
                      <w:lang w:val="en-US"/>
                    </w:rPr>
                    <w:t xml:space="preserve"> also</w:t>
                  </w:r>
                  <w:r w:rsidRPr="001D1B80">
                    <w:rPr>
                      <w:lang w:val="sl-SI"/>
                    </w:rPr>
                    <w:t xml:space="preserve"> to</w:t>
                  </w:r>
                  <w:r w:rsidRPr="001D1B80">
                    <w:rPr>
                      <w:lang w:val="en-US"/>
                    </w:rPr>
                    <w:t xml:space="preserve"> [+nonanoic acid] mesocosms (Fig.</w:t>
                  </w:r>
                  <w:r w:rsidRPr="001D1B80">
                    <w:rPr>
                      <w:lang w:val="ca-ES"/>
                    </w:rPr>
                    <w:t xml:space="preserve"> 1B).</w:t>
                  </w:r>
                  <w:r w:rsidRPr="001D1B80">
                    <w:rPr>
                      <w:lang w:val="en-US"/>
                    </w:rPr>
                    <w:t xml:space="preserve"> From Day</w:t>
                  </w:r>
                  <w:r w:rsidRPr="001D1B80">
                    <w:rPr>
                      <w:lang w:val="ca-ES"/>
                    </w:rPr>
                    <w:t xml:space="preserve"> 11</w:t>
                  </w:r>
                  <w:r w:rsidRPr="001D1B80">
                    <w:rPr>
                      <w:lang w:val="sl-SI"/>
                    </w:rPr>
                    <w:t xml:space="preserve"> to</w:t>
                  </w:r>
                  <w:r w:rsidRPr="001D1B80">
                    <w:rPr>
                      <w:lang w:val="en-US"/>
                    </w:rPr>
                    <w:t xml:space="preserve"> Day</w:t>
                  </w:r>
                  <w:r w:rsidRPr="001D1B80">
                    <w:rPr>
                      <w:lang w:val="ca-ES"/>
                    </w:rPr>
                    <w:t xml:space="preserve"> 13,</w:t>
                  </w:r>
                  <w:r w:rsidRPr="001D1B80">
                    <w:rPr>
                      <w:lang w:val="cs-CZ"/>
                    </w:rPr>
                    <w:t xml:space="preserve"> an</w:t>
                  </w:r>
                  <w:r w:rsidRPr="001D1B80">
                    <w:rPr>
                      <w:lang w:val="da-DK"/>
                    </w:rPr>
                    <w:t xml:space="preserve"> overall</w:t>
                  </w:r>
                  <w:r w:rsidRPr="001D1B80">
                    <w:rPr>
                      <w:lang w:val="en-US"/>
                    </w:rPr>
                    <w:t xml:space="preserve"> decrease</w:t>
                  </w:r>
                  <w:r w:rsidRPr="001D1B80">
                    <w:rPr>
                      <w:lang w:val="sl-SI"/>
                    </w:rPr>
                    <w:t xml:space="preserve"> in</w:t>
                  </w:r>
                  <w:r w:rsidRPr="001D1B80">
                    <w:rPr>
                      <w:lang w:val="en-US"/>
                    </w:rPr>
                    <w:t xml:space="preserve"> cyanobacteria concentration was observed</w:t>
                  </w:r>
                  <w:r w:rsidRPr="001D1B80">
                    <w:rPr>
                      <w:lang w:val="pt-BR"/>
                    </w:rPr>
                    <w:t xml:space="preserve"> for</w:t>
                  </w:r>
                  <w:r w:rsidRPr="001D1B80">
                    <w:rPr>
                      <w:lang w:val="da-DK"/>
                    </w:rPr>
                    <w:t xml:space="preserve"> all</w:t>
                  </w:r>
                  <w:r w:rsidRPr="001D1B80">
                    <w:rPr>
                      <w:lang w:val="en-US"/>
                    </w:rPr>
                    <w:t xml:space="preserve"> treatment modalities (Fig.</w:t>
                  </w:r>
                  <w:r w:rsidRPr="001D1B80">
                    <w:rPr>
                      <w:lang w:val="ca-ES"/>
                    </w:rPr>
                    <w:t xml:space="preserve"> 1B),</w:t>
                  </w:r>
                  <w:r w:rsidRPr="001D1B80">
                    <w:rPr>
                      <w:lang w:val="da-DK"/>
                    </w:rPr>
                    <w:t xml:space="preserve"> and</w:t>
                  </w:r>
                  <w:r w:rsidRPr="001D1B80">
                    <w:rPr>
                      <w:lang w:val="sl-SI"/>
                    </w:rPr>
                    <w:t xml:space="preserve"> a</w:t>
                  </w:r>
                  <w:r w:rsidRPr="001D1B80">
                    <w:rPr>
                      <w:lang w:val="en-US"/>
                    </w:rPr>
                    <w:t xml:space="preserve"> change</w:t>
                  </w:r>
                  <w:r w:rsidRPr="001D1B80">
                    <w:rPr>
                      <w:lang w:val="sl-SI"/>
                    </w:rPr>
                    <w:t xml:space="preserve"> in</w:t>
                  </w:r>
                  <w:r w:rsidRPr="001D1B80">
                    <w:rPr>
                      <w:lang w:val="en-US"/>
                    </w:rPr>
                    <w:t xml:space="preserve"> temperature was recorded during the</w:t>
                  </w:r>
                  <w:r w:rsidRPr="001D1B80">
                    <w:rPr>
                      <w:lang w:val="sl-SI"/>
                    </w:rPr>
                    <w:t xml:space="preserve"> same</w:t>
                  </w:r>
                  <w:r w:rsidRPr="001D1B80">
                    <w:rPr>
                      <w:lang w:val="pt-BR"/>
                    </w:rPr>
                    <w:t xml:space="preserve"> time</w:t>
                  </w:r>
                  <w:r w:rsidRPr="001D1B80">
                    <w:rPr>
                      <w:lang w:val="sl-SI"/>
                    </w:rPr>
                    <w:t xml:space="preserve"> interval (on</w:t>
                  </w:r>
                  <w:r w:rsidRPr="001D1B80">
                    <w:rPr>
                      <w:lang w:val="en-US"/>
                    </w:rPr>
                    <w:t xml:space="preserve"> average from</w:t>
                  </w:r>
                  <w:r w:rsidRPr="001D1B80">
                    <w:rPr>
                      <w:lang w:val="ca-ES"/>
                    </w:rPr>
                    <w:t xml:space="preserve"> 23</w:t>
                  </w:r>
                  <w:r w:rsidRPr="001D1B80">
                    <w:rPr>
                      <w:lang w:val="sl-SI"/>
                    </w:rPr>
                    <w:t xml:space="preserve"> °C on</w:t>
                  </w:r>
                  <w:r w:rsidRPr="001D1B80">
                    <w:rPr>
                      <w:lang w:val="en-US"/>
                    </w:rPr>
                    <w:t xml:space="preserve"> Day</w:t>
                  </w:r>
                  <w:r w:rsidRPr="001D1B80">
                    <w:rPr>
                      <w:lang w:val="ca-ES"/>
                    </w:rPr>
                    <w:t xml:space="preserve"> 11</w:t>
                  </w:r>
                  <w:r w:rsidRPr="001D1B80">
                    <w:rPr>
                      <w:lang w:val="sl-SI"/>
                    </w:rPr>
                    <w:t xml:space="preserve"> to</w:t>
                  </w:r>
                  <w:r w:rsidRPr="001D1B80">
                    <w:rPr>
                      <w:lang w:val="ca-ES"/>
                    </w:rPr>
                    <w:t xml:space="preserve"> 15.5</w:t>
                  </w:r>
                  <w:r w:rsidRPr="001D1B80">
                    <w:rPr>
                      <w:lang w:val="sl-SI"/>
                    </w:rPr>
                    <w:t xml:space="preserve"> °C on</w:t>
                  </w:r>
                  <w:r w:rsidRPr="001D1B80">
                    <w:rPr>
                      <w:lang w:val="en-US"/>
                    </w:rPr>
                    <w:t xml:space="preserve"> Day</w:t>
                  </w:r>
                  <w:r w:rsidRPr="001D1B80">
                    <w:rPr>
                      <w:lang w:val="ca-ES"/>
                    </w:rPr>
                    <w:t xml:space="preserve"> 13,</w:t>
                  </w:r>
                  <w:r w:rsidRPr="001D1B80">
                    <w:rPr>
                      <w:lang w:val="en-US"/>
                    </w:rPr>
                    <w:t xml:space="preserve"> Fig.</w:t>
                  </w:r>
                  <w:r w:rsidRPr="001D1B80">
                    <w:rPr>
                      <w:lang w:val="ca-ES"/>
                    </w:rPr>
                    <w:t xml:space="preserve"> 1A).</w:t>
                  </w:r>
                  <w:r w:rsidRPr="001D1B80">
                    <w:rPr>
                      <w:lang w:val="en-US"/>
                    </w:rPr>
                    <w:t xml:space="preserve"> Between</w:t>
                  </w:r>
                  <w:r w:rsidRPr="001D1B80">
                    <w:rPr>
                      <w:lang w:val="ca-ES"/>
                    </w:rPr>
                    <w:t xml:space="preserve"> A2</w:t>
                  </w:r>
                  <w:r w:rsidRPr="001D1B80">
                    <w:rPr>
                      <w:lang w:val="da-DK"/>
                    </w:rPr>
                    <w:t xml:space="preserve"> and</w:t>
                  </w:r>
                  <w:r w:rsidRPr="001D1B80">
                    <w:rPr>
                      <w:lang w:val="ca-ES"/>
                    </w:rPr>
                    <w:t xml:space="preserve"> A3,</w:t>
                  </w:r>
                  <w:r w:rsidRPr="001D1B80">
                    <w:rPr>
                      <w:lang w:val="sl-SI"/>
                    </w:rPr>
                    <w:t xml:space="preserve"> in</w:t>
                  </w:r>
                  <w:r w:rsidRPr="001D1B80">
                    <w:rPr>
                      <w:lang w:val="en-US"/>
                    </w:rPr>
                    <w:t xml:space="preserve"> [+ gallic acid] treated mesocosms, cyanobacteria biomass dropped</w:t>
                  </w:r>
                  <w:r w:rsidRPr="001D1B80">
                    <w:rPr>
                      <w:lang w:val="sl-SI"/>
                    </w:rPr>
                    <w:t xml:space="preserve"> to</w:t>
                  </w:r>
                  <w:r w:rsidRPr="001D1B80">
                    <w:rPr>
                      <w:lang w:val="pt-BR"/>
                    </w:rPr>
                    <w:t xml:space="preserve"> trace</w:t>
                  </w:r>
                  <w:r w:rsidRPr="001D1B80">
                    <w:rPr>
                      <w:lang w:val="da-DK"/>
                    </w:rPr>
                    <w:t xml:space="preserve"> level</w:t>
                  </w:r>
                  <w:r w:rsidRPr="001D1B80">
                    <w:rPr>
                      <w:lang w:val="en-US"/>
                    </w:rPr>
                    <w:t xml:space="preserve"> with</w:t>
                  </w:r>
                  <w:r w:rsidRPr="001D1B80">
                    <w:rPr>
                      <w:lang w:val="sl-SI"/>
                    </w:rPr>
                    <w:t xml:space="preserve"> no more</w:t>
                  </w:r>
                  <w:r w:rsidRPr="001D1B80">
                    <w:rPr>
                      <w:lang w:val="en-US"/>
                    </w:rPr>
                    <w:t xml:space="preserve"> than</w:t>
                  </w:r>
                  <w:r w:rsidRPr="001D1B80">
                    <w:rPr>
                      <w:lang w:val="ca-ES"/>
                    </w:rPr>
                    <w:t xml:space="preserve"> 0.5</w:t>
                  </w:r>
                  <w:r w:rsidRPr="001D1B80">
                    <w:rPr>
                      <w:lang w:val="en-US"/>
                    </w:rPr>
                    <w:t xml:space="preserve"> Eıg chlorophyll a/L (Fig.</w:t>
                  </w:r>
                  <w:r w:rsidRPr="001D1B80">
                    <w:rPr>
                      <w:lang w:val="ca-ES"/>
                    </w:rPr>
                    <w:t xml:space="preserve"> 1B).</w:t>
                  </w:r>
                  <w:r w:rsidRPr="001D1B80">
                    <w:rPr>
                      <w:lang w:val="sl-SI"/>
                    </w:rPr>
                    <w:t xml:space="preserve"> A</w:t>
                  </w:r>
                  <w:r w:rsidRPr="001D1B80">
                    <w:rPr>
                      <w:lang w:val="en-US"/>
                    </w:rPr>
                    <w:t xml:space="preserve"> similar</w:t>
                  </w:r>
                  <w:r w:rsidRPr="001D1B80">
                    <w:rPr>
                      <w:lang w:val="sl-SI"/>
                    </w:rPr>
                    <w:t xml:space="preserve"> trend</w:t>
                  </w:r>
                  <w:r w:rsidRPr="001D1B80">
                    <w:rPr>
                      <w:lang w:val="en-US"/>
                    </w:rPr>
                    <w:t xml:space="preserve"> was reported</w:t>
                  </w:r>
                  <w:r w:rsidRPr="001D1B80">
                    <w:rPr>
                      <w:lang w:val="sl-SI"/>
                    </w:rPr>
                    <w:t xml:space="preserve"> in</w:t>
                  </w:r>
                  <w:r w:rsidRPr="001D1B80">
                    <w:rPr>
                      <w:lang w:val="en-US"/>
                    </w:rPr>
                    <w:t xml:space="preserve"> [+gallic acid + nonanoic acid] mesocosms (Fig.</w:t>
                  </w:r>
                  <w:r w:rsidRPr="001D1B80">
                    <w:rPr>
                      <w:lang w:val="ca-ES"/>
                    </w:rPr>
                    <w:t xml:space="preserve"> 1B).</w:t>
                  </w:r>
                  <w:r w:rsidRPr="001D1B80">
                    <w:rPr>
                      <w:lang w:val="sl-SI"/>
                    </w:rPr>
                    <w:t xml:space="preserve"> On</w:t>
                  </w:r>
                  <w:r w:rsidRPr="001D1B80">
                    <w:rPr>
                      <w:lang w:val="en-US"/>
                    </w:rPr>
                    <w:t xml:space="preserve"> Day</w:t>
                  </w:r>
                  <w:r w:rsidRPr="001D1B80">
                    <w:rPr>
                      <w:lang w:val="ca-ES"/>
                    </w:rPr>
                    <w:t xml:space="preserve"> 20,</w:t>
                  </w:r>
                  <w:r w:rsidRPr="001D1B80">
                    <w:rPr>
                      <w:lang w:val="en-US"/>
                    </w:rPr>
                    <w:t xml:space="preserve"> just after</w:t>
                  </w:r>
                  <w:r w:rsidRPr="001D1B80">
                    <w:rPr>
                      <w:lang w:val="ca-ES"/>
                    </w:rPr>
                    <w:t xml:space="preserve"> A3,</w:t>
                  </w:r>
                  <w:r w:rsidRPr="001D1B80">
                    <w:rPr>
                      <w:lang w:val="en-US"/>
                    </w:rPr>
                    <w:t xml:space="preserve"> cyanobacteria concentrations were significantly lower</w:t>
                  </w:r>
                  <w:r w:rsidRPr="001D1B80">
                    <w:rPr>
                      <w:lang w:val="sl-SI"/>
                    </w:rPr>
                    <w:t xml:space="preserve"> in</w:t>
                  </w:r>
                  <w:r w:rsidRPr="001D1B80">
                    <w:rPr>
                      <w:lang w:val="en-US"/>
                    </w:rPr>
                    <w:t xml:space="preserve"> [+gallic acid] </w:t>
                  </w:r>
                  <w:r w:rsidRPr="001D1B80">
                    <w:rPr>
                      <w:lang w:val="en-US"/>
                    </w:rPr>
                    <w:t>mesocosms compared</w:t>
                  </w:r>
                  <w:r w:rsidRPr="001D1B80">
                    <w:rPr>
                      <w:lang w:val="sl-SI"/>
                    </w:rPr>
                    <w:t xml:space="preserve"> to</w:t>
                  </w:r>
                  <w:r w:rsidRPr="001D1B80">
                    <w:rPr>
                      <w:lang w:val="en-US"/>
                    </w:rPr>
                    <w:t xml:space="preserve"> the control ones (ANOVA</w:t>
                  </w:r>
                  <w:r w:rsidRPr="001D1B80">
                    <w:rPr>
                      <w:lang w:val="da-DK"/>
                    </w:rPr>
                    <w:t xml:space="preserve"> p</w:t>
                  </w:r>
                  <w:r w:rsidRPr="001D1B80">
                    <w:rPr>
                      <w:lang w:val="en-US"/>
                    </w:rPr>
                    <w:t xml:space="preserve"> =</w:t>
                  </w:r>
                  <w:r w:rsidRPr="001D1B80">
                    <w:rPr>
                      <w:lang w:val="ca-ES"/>
                    </w:rPr>
                    <w:t xml:space="preserve"> 0.034</w:t>
                  </w:r>
                  <w:r w:rsidRPr="001D1B80">
                    <w:rPr>
                      <w:lang w:val="en-US"/>
                    </w:rPr>
                    <w:t xml:space="preserve"> followed</w:t>
                  </w:r>
                  <w:r w:rsidRPr="001D1B80">
                    <w:rPr>
                      <w:lang w:val="cs-CZ"/>
                    </w:rPr>
                    <w:t xml:space="preserve"> by</w:t>
                  </w:r>
                  <w:r w:rsidRPr="001D1B80">
                    <w:rPr>
                      <w:lang w:val="en-US"/>
                    </w:rPr>
                    <w:t xml:space="preserve"> Holm–Sidak method</w:t>
                  </w:r>
                  <w:r w:rsidRPr="001D1B80">
                    <w:rPr>
                      <w:lang w:val="da-DK"/>
                    </w:rPr>
                    <w:t xml:space="preserve"> at p</w:t>
                  </w:r>
                  <w:r w:rsidRPr="001D1B80">
                    <w:rPr>
                      <w:lang w:val="en-US"/>
                    </w:rPr>
                    <w:t xml:space="preserve"> &lt;</w:t>
                  </w:r>
                  <w:r w:rsidRPr="001D1B80">
                    <w:rPr>
                      <w:lang w:val="ca-ES"/>
                    </w:rPr>
                    <w:t xml:space="preserve"> 0.05),</w:t>
                  </w:r>
                  <w:r w:rsidRPr="001D1B80">
                    <w:rPr>
                      <w:lang w:val="en-US"/>
                    </w:rPr>
                    <w:t xml:space="preserve"> being below the</w:t>
                  </w:r>
                  <w:r w:rsidRPr="001D1B80">
                    <w:rPr>
                      <w:lang w:val="sl-SI"/>
                    </w:rPr>
                    <w:t xml:space="preserve"> limit</w:t>
                  </w:r>
                  <w:r w:rsidRPr="001D1B80">
                    <w:rPr>
                      <w:lang w:val="pt-BR"/>
                    </w:rPr>
                    <w:t xml:space="preserve"> for</w:t>
                  </w:r>
                  <w:r w:rsidRPr="001D1B80">
                    <w:rPr>
                      <w:lang w:val="en-US"/>
                    </w:rPr>
                    <w:t xml:space="preserve"> spectrofluorometric detection (Fig.</w:t>
                  </w:r>
                  <w:r w:rsidRPr="001D1B80">
                    <w:rPr>
                      <w:lang w:val="ca-ES"/>
                    </w:rPr>
                    <w:t xml:space="preserve"> 1B).</w:t>
                  </w:r>
                  <w:r w:rsidRPr="001D1B80">
                    <w:rPr>
                      <w:lang w:val="da-DK"/>
                    </w:rPr>
                    <w:t xml:space="preserve"> Overall,</w:t>
                  </w:r>
                  <w:r w:rsidRPr="001D1B80">
                    <w:rPr>
                      <w:lang w:val="en-US"/>
                    </w:rPr>
                    <w:t xml:space="preserve"> relative cyanobacteria concentrations</w:t>
                  </w:r>
                  <w:r w:rsidRPr="001D1B80">
                    <w:rPr>
                      <w:lang w:val="sl-SI"/>
                    </w:rPr>
                    <w:t xml:space="preserve"> in</w:t>
                  </w:r>
                  <w:r w:rsidRPr="001D1B80">
                    <w:rPr>
                      <w:lang w:val="en-US"/>
                    </w:rPr>
                    <w:t xml:space="preserve"> [+ gallic acid]</w:t>
                  </w:r>
                  <w:r w:rsidRPr="001D1B80">
                    <w:rPr>
                      <w:lang w:val="da-DK"/>
                    </w:rPr>
                    <w:t xml:space="preserve"> and</w:t>
                  </w:r>
                  <w:r w:rsidRPr="001D1B80">
                    <w:rPr>
                      <w:lang w:val="en-US"/>
                    </w:rPr>
                    <w:t xml:space="preserve"> [+gallic acid + nonanoic acid] treated mesocosms remained well below those observed</w:t>
                  </w:r>
                  <w:r w:rsidRPr="001D1B80">
                    <w:rPr>
                      <w:lang w:val="sl-SI"/>
                    </w:rPr>
                    <w:t xml:space="preserve"> in</w:t>
                  </w:r>
                  <w:r w:rsidRPr="001D1B80">
                    <w:rPr>
                      <w:lang w:val="en-US"/>
                    </w:rPr>
                    <w:t xml:space="preserve"> control</w:t>
                  </w:r>
                  <w:r w:rsidRPr="001D1B80">
                    <w:rPr>
                      <w:lang w:val="da-DK"/>
                    </w:rPr>
                    <w:t xml:space="preserve"> (and</w:t>
                  </w:r>
                  <w:r w:rsidRPr="001D1B80">
                    <w:rPr>
                      <w:lang w:val="sl-SI"/>
                    </w:rPr>
                    <w:t xml:space="preserve"> in</w:t>
                  </w:r>
                  <w:r w:rsidRPr="001D1B80">
                    <w:rPr>
                      <w:lang w:val="en-US"/>
                    </w:rPr>
                    <w:t xml:space="preserve"> [+nonanoic acid]) mesocosms until the</w:t>
                  </w:r>
                  <w:r w:rsidRPr="001D1B80">
                    <w:rPr>
                      <w:lang w:val="da-DK"/>
                    </w:rPr>
                    <w:t xml:space="preserve"> end</w:t>
                  </w:r>
                  <w:r w:rsidRPr="001D1B80">
                    <w:rPr>
                      <w:lang w:val="en-US"/>
                    </w:rPr>
                    <w:t xml:space="preserve"> of the experiments</w:t>
                  </w:r>
                  <w:r w:rsidRPr="001D1B80">
                    <w:rPr>
                      <w:lang w:val="sl-SI"/>
                    </w:rPr>
                    <w:t xml:space="preserve"> on</w:t>
                  </w:r>
                  <w:r w:rsidRPr="001D1B80">
                    <w:rPr>
                      <w:lang w:val="en-US"/>
                    </w:rPr>
                    <w:t xml:space="preserve"> Day</w:t>
                  </w:r>
                  <w:r w:rsidRPr="001D1B80">
                    <w:rPr>
                      <w:lang w:val="ca-ES"/>
                    </w:rPr>
                    <w:t xml:space="preserve"> 28</w:t>
                  </w:r>
                  <w:r w:rsidRPr="001D1B80">
                    <w:rPr>
                      <w:lang w:val="en-US"/>
                    </w:rPr>
                    <w:t xml:space="preserve"> (Fig.</w:t>
                  </w:r>
                  <w:r w:rsidRPr="001D1B80">
                    <w:rPr>
                      <w:lang w:val="ca-ES"/>
                    </w:rPr>
                    <w:t xml:space="preserve"> 1B).</w:t>
                  </w:r>
                  <w:r w:rsidRPr="001D1B80">
                    <w:rPr>
                      <w:lang w:val="sl-SI"/>
                    </w:rPr>
                    <w:t xml:space="preserve"> On</w:t>
                  </w:r>
                  <w:r w:rsidRPr="001D1B80">
                    <w:rPr>
                      <w:lang w:val="en-US"/>
                    </w:rPr>
                    <w:t xml:space="preserve"> the contrary,</w:t>
                  </w:r>
                  <w:r w:rsidRPr="001D1B80">
                    <w:rPr>
                      <w:lang w:val="pt-BR"/>
                    </w:rPr>
                    <w:t xml:space="preserve"> for</w:t>
                  </w:r>
                  <w:r w:rsidRPr="001D1B80">
                    <w:rPr>
                      <w:lang w:val="en-US"/>
                    </w:rPr>
                    <w:t xml:space="preserve"> control</w:t>
                  </w:r>
                  <w:r w:rsidRPr="001D1B80">
                    <w:rPr>
                      <w:lang w:val="da-DK"/>
                    </w:rPr>
                    <w:t xml:space="preserve"> and</w:t>
                  </w:r>
                  <w:r w:rsidRPr="001D1B80">
                    <w:rPr>
                      <w:lang w:val="sl-SI"/>
                    </w:rPr>
                    <w:t xml:space="preserve"> to a</w:t>
                  </w:r>
                  <w:r w:rsidRPr="001D1B80">
                    <w:rPr>
                      <w:lang w:val="en-US"/>
                    </w:rPr>
                    <w:t xml:space="preserve"> lesser extent</w:t>
                  </w:r>
                  <w:r w:rsidRPr="001D1B80">
                    <w:rPr>
                      <w:lang w:val="pt-BR"/>
                    </w:rPr>
                    <w:t xml:space="preserve"> for</w:t>
                  </w:r>
                  <w:r w:rsidRPr="001D1B80">
                    <w:rPr>
                      <w:lang w:val="en-US"/>
                    </w:rPr>
                    <w:t xml:space="preserve"> [+nonanoic acid] exposure</w:t>
                  </w:r>
                  <w:r w:rsidRPr="001D1B80">
                    <w:rPr>
                      <w:lang w:val="da-DK"/>
                    </w:rPr>
                    <w:t xml:space="preserve"> tanks, overall</w:t>
                  </w:r>
                  <w:r w:rsidRPr="001D1B80">
                    <w:rPr>
                      <w:lang w:val="en-US"/>
                    </w:rPr>
                    <w:t xml:space="preserve"> cyanobacteria concentrations</w:t>
                  </w:r>
                  <w:r w:rsidRPr="001D1B80">
                    <w:rPr>
                      <w:lang w:val="sl-SI"/>
                    </w:rPr>
                    <w:t xml:space="preserve"> in</w:t>
                  </w:r>
                  <w:r w:rsidRPr="001D1B80">
                    <w:rPr>
                      <w:lang w:val="en-US"/>
                    </w:rPr>
                    <w:t xml:space="preserve"> water kept increasing (Fig.</w:t>
                  </w:r>
                  <w:r w:rsidRPr="001D1B80">
                    <w:rPr>
                      <w:lang w:val="ca-ES"/>
                    </w:rPr>
                    <w:t xml:space="preserve"> 1B)</w:t>
                  </w:r>
                  <w:r w:rsidRPr="001D1B80">
                    <w:rPr>
                      <w:lang w:val="da-DK"/>
                    </w:rPr>
                    <w:t xml:space="preserve"> and</w:t>
                  </w:r>
                  <w:r w:rsidRPr="001D1B80">
                    <w:rPr>
                      <w:lang w:val="en-US"/>
                    </w:rPr>
                    <w:t xml:space="preserve"> temperatures were found</w:t>
                  </w:r>
                  <w:r w:rsidRPr="001D1B80">
                    <w:rPr>
                      <w:lang w:val="sl-SI"/>
                    </w:rPr>
                    <w:t xml:space="preserve"> to</w:t>
                  </w:r>
                  <w:r w:rsidRPr="001D1B80">
                    <w:rPr>
                      <w:lang w:val="en-US"/>
                    </w:rPr>
                    <w:t xml:space="preserve"> be higher during this</w:t>
                  </w:r>
                  <w:r w:rsidRPr="001D1B80">
                    <w:rPr>
                      <w:lang w:val="pt-BR"/>
                    </w:rPr>
                    <w:t xml:space="preserve"> time</w:t>
                  </w:r>
                  <w:r w:rsidRPr="001D1B80">
                    <w:rPr>
                      <w:lang w:val="en-US"/>
                    </w:rPr>
                    <w:t xml:space="preserve"> period (Fig.</w:t>
                  </w:r>
                  <w:r w:rsidRPr="001D1B80">
                    <w:rPr>
                      <w:lang w:val="ca-ES"/>
                    </w:rPr>
                    <w:t xml:space="preserve"> 1A).</w:t>
                  </w:r>
                  <w:r w:rsidRPr="001D1B80">
                    <w:rPr>
                      <w:lang w:val="en-US"/>
                    </w:rPr>
                    <w:t xml:space="preserve"> The highest cyanobacteria concentration was recorded</w:t>
                  </w:r>
                  <w:r w:rsidRPr="001D1B80">
                    <w:rPr>
                      <w:lang w:val="sl-SI"/>
                    </w:rPr>
                    <w:t xml:space="preserve"> in</w:t>
                  </w:r>
                  <w:r w:rsidRPr="001D1B80">
                    <w:rPr>
                      <w:lang w:val="en-US"/>
                    </w:rPr>
                    <w:t xml:space="preserve"> the control group with</w:t>
                  </w:r>
                  <w:r w:rsidRPr="001D1B80">
                    <w:rPr>
                      <w:lang w:val="sl-SI"/>
                    </w:rPr>
                    <w:t xml:space="preserve"> up to</w:t>
                  </w:r>
                  <w:r w:rsidRPr="001D1B80">
                    <w:rPr>
                      <w:lang w:val="ca-ES"/>
                    </w:rPr>
                    <w:t xml:space="preserve"> 8</w:t>
                  </w:r>
                  <w:r w:rsidRPr="001D1B80">
                    <w:rPr>
                      <w:lang w:val="en-US"/>
                    </w:rPr>
                    <w:t xml:space="preserve"> Eıg/L of chlorophyll</w:t>
                  </w:r>
                  <w:r w:rsidRPr="001D1B80">
                    <w:rPr>
                      <w:lang w:val="sl-SI"/>
                    </w:rPr>
                    <w:t xml:space="preserve"> a on</w:t>
                  </w:r>
                  <w:r w:rsidRPr="001D1B80">
                    <w:rPr>
                      <w:lang w:val="en-US"/>
                    </w:rPr>
                    <w:t xml:space="preserve"> average</w:t>
                  </w:r>
                  <w:r w:rsidRPr="001D1B80">
                    <w:rPr>
                      <w:lang w:val="sl-SI"/>
                    </w:rPr>
                    <w:t xml:space="preserve"> on</w:t>
                  </w:r>
                  <w:r w:rsidRPr="001D1B80">
                    <w:rPr>
                      <w:lang w:val="en-US"/>
                    </w:rPr>
                    <w:t xml:space="preserve"> Day</w:t>
                  </w:r>
                  <w:r w:rsidRPr="001D1B80">
                    <w:rPr>
                      <w:lang w:val="ca-ES"/>
                    </w:rPr>
                    <w:t xml:space="preserve"> 28,</w:t>
                  </w:r>
                  <w:r w:rsidRPr="001D1B80">
                    <w:rPr>
                      <w:lang w:val="en-US"/>
                    </w:rPr>
                    <w:t xml:space="preserve"> which was significantly higher (Kruskal–Wallis</w:t>
                  </w:r>
                  <w:r w:rsidRPr="001D1B80">
                    <w:rPr>
                      <w:lang w:val="da-DK"/>
                    </w:rPr>
                    <w:t xml:space="preserve"> p</w:t>
                  </w:r>
                  <w:r w:rsidRPr="001D1B80">
                    <w:rPr>
                      <w:lang w:val="en-US"/>
                    </w:rPr>
                    <w:t xml:space="preserve"> =</w:t>
                  </w:r>
                  <w:r w:rsidRPr="001D1B80">
                    <w:rPr>
                      <w:lang w:val="ca-ES"/>
                    </w:rPr>
                    <w:t xml:space="preserve"> 0.018</w:t>
                  </w:r>
                  <w:r w:rsidRPr="001D1B80">
                    <w:rPr>
                      <w:lang w:val="en-US"/>
                    </w:rPr>
                    <w:t xml:space="preserve"> followed</w:t>
                  </w:r>
                  <w:r w:rsidRPr="001D1B80">
                    <w:rPr>
                      <w:lang w:val="cs-CZ"/>
                    </w:rPr>
                    <w:t xml:space="preserve"> by</w:t>
                  </w:r>
                  <w:r w:rsidRPr="001D1B80">
                    <w:rPr>
                      <w:lang w:val="da-DK"/>
                    </w:rPr>
                    <w:t xml:space="preserve"> Dunn's</w:t>
                  </w:r>
                  <w:r w:rsidRPr="001D1B80">
                    <w:rPr>
                      <w:lang w:val="en-US"/>
                    </w:rPr>
                    <w:t xml:space="preserve"> method</w:t>
                  </w:r>
                  <w:r w:rsidRPr="001D1B80">
                    <w:rPr>
                      <w:lang w:val="da-DK"/>
                    </w:rPr>
                    <w:t xml:space="preserve"> at p</w:t>
                  </w:r>
                  <w:r w:rsidRPr="001D1B80">
                    <w:rPr>
                      <w:lang w:val="en-US"/>
                    </w:rPr>
                    <w:t xml:space="preserve"> &lt;</w:t>
                  </w:r>
                  <w:r w:rsidRPr="001D1B80">
                    <w:rPr>
                      <w:lang w:val="ca-ES"/>
                    </w:rPr>
                    <w:t xml:space="preserve"> 0.05)</w:t>
                  </w:r>
                  <w:r w:rsidRPr="001D1B80">
                    <w:rPr>
                      <w:lang w:val="en-US"/>
                    </w:rPr>
                    <w:t xml:space="preserve"> than that reported</w:t>
                  </w:r>
                  <w:r w:rsidRPr="001D1B80">
                    <w:rPr>
                      <w:lang w:val="sl-SI"/>
                    </w:rPr>
                    <w:t xml:space="preserve"> in</w:t>
                  </w:r>
                  <w:r w:rsidRPr="001D1B80">
                    <w:rPr>
                      <w:lang w:val="en-US"/>
                    </w:rPr>
                    <w:t xml:space="preserve"> [+gallic acid] treated mesocosms</w:t>
                  </w:r>
                  <w:r w:rsidRPr="001D1B80">
                    <w:rPr>
                      <w:lang w:val="ca-ES"/>
                    </w:rPr>
                    <w:t xml:space="preserve"> (0.4</w:t>
                  </w:r>
                  <w:r w:rsidRPr="001D1B80">
                    <w:rPr>
                      <w:lang w:val="en-US"/>
                    </w:rPr>
                    <w:t xml:space="preserve"> ±</w:t>
                  </w:r>
                  <w:r w:rsidRPr="001D1B80">
                    <w:rPr>
                      <w:lang w:val="ca-ES"/>
                    </w:rPr>
                    <w:t xml:space="preserve"> 0.2</w:t>
                  </w:r>
                  <w:r w:rsidRPr="001D1B80">
                    <w:rPr>
                      <w:lang w:val="en-US"/>
                    </w:rPr>
                    <w:t xml:space="preserve"> Eıg chlorophyll a/L) (Fig.</w:t>
                  </w:r>
                  <w:r w:rsidRPr="001D1B80">
                    <w:rPr>
                      <w:lang w:val="ca-ES"/>
                    </w:rPr>
                    <w:t xml:space="preserve"> 1B).</w:t>
                  </w:r>
                </w:p>
                <w:p w:rsidR="006F2346" w:rsidRPr="001D1B80" w:rsidRDefault="006F2346" w:rsidP="001D1B80">
                  <w:pPr>
                    <w:pStyle w:val="Partie"/>
                    <w:rPr>
                      <w:lang w:val="en-US"/>
                    </w:rPr>
                  </w:pPr>
                  <w:r w:rsidRPr="001D1B80">
                    <w:rPr>
                      <w:lang w:val="en-US"/>
                    </w:rPr>
                    <w:t>Regarding</w:t>
                  </w:r>
                  <w:r w:rsidRPr="001D1B80">
                    <w:rPr>
                      <w:lang w:val="da-DK"/>
                    </w:rPr>
                    <w:t xml:space="preserve"> green</w:t>
                  </w:r>
                  <w:r w:rsidRPr="001D1B80">
                    <w:rPr>
                      <w:lang w:val="en-US"/>
                    </w:rPr>
                    <w:t xml:space="preserve"> algae growth (Fig.</w:t>
                  </w:r>
                  <w:r w:rsidRPr="001D1B80">
                    <w:rPr>
                      <w:lang w:val="ca-ES"/>
                    </w:rPr>
                    <w:t xml:space="preserve"> 1C),</w:t>
                  </w:r>
                  <w:r w:rsidRPr="001D1B80">
                    <w:rPr>
                      <w:lang w:val="en-US"/>
                    </w:rPr>
                    <w:t xml:space="preserve"> changes</w:t>
                  </w:r>
                  <w:r w:rsidRPr="001D1B80">
                    <w:rPr>
                      <w:lang w:val="sl-SI"/>
                    </w:rPr>
                    <w:t xml:space="preserve"> in</w:t>
                  </w:r>
                  <w:r w:rsidRPr="001D1B80">
                    <w:rPr>
                      <w:lang w:val="en-US"/>
                    </w:rPr>
                    <w:t xml:space="preserve"> biomass were quite similar</w:t>
                  </w:r>
                  <w:r w:rsidRPr="001D1B80">
                    <w:rPr>
                      <w:lang w:val="sl-SI"/>
                    </w:rPr>
                    <w:t xml:space="preserve"> in</w:t>
                  </w:r>
                  <w:r w:rsidRPr="001D1B80">
                    <w:rPr>
                      <w:lang w:val="da-DK"/>
                    </w:rPr>
                    <w:t xml:space="preserve"> all</w:t>
                  </w:r>
                  <w:r w:rsidRPr="001D1B80">
                    <w:rPr>
                      <w:lang w:val="en-US"/>
                    </w:rPr>
                    <w:t xml:space="preserve"> treatment</w:t>
                  </w:r>
                  <w:r w:rsidRPr="001D1B80">
                    <w:rPr>
                      <w:lang w:val="da-DK"/>
                    </w:rPr>
                    <w:t xml:space="preserve"> types</w:t>
                  </w:r>
                  <w:r w:rsidRPr="001D1B80">
                    <w:rPr>
                      <w:lang w:val="en-US"/>
                    </w:rPr>
                    <w:t xml:space="preserve"> including the control group, mainly reflecting temperature variations (Fig.</w:t>
                  </w:r>
                  <w:r w:rsidRPr="001D1B80">
                    <w:rPr>
                      <w:lang w:val="ca-ES"/>
                    </w:rPr>
                    <w:t xml:space="preserve"> 1A).</w:t>
                  </w:r>
                  <w:r w:rsidRPr="001D1B80">
                    <w:rPr>
                      <w:lang w:val="sl-SI"/>
                    </w:rPr>
                    <w:t xml:space="preserve"> Major</w:t>
                  </w:r>
                  <w:r w:rsidRPr="001D1B80">
                    <w:rPr>
                      <w:lang w:val="en-US"/>
                    </w:rPr>
                    <w:t xml:space="preserve"> differences between mesocosms were reported</w:t>
                  </w:r>
                  <w:r w:rsidRPr="001D1B80">
                    <w:rPr>
                      <w:lang w:val="da-DK"/>
                    </w:rPr>
                    <w:t xml:space="preserve"> at</w:t>
                  </w:r>
                  <w:r w:rsidRPr="001D1B80">
                    <w:rPr>
                      <w:lang w:val="en-US"/>
                    </w:rPr>
                    <w:t xml:space="preserve"> the</w:t>
                  </w:r>
                  <w:r w:rsidRPr="001D1B80">
                    <w:rPr>
                      <w:lang w:val="da-DK"/>
                    </w:rPr>
                    <w:t xml:space="preserve"> end</w:t>
                  </w:r>
                  <w:r w:rsidRPr="001D1B80">
                    <w:rPr>
                      <w:lang w:val="en-US"/>
                    </w:rPr>
                    <w:t xml:space="preserve"> of the experiments with higher</w:t>
                  </w:r>
                  <w:r w:rsidRPr="001D1B80">
                    <w:rPr>
                      <w:lang w:val="da-DK"/>
                    </w:rPr>
                    <w:t xml:space="preserve"> green</w:t>
                  </w:r>
                  <w:r w:rsidRPr="001D1B80">
                    <w:rPr>
                      <w:lang w:val="en-US"/>
                    </w:rPr>
                    <w:t xml:space="preserve"> algae concentrations</w:t>
                  </w:r>
                  <w:r w:rsidRPr="001D1B80">
                    <w:rPr>
                      <w:lang w:val="pt-BR"/>
                    </w:rPr>
                    <w:t xml:space="preserve"> for</w:t>
                  </w:r>
                  <w:r w:rsidRPr="001D1B80">
                    <w:rPr>
                      <w:lang w:val="en-US"/>
                    </w:rPr>
                    <w:t xml:space="preserve"> the two experimental modalities using gallic acid (i.e. [+gallic acid]</w:t>
                  </w:r>
                  <w:r w:rsidRPr="001D1B80">
                    <w:rPr>
                      <w:lang w:val="da-DK"/>
                    </w:rPr>
                    <w:t xml:space="preserve"> and</w:t>
                  </w:r>
                  <w:r w:rsidRPr="001D1B80">
                    <w:rPr>
                      <w:lang w:val="en-US"/>
                    </w:rPr>
                    <w:t xml:space="preserve"> [+gallic acid + nonanoic acid] mesocosms). The relative amounts</w:t>
                  </w:r>
                  <w:r w:rsidRPr="001D1B80">
                    <w:rPr>
                      <w:lang w:val="ca-ES"/>
                    </w:rPr>
                    <w:t xml:space="preserve"> (14</w:t>
                  </w:r>
                  <w:r w:rsidRPr="001D1B80">
                    <w:rPr>
                      <w:lang w:val="en-US"/>
                    </w:rPr>
                    <w:t xml:space="preserve"> Eıg chlorophyll a/L) were thus significantly greater</w:t>
                  </w:r>
                  <w:r w:rsidRPr="001D1B80">
                    <w:rPr>
                      <w:lang w:val="sl-SI"/>
                    </w:rPr>
                    <w:t xml:space="preserve"> in</w:t>
                  </w:r>
                  <w:r w:rsidRPr="001D1B80">
                    <w:rPr>
                      <w:lang w:val="en-US"/>
                    </w:rPr>
                    <w:t xml:space="preserve"> [+gallic acid + nonanoic acid] mesocosms com</w:t>
                  </w:r>
                  <w:r w:rsidRPr="001D1B80">
                    <w:rPr>
                      <w:lang w:val="en-US"/>
                    </w:rPr>
                    <w:softHyphen/>
                    <w:t>pared</w:t>
                  </w:r>
                  <w:r w:rsidRPr="001D1B80">
                    <w:rPr>
                      <w:lang w:val="sl-SI"/>
                    </w:rPr>
                    <w:t xml:space="preserve"> to</w:t>
                  </w:r>
                  <w:r w:rsidRPr="001D1B80">
                    <w:rPr>
                      <w:lang w:val="en-US"/>
                    </w:rPr>
                    <w:t xml:space="preserve"> control</w:t>
                  </w:r>
                  <w:r w:rsidRPr="001D1B80">
                    <w:rPr>
                      <w:lang w:val="ca-ES"/>
                    </w:rPr>
                    <w:t xml:space="preserve"> (4.6</w:t>
                  </w:r>
                  <w:r w:rsidRPr="001D1B80">
                    <w:rPr>
                      <w:lang w:val="en-US"/>
                    </w:rPr>
                    <w:t xml:space="preserve"> Eıg chlorophyll a/L)</w:t>
                  </w:r>
                  <w:r w:rsidRPr="001D1B80">
                    <w:rPr>
                      <w:lang w:val="da-DK"/>
                    </w:rPr>
                    <w:t xml:space="preserve"> and</w:t>
                  </w:r>
                  <w:r w:rsidRPr="001D1B80">
                    <w:rPr>
                      <w:lang w:val="en-US"/>
                    </w:rPr>
                    <w:t xml:space="preserve"> [+ nonanoic acid] ones</w:t>
                  </w:r>
                  <w:r w:rsidRPr="001D1B80">
                    <w:rPr>
                      <w:lang w:val="ca-ES"/>
                    </w:rPr>
                    <w:t xml:space="preserve"> (2.9</w:t>
                  </w:r>
                  <w:r w:rsidRPr="001D1B80">
                    <w:rPr>
                      <w:lang w:val="en-US"/>
                    </w:rPr>
                    <w:t xml:space="preserve"> Eıg chlorophyll a/L) (Fig.</w:t>
                  </w:r>
                  <w:r w:rsidRPr="001D1B80">
                    <w:rPr>
                      <w:lang w:val="ca-ES"/>
                    </w:rPr>
                    <w:t xml:space="preserve"> 1C).</w:t>
                  </w:r>
                  <w:r w:rsidRPr="001D1B80">
                    <w:rPr>
                      <w:lang w:val="en-US"/>
                    </w:rPr>
                    <w:t xml:space="preserve"> It</w:t>
                  </w:r>
                  <w:r w:rsidRPr="001D1B80">
                    <w:rPr>
                      <w:lang w:val="pt-BR"/>
                    </w:rPr>
                    <w:t xml:space="preserve"> is</w:t>
                  </w:r>
                  <w:r w:rsidRPr="001D1B80">
                    <w:rPr>
                      <w:lang w:val="en-US"/>
                    </w:rPr>
                    <w:t xml:space="preserve"> worth noting that the latter find</w:t>
                  </w:r>
                  <w:r w:rsidRPr="001D1B80">
                    <w:rPr>
                      <w:lang w:val="en-US"/>
                    </w:rPr>
                    <w:softHyphen/>
                    <w:t>ings were the opposite of what was previously mentioned</w:t>
                  </w:r>
                  <w:r w:rsidRPr="001D1B80">
                    <w:rPr>
                      <w:lang w:val="pt-BR"/>
                    </w:rPr>
                    <w:t xml:space="preserve"> for</w:t>
                  </w:r>
                  <w:r w:rsidRPr="001D1B80">
                    <w:rPr>
                      <w:lang w:val="en-US"/>
                    </w:rPr>
                    <w:t xml:space="preserve"> cyanobacteria biomass (Fig.</w:t>
                  </w:r>
                  <w:r w:rsidRPr="001D1B80">
                    <w:rPr>
                      <w:lang w:val="ca-ES"/>
                    </w:rPr>
                    <w:t xml:space="preserve"> 1B).</w:t>
                  </w:r>
                </w:p>
                <w:p w:rsidR="00951155" w:rsidRPr="001D1B80" w:rsidRDefault="006F2346" w:rsidP="001D1B80">
                  <w:pPr>
                    <w:pStyle w:val="Partie"/>
                    <w:rPr>
                      <w:lang w:val="en-US"/>
                    </w:rPr>
                  </w:pPr>
                  <w:r w:rsidRPr="001D1B80">
                    <w:rPr>
                      <w:lang w:val="en-US"/>
                    </w:rPr>
                    <w:t>Finally, brown algae (Fig.</w:t>
                  </w:r>
                  <w:r w:rsidRPr="001D1B80">
                    <w:rPr>
                      <w:lang w:val="ca-ES"/>
                    </w:rPr>
                    <w:t xml:space="preserve"> 1D)</w:t>
                  </w:r>
                  <w:r w:rsidRPr="001D1B80">
                    <w:rPr>
                      <w:lang w:val="da-DK"/>
                    </w:rPr>
                    <w:t xml:space="preserve"> and</w:t>
                  </w:r>
                  <w:r w:rsidRPr="001D1B80">
                    <w:rPr>
                      <w:lang w:val="sl-SI"/>
                    </w:rPr>
                    <w:t xml:space="preserve"> to a</w:t>
                  </w:r>
                  <w:r w:rsidRPr="001D1B80">
                    <w:rPr>
                      <w:lang w:val="en-US"/>
                    </w:rPr>
                    <w:t xml:space="preserve"> lesser extent cryptophyceae (Fig.</w:t>
                  </w:r>
                  <w:r w:rsidRPr="001D1B80">
                    <w:rPr>
                      <w:lang w:val="ca-ES"/>
                    </w:rPr>
                    <w:t xml:space="preserve"> 1E)</w:t>
                  </w:r>
                  <w:r w:rsidRPr="001D1B80">
                    <w:rPr>
                      <w:lang w:val="en-US"/>
                    </w:rPr>
                    <w:t xml:space="preserve"> growth profiles were also similar</w:t>
                  </w:r>
                  <w:r w:rsidRPr="001D1B80">
                    <w:rPr>
                      <w:lang w:val="sl-SI"/>
                    </w:rPr>
                    <w:t xml:space="preserve"> to</w:t>
                  </w:r>
                  <w:r w:rsidRPr="001D1B80">
                    <w:rPr>
                      <w:lang w:val="en-US"/>
                    </w:rPr>
                    <w:t xml:space="preserve"> those of</w:t>
                  </w:r>
                  <w:r w:rsidRPr="001D1B80">
                    <w:rPr>
                      <w:lang w:val="da-DK"/>
                    </w:rPr>
                    <w:t xml:space="preserve"> green</w:t>
                  </w:r>
                  <w:r w:rsidRPr="001D1B80">
                    <w:rPr>
                      <w:lang w:val="en-US"/>
                    </w:rPr>
                    <w:t xml:space="preserve"> algae (Fig.</w:t>
                  </w:r>
                  <w:r w:rsidRPr="001D1B80">
                    <w:rPr>
                      <w:lang w:val="ca-ES"/>
                    </w:rPr>
                    <w:t xml:space="preserve"> 1C)</w:t>
                  </w:r>
                  <w:r w:rsidRPr="001D1B80">
                    <w:rPr>
                      <w:lang w:val="sl-SI"/>
                    </w:rPr>
                    <w:t xml:space="preserve"> in</w:t>
                  </w:r>
                  <w:r w:rsidRPr="001D1B80">
                    <w:rPr>
                      <w:lang w:val="en-US"/>
                    </w:rPr>
                    <w:t xml:space="preserve"> terms of biomass variation following temperature changes during the</w:t>
                  </w:r>
                  <w:r w:rsidRPr="001D1B80">
                    <w:rPr>
                      <w:lang w:val="sl-SI"/>
                    </w:rPr>
                    <w:t xml:space="preserve"> same</w:t>
                  </w:r>
                  <w:r w:rsidRPr="001D1B80">
                    <w:rPr>
                      <w:lang w:val="pt-BR"/>
                    </w:rPr>
                    <w:t xml:space="preserve"> time</w:t>
                  </w:r>
                  <w:r w:rsidRPr="001D1B80">
                    <w:rPr>
                      <w:lang w:val="en-US"/>
                    </w:rPr>
                    <w:t xml:space="preserve"> period. Besides,</w:t>
                  </w:r>
                  <w:r w:rsidRPr="001D1B80">
                    <w:rPr>
                      <w:lang w:val="da-DK"/>
                    </w:rPr>
                    <w:t xml:space="preserve"> at</w:t>
                  </w:r>
                  <w:r w:rsidRPr="001D1B80">
                    <w:rPr>
                      <w:lang w:val="en-US"/>
                    </w:rPr>
                    <w:t xml:space="preserve"> the</w:t>
                  </w:r>
                  <w:r w:rsidRPr="001D1B80">
                    <w:rPr>
                      <w:lang w:val="da-DK"/>
                    </w:rPr>
                    <w:t xml:space="preserve"> end</w:t>
                  </w:r>
                  <w:r w:rsidRPr="001D1B80">
                    <w:rPr>
                      <w:lang w:val="en-US"/>
                    </w:rPr>
                    <w:t xml:space="preserve"> of the </w:t>
                  </w:r>
                  <w:proofErr w:type="gramStart"/>
                  <w:r w:rsidRPr="001D1B80">
                    <w:rPr>
                      <w:lang w:val="en-US"/>
                    </w:rPr>
                    <w:t>experiments</w:t>
                  </w:r>
                  <w:proofErr w:type="gramEnd"/>
                  <w:r w:rsidRPr="001D1B80">
                    <w:rPr>
                      <w:lang w:val="en-US"/>
                    </w:rPr>
                    <w:t xml:space="preserve"> higher concentrations of brown algae</w:t>
                  </w:r>
                  <w:r w:rsidRPr="001D1B80">
                    <w:rPr>
                      <w:lang w:val="da-DK"/>
                    </w:rPr>
                    <w:t xml:space="preserve"> and</w:t>
                  </w:r>
                  <w:r w:rsidRPr="001D1B80">
                    <w:rPr>
                      <w:lang w:val="en-US"/>
                    </w:rPr>
                    <w:t xml:space="preserve"> cryptophyceae were also measured</w:t>
                  </w:r>
                  <w:r w:rsidRPr="001D1B80">
                    <w:rPr>
                      <w:lang w:val="sl-SI"/>
                    </w:rPr>
                    <w:t xml:space="preserve"> in</w:t>
                  </w:r>
                  <w:r w:rsidRPr="001D1B80">
                    <w:rPr>
                      <w:lang w:val="en-US"/>
                    </w:rPr>
                    <w:t xml:space="preserve"> [+gallic acid]</w:t>
                  </w:r>
                  <w:r w:rsidRPr="001D1B80">
                    <w:rPr>
                      <w:lang w:val="da-DK"/>
                    </w:rPr>
                    <w:t xml:space="preserve"> and</w:t>
                  </w:r>
                  <w:r w:rsidRPr="001D1B80">
                    <w:rPr>
                      <w:lang w:val="en-US"/>
                    </w:rPr>
                    <w:t xml:space="preserve"> [+gallic acid + nonanoic acid] treated mesocosms when compared</w:t>
                  </w:r>
                  <w:r w:rsidRPr="001D1B80">
                    <w:rPr>
                      <w:lang w:val="sl-SI"/>
                    </w:rPr>
                    <w:t xml:space="preserve"> to</w:t>
                  </w:r>
                  <w:r w:rsidRPr="001D1B80">
                    <w:rPr>
                      <w:lang w:val="en-US"/>
                    </w:rPr>
                    <w:t xml:space="preserve"> control</w:t>
                  </w:r>
                  <w:r w:rsidRPr="001D1B80">
                    <w:rPr>
                      <w:lang w:val="da-DK"/>
                    </w:rPr>
                    <w:t xml:space="preserve"> and</w:t>
                  </w:r>
                  <w:r w:rsidRPr="001D1B80">
                    <w:rPr>
                      <w:lang w:val="en-US"/>
                    </w:rPr>
                    <w:t xml:space="preserve"> [+nonanoic acid] exposure</w:t>
                  </w:r>
                  <w:r w:rsidRPr="001D1B80">
                    <w:rPr>
                      <w:lang w:val="da-DK"/>
                    </w:rPr>
                    <w:t xml:space="preserve"> tanks</w:t>
                  </w:r>
                  <w:r w:rsidRPr="001D1B80">
                    <w:rPr>
                      <w:lang w:val="en-US"/>
                    </w:rPr>
                    <w:t xml:space="preserve"> (Fig.</w:t>
                  </w:r>
                  <w:r w:rsidRPr="001D1B80">
                    <w:rPr>
                      <w:lang w:val="ca-ES"/>
                    </w:rPr>
                    <w:t xml:space="preserve"> 1D,</w:t>
                  </w:r>
                  <w:r w:rsidRPr="001D1B80">
                    <w:rPr>
                      <w:lang w:val="pt-BR"/>
                    </w:rPr>
                    <w:t xml:space="preserve"> E).</w:t>
                  </w:r>
                </w:p>
              </w:sdtContent>
            </w:sdt>
          </w:sdtContent>
        </w:sdt>
        <w:sdt>
          <w:sdtPr>
            <w:rPr>
              <w:b w:val="0"/>
              <w:bCs w:val="0"/>
              <w:sz w:val="20"/>
              <w:szCs w:val="20"/>
            </w:rPr>
            <w:id w:val="1275292561"/>
            <w:placeholder>
              <w:docPart w:val="8D16B3AA2E56432892C6B0FE3968F7AB"/>
            </w:placeholder>
            <w15:repeatingSectionItem/>
          </w:sdtPr>
          <w:sdtEndPr>
            <w:rPr>
              <w:b/>
              <w:bCs/>
              <w:sz w:val="24"/>
              <w:szCs w:val="24"/>
            </w:rPr>
          </w:sdtEndPr>
          <w:sdtContent>
            <w:p w:rsidR="00951155" w:rsidRPr="001D1B80" w:rsidRDefault="00D27E5B" w:rsidP="00AB5FF5">
              <w:pPr>
                <w:pStyle w:val="SousTitrePartieArticle"/>
              </w:pPr>
              <w:sdt>
                <w:sdtPr>
                  <w:rPr>
                    <w:lang w:val="en-US"/>
                  </w:rPr>
                  <w:id w:val="-371769763"/>
                  <w:placeholder>
                    <w:docPart w:val="9E7B9BE299104E179CA29782FB505C8A"/>
                  </w:placeholder>
                  <w:text/>
                </w:sdtPr>
                <w:sdtEndPr/>
                <w:sdtContent>
                  <w:r w:rsidR="006F2346" w:rsidRPr="006F69DE">
                    <w:rPr>
                      <w:lang w:val="en-US"/>
                    </w:rPr>
                    <w:t>Biomarker evaluation of non-target higher organism species</w:t>
                  </w:r>
                </w:sdtContent>
              </w:sdt>
              <w:r w:rsidR="00951155" w:rsidRPr="006F69DE">
                <w:rPr>
                  <w:lang w:val="en-US"/>
                </w:rPr>
                <w:tab/>
              </w:r>
            </w:p>
          </w:sdtContent>
        </w:sdt>
        <w:sdt>
          <w:sdtPr>
            <w:rPr>
              <w:b w:val="0"/>
              <w:bCs w:val="0"/>
              <w:sz w:val="20"/>
              <w:szCs w:val="20"/>
            </w:rPr>
            <w:id w:val="-1749725699"/>
            <w:placeholder>
              <w:docPart w:val="ECE86BEB849747CBA4BFDC2694871C7B"/>
            </w:placeholder>
            <w15:repeatingSectionItem/>
          </w:sdtPr>
          <w:sdtEndPr/>
          <w:sdtContent>
            <w:p w:rsidR="004B6146" w:rsidRPr="001D1B80" w:rsidRDefault="00D27E5B" w:rsidP="001D1B80">
              <w:pPr>
                <w:pStyle w:val="SousSousTitrePartieArticle"/>
                <w:rPr>
                  <w:lang w:val="en-US"/>
                </w:rPr>
              </w:pPr>
              <w:sdt>
                <w:sdtPr>
                  <w:id w:val="634757840"/>
                  <w:placeholder>
                    <w:docPart w:val="DBB0C2E16D9A44D6A7ED475268DA9427"/>
                  </w:placeholder>
                  <w:text/>
                </w:sdtPr>
                <w:sdtEndPr/>
                <w:sdtContent>
                  <w:r w:rsidR="004B6146" w:rsidRPr="001D1B80">
                    <w:t>Physa</w:t>
                  </w:r>
                </w:sdtContent>
              </w:sdt>
              <w:r w:rsidR="004B6146" w:rsidRPr="001D1B80">
                <w:rPr>
                  <w:lang w:val="en-US"/>
                </w:rPr>
                <w:tab/>
              </w:r>
            </w:p>
            <w:sdt>
              <w:sdtPr>
                <w:id w:val="1821005200"/>
                <w:placeholder>
                  <w:docPart w:val="E84340F236AA48BF866F5B477C1CE5F6"/>
                </w:placeholder>
              </w:sdtPr>
              <w:sdtEndPr/>
              <w:sdtContent>
                <w:p w:rsidR="004B6146" w:rsidRPr="001D1B80" w:rsidRDefault="004B6146" w:rsidP="001D1B80">
                  <w:pPr>
                    <w:pStyle w:val="Partie"/>
                    <w:rPr>
                      <w:lang w:val="en-US"/>
                    </w:rPr>
                  </w:pPr>
                  <w:r w:rsidRPr="001D1B80">
                    <w:rPr>
                      <w:lang w:val="sl-SI"/>
                    </w:rPr>
                    <w:t>As</w:t>
                  </w:r>
                  <w:r w:rsidRPr="001D1B80">
                    <w:rPr>
                      <w:lang w:val="en-US"/>
                    </w:rPr>
                    <w:t xml:space="preserve"> reported</w:t>
                  </w:r>
                  <w:r w:rsidRPr="001D1B80">
                    <w:rPr>
                      <w:lang w:val="sl-SI"/>
                    </w:rPr>
                    <w:t xml:space="preserve"> in</w:t>
                  </w:r>
                  <w:r w:rsidRPr="001D1B80">
                    <w:rPr>
                      <w:lang w:val="en-US"/>
                    </w:rPr>
                    <w:t xml:space="preserve"> Fig.</w:t>
                  </w:r>
                  <w:r w:rsidRPr="001D1B80">
                    <w:rPr>
                      <w:lang w:val="ca-ES"/>
                    </w:rPr>
                    <w:t xml:space="preserve"> 2A</w:t>
                  </w:r>
                  <w:r w:rsidRPr="001D1B80">
                    <w:rPr>
                      <w:lang w:val="da-DK"/>
                    </w:rPr>
                    <w:t xml:space="preserve"> and</w:t>
                  </w:r>
                  <w:r w:rsidRPr="001D1B80">
                    <w:rPr>
                      <w:lang w:val="sl-SI"/>
                    </w:rPr>
                    <w:t xml:space="preserve"> C, no</w:t>
                  </w:r>
                  <w:r w:rsidRPr="001D1B80">
                    <w:rPr>
                      <w:lang w:val="en-US"/>
                    </w:rPr>
                    <w:t xml:space="preserve"> significant variations were found either</w:t>
                  </w:r>
                  <w:r w:rsidRPr="001D1B80">
                    <w:rPr>
                      <w:lang w:val="sl-SI"/>
                    </w:rPr>
                    <w:t xml:space="preserve"> in</w:t>
                  </w:r>
                  <w:r w:rsidRPr="001D1B80">
                    <w:rPr>
                      <w:lang w:val="en-US"/>
                    </w:rPr>
                    <w:t xml:space="preserve"> LDH</w:t>
                  </w:r>
                  <w:r w:rsidRPr="001D1B80">
                    <w:rPr>
                      <w:lang w:val="sl-SI"/>
                    </w:rPr>
                    <w:t xml:space="preserve"> or in</w:t>
                  </w:r>
                  <w:r w:rsidRPr="001D1B80">
                    <w:rPr>
                      <w:lang w:val="de-DE"/>
                    </w:rPr>
                    <w:t xml:space="preserve"> GST</w:t>
                  </w:r>
                  <w:r w:rsidRPr="001D1B80">
                    <w:rPr>
                      <w:lang w:val="en-US"/>
                    </w:rPr>
                    <w:t xml:space="preserve"> activities</w:t>
                  </w:r>
                  <w:r w:rsidRPr="001D1B80">
                    <w:rPr>
                      <w:lang w:val="sl-SI"/>
                    </w:rPr>
                    <w:t xml:space="preserve"> in</w:t>
                  </w:r>
                  <w:r w:rsidRPr="001D1B80">
                    <w:rPr>
                      <w:lang w:val="en-US"/>
                    </w:rPr>
                    <w:t xml:space="preserve"> Physa collected from [+ gallic], [+ nonanoic acid],</w:t>
                  </w:r>
                  <w:r w:rsidRPr="001D1B80">
                    <w:rPr>
                      <w:lang w:val="sl-SI"/>
                    </w:rPr>
                    <w:t xml:space="preserve"> or</w:t>
                  </w:r>
                  <w:r w:rsidRPr="001D1B80">
                    <w:rPr>
                      <w:lang w:val="en-US"/>
                    </w:rPr>
                    <w:t xml:space="preserve"> [+ gallic acid + nonanoic acid] treated mesocosms.</w:t>
                  </w:r>
                  <w:r w:rsidRPr="001D1B80">
                    <w:rPr>
                      <w:lang w:val="cs-CZ"/>
                    </w:rPr>
                    <w:t xml:space="preserve"> By</w:t>
                  </w:r>
                  <w:r w:rsidRPr="001D1B80">
                    <w:rPr>
                      <w:lang w:val="en-US"/>
                    </w:rPr>
                    <w:t xml:space="preserve"> contrast,</w:t>
                  </w:r>
                  <w:r w:rsidRPr="001D1B80">
                    <w:rPr>
                      <w:lang w:val="sl-SI"/>
                    </w:rPr>
                    <w:t xml:space="preserve"> a</w:t>
                  </w:r>
                  <w:r w:rsidRPr="001D1B80">
                    <w:rPr>
                      <w:lang w:val="en-US"/>
                    </w:rPr>
                    <w:t xml:space="preserve"> significant decrease</w:t>
                  </w:r>
                  <w:r w:rsidRPr="001D1B80">
                    <w:rPr>
                      <w:lang w:val="sl-SI"/>
                    </w:rPr>
                    <w:t xml:space="preserve"> in</w:t>
                  </w:r>
                  <w:r w:rsidRPr="001D1B80">
                    <w:rPr>
                      <w:lang w:val="en-US"/>
                    </w:rPr>
                    <w:t xml:space="preserve"> GPx activity was noted</w:t>
                  </w:r>
                  <w:r w:rsidRPr="001D1B80">
                    <w:rPr>
                      <w:lang w:val="sl-SI"/>
                    </w:rPr>
                    <w:t xml:space="preserve"> in</w:t>
                  </w:r>
                  <w:r w:rsidRPr="001D1B80">
                    <w:rPr>
                      <w:lang w:val="en-US"/>
                    </w:rPr>
                    <w:t xml:space="preserve"> specimens from the mesocosms previously subjected</w:t>
                  </w:r>
                  <w:r w:rsidRPr="001D1B80">
                    <w:rPr>
                      <w:lang w:val="sl-SI"/>
                    </w:rPr>
                    <w:t xml:space="preserve"> to</w:t>
                  </w:r>
                  <w:r w:rsidRPr="001D1B80">
                    <w:rPr>
                      <w:lang w:val="en-US"/>
                    </w:rPr>
                    <w:t xml:space="preserve"> [+ gallic acid + nonanoic acid] allelopathic treatment compared</w:t>
                  </w:r>
                  <w:r w:rsidRPr="001D1B80">
                    <w:rPr>
                      <w:lang w:val="sl-SI"/>
                    </w:rPr>
                    <w:t xml:space="preserve"> to</w:t>
                  </w:r>
                  <w:r w:rsidRPr="001D1B80">
                    <w:rPr>
                      <w:lang w:val="en-US"/>
                    </w:rPr>
                    <w:t xml:space="preserve"> those from the control group,</w:t>
                  </w:r>
                  <w:r w:rsidRPr="001D1B80">
                    <w:rPr>
                      <w:lang w:val="sl-SI"/>
                    </w:rPr>
                    <w:t xml:space="preserve"> in</w:t>
                  </w:r>
                  <w:r w:rsidRPr="001D1B80">
                    <w:rPr>
                      <w:lang w:val="en-US"/>
                    </w:rPr>
                    <w:t xml:space="preserve"> the</w:t>
                  </w:r>
                  <w:r w:rsidRPr="001D1B80">
                    <w:rPr>
                      <w:lang w:val="sl-SI"/>
                    </w:rPr>
                    <w:t xml:space="preserve"> range</w:t>
                  </w:r>
                  <w:r w:rsidRPr="001D1B80">
                    <w:rPr>
                      <w:lang w:val="en-US"/>
                    </w:rPr>
                    <w:t xml:space="preserve"> of</w:t>
                  </w:r>
                  <w:r w:rsidRPr="001D1B80">
                    <w:rPr>
                      <w:lang w:val="ca-ES"/>
                    </w:rPr>
                    <w:t xml:space="preserve"> 6.0</w:t>
                  </w:r>
                  <w:r w:rsidRPr="001D1B80">
                    <w:rPr>
                      <w:lang w:val="en-US"/>
                    </w:rPr>
                    <w:t xml:space="preserve"> ±</w:t>
                  </w:r>
                  <w:r w:rsidRPr="001D1B80">
                    <w:rPr>
                      <w:lang w:val="ca-ES"/>
                    </w:rPr>
                    <w:t xml:space="preserve"> 0.6</w:t>
                  </w:r>
                  <w:r w:rsidRPr="001D1B80">
                    <w:rPr>
                      <w:lang w:val="en-US"/>
                    </w:rPr>
                    <w:t xml:space="preserve"> vs</w:t>
                  </w:r>
                  <w:r w:rsidRPr="001D1B80">
                    <w:rPr>
                      <w:lang w:val="ca-ES"/>
                    </w:rPr>
                    <w:t xml:space="preserve"> 9.3</w:t>
                  </w:r>
                  <w:r w:rsidRPr="001D1B80">
                    <w:rPr>
                      <w:lang w:val="en-US"/>
                    </w:rPr>
                    <w:t xml:space="preserve"> ±</w:t>
                  </w:r>
                  <w:r w:rsidRPr="001D1B80">
                    <w:rPr>
                      <w:lang w:val="ca-ES"/>
                    </w:rPr>
                    <w:t xml:space="preserve"> 0.8</w:t>
                  </w:r>
                  <w:r w:rsidRPr="001D1B80">
                    <w:rPr>
                      <w:lang w:val="pl-PL"/>
                    </w:rPr>
                    <w:t xml:space="preserve"> U/mg</w:t>
                  </w:r>
                  <w:r w:rsidRPr="001D1B80">
                    <w:rPr>
                      <w:lang w:val="en-US"/>
                    </w:rPr>
                    <w:t xml:space="preserve"> proteins, respectively (Fig.</w:t>
                  </w:r>
                  <w:r w:rsidRPr="001D1B80">
                    <w:rPr>
                      <w:lang w:val="ca-ES"/>
                    </w:rPr>
                    <w:t xml:space="preserve"> 2B).</w:t>
                  </w:r>
                </w:p>
              </w:sdtContent>
            </w:sdt>
          </w:sdtContent>
        </w:sdt>
        <w:sdt>
          <w:sdtPr>
            <w:rPr>
              <w:b w:val="0"/>
              <w:bCs w:val="0"/>
              <w:sz w:val="20"/>
              <w:szCs w:val="20"/>
            </w:rPr>
            <w:id w:val="-1026397441"/>
            <w:placeholder>
              <w:docPart w:val="8D277A16F70645278B8316AC6AF13F0A"/>
            </w:placeholder>
            <w15:repeatingSectionItem/>
          </w:sdtPr>
          <w:sdtEndPr/>
          <w:sdtContent>
            <w:p w:rsidR="00095C09" w:rsidRPr="001D1B80" w:rsidRDefault="00D27E5B" w:rsidP="001D1B80">
              <w:pPr>
                <w:pStyle w:val="SousSousTitrePartieArticle"/>
                <w:rPr>
                  <w:lang w:val="en-US"/>
                </w:rPr>
              </w:pPr>
              <w:sdt>
                <w:sdtPr>
                  <w:id w:val="307747357"/>
                  <w:placeholder>
                    <w:docPart w:val="BC089BAAB78049E3909CBCA072B86CBF"/>
                  </w:placeholder>
                  <w:text/>
                </w:sdtPr>
                <w:sdtEndPr/>
                <w:sdtContent>
                  <w:r w:rsidR="00095C09" w:rsidRPr="001D1B80">
                    <w:t>Lymnaea</w:t>
                  </w:r>
                </w:sdtContent>
              </w:sdt>
              <w:r w:rsidR="00095C09" w:rsidRPr="001D1B80">
                <w:rPr>
                  <w:lang w:val="en-US"/>
                </w:rPr>
                <w:tab/>
              </w:r>
            </w:p>
            <w:sdt>
              <w:sdtPr>
                <w:id w:val="73632141"/>
                <w:placeholder>
                  <w:docPart w:val="32DF80E11B1349959D1F9DA31AFB0D1C"/>
                </w:placeholder>
              </w:sdtPr>
              <w:sdtEndPr/>
              <w:sdtContent>
                <w:p w:rsidR="006F69DE" w:rsidRDefault="00095C09" w:rsidP="001D1B80">
                  <w:pPr>
                    <w:pStyle w:val="Partie"/>
                    <w:rPr>
                      <w:lang w:val="ca-ES"/>
                    </w:rPr>
                  </w:pPr>
                  <w:r w:rsidRPr="001D1B80">
                    <w:rPr>
                      <w:lang w:val="en-US"/>
                    </w:rPr>
                    <w:t>Only</w:t>
                  </w:r>
                  <w:r w:rsidRPr="001D1B80">
                    <w:rPr>
                      <w:lang w:val="sl-SI"/>
                    </w:rPr>
                    <w:t xml:space="preserve"> a</w:t>
                  </w:r>
                  <w:r w:rsidRPr="001D1B80">
                    <w:rPr>
                      <w:lang w:val="en-US"/>
                    </w:rPr>
                    <w:t xml:space="preserve"> significant decrease</w:t>
                  </w:r>
                  <w:r w:rsidRPr="001D1B80">
                    <w:rPr>
                      <w:lang w:val="sl-SI"/>
                    </w:rPr>
                    <w:t xml:space="preserve"> in</w:t>
                  </w:r>
                  <w:r w:rsidRPr="001D1B80">
                    <w:rPr>
                      <w:lang w:val="de-DE"/>
                    </w:rPr>
                    <w:t xml:space="preserve"> GST</w:t>
                  </w:r>
                  <w:r w:rsidRPr="001D1B80">
                    <w:rPr>
                      <w:lang w:val="en-US"/>
                    </w:rPr>
                    <w:t xml:space="preserve"> activity</w:t>
                  </w:r>
                  <w:r w:rsidRPr="001D1B80">
                    <w:rPr>
                      <w:lang w:val="sl-SI"/>
                    </w:rPr>
                    <w:t xml:space="preserve"> in</w:t>
                  </w:r>
                  <w:r w:rsidRPr="001D1B80">
                    <w:rPr>
                      <w:lang w:val="en-US"/>
                    </w:rPr>
                    <w:t xml:space="preserve"> organism homogenates obtained from [+gallic acid + nonanoic acid] mesocosms could be re</w:t>
                  </w:r>
                  <w:r w:rsidRPr="001D1B80">
                    <w:rPr>
                      <w:lang w:val="en-US"/>
                    </w:rPr>
                    <w:softHyphen/>
                    <w:t>ported when compared</w:t>
                  </w:r>
                  <w:r w:rsidRPr="001D1B80">
                    <w:rPr>
                      <w:lang w:val="sl-SI"/>
                    </w:rPr>
                    <w:t xml:space="preserve"> to</w:t>
                  </w:r>
                  <w:r w:rsidRPr="001D1B80">
                    <w:rPr>
                      <w:lang w:val="en-US"/>
                    </w:rPr>
                    <w:t xml:space="preserve"> those </w:t>
                  </w:r>
                  <w:r w:rsidRPr="001D1B80">
                    <w:rPr>
                      <w:lang w:val="en-US"/>
                    </w:rPr>
                    <w:lastRenderedPageBreak/>
                    <w:t>collected from control</w:t>
                  </w:r>
                  <w:r w:rsidRPr="001D1B80">
                    <w:rPr>
                      <w:lang w:val="da-DK"/>
                    </w:rPr>
                    <w:t xml:space="preserve"> and</w:t>
                  </w:r>
                  <w:r w:rsidRPr="001D1B80">
                    <w:rPr>
                      <w:lang w:val="en-US"/>
                    </w:rPr>
                    <w:t xml:space="preserve"> [+nonanoic acid] exposure</w:t>
                  </w:r>
                  <w:r w:rsidRPr="001D1B80">
                    <w:rPr>
                      <w:lang w:val="da-DK"/>
                    </w:rPr>
                    <w:t xml:space="preserve"> tanks</w:t>
                  </w:r>
                  <w:r w:rsidRPr="001D1B80">
                    <w:rPr>
                      <w:lang w:val="en-US"/>
                    </w:rPr>
                    <w:t xml:space="preserve"> (Fig.</w:t>
                  </w:r>
                  <w:r w:rsidRPr="001D1B80">
                    <w:rPr>
                      <w:lang w:val="ca-ES"/>
                    </w:rPr>
                    <w:t xml:space="preserve"> 2F).</w:t>
                  </w:r>
                </w:p>
                <w:p w:rsidR="006F69DE" w:rsidRDefault="006F69DE" w:rsidP="001D1B80">
                  <w:pPr>
                    <w:pStyle w:val="Partie"/>
                    <w:rPr>
                      <w:lang w:val="en-US"/>
                    </w:rPr>
                  </w:pPr>
                </w:p>
                <w:p w:rsidR="00095C09" w:rsidRPr="001D1B80" w:rsidRDefault="00D27E5B" w:rsidP="001D1B80">
                  <w:pPr>
                    <w:pStyle w:val="Partie"/>
                    <w:rPr>
                      <w:lang w:val="en-US"/>
                    </w:rPr>
                  </w:pPr>
                </w:p>
              </w:sdtContent>
            </w:sdt>
          </w:sdtContent>
        </w:sdt>
        <w:sdt>
          <w:sdtPr>
            <w:rPr>
              <w:b w:val="0"/>
              <w:bCs w:val="0"/>
              <w:sz w:val="20"/>
              <w:szCs w:val="20"/>
            </w:rPr>
            <w:id w:val="1632749050"/>
            <w:placeholder>
              <w:docPart w:val="AA0A4828859543D2861B780A6227A8F4"/>
            </w:placeholder>
            <w15:repeatingSectionItem/>
          </w:sdtPr>
          <w:sdtEndPr/>
          <w:sdtContent>
            <w:p w:rsidR="00095C09" w:rsidRPr="001D1B80" w:rsidRDefault="00D27E5B" w:rsidP="001D1B80">
              <w:pPr>
                <w:pStyle w:val="SousSousTitrePartieArticle"/>
                <w:rPr>
                  <w:lang w:val="en-US"/>
                </w:rPr>
              </w:pPr>
              <w:sdt>
                <w:sdtPr>
                  <w:id w:val="1987351467"/>
                  <w:placeholder>
                    <w:docPart w:val="1DFA83E157634699A6A7BDE034DB84D9"/>
                  </w:placeholder>
                  <w:text/>
                </w:sdtPr>
                <w:sdtEndPr/>
                <w:sdtContent>
                  <w:r w:rsidR="00095C09" w:rsidRPr="001D1B80">
                    <w:t>Gammarus</w:t>
                  </w:r>
                </w:sdtContent>
              </w:sdt>
              <w:r w:rsidR="00095C09" w:rsidRPr="001D1B80">
                <w:rPr>
                  <w:lang w:val="en-US"/>
                </w:rPr>
                <w:tab/>
              </w:r>
            </w:p>
            <w:sdt>
              <w:sdtPr>
                <w:id w:val="1862168261"/>
                <w:placeholder>
                  <w:docPart w:val="025F7CDA4C3B4A948543BB68625BB277"/>
                </w:placeholder>
              </w:sdtPr>
              <w:sdtEndPr/>
              <w:sdtContent>
                <w:p w:rsidR="00095C09" w:rsidRPr="001D1B80" w:rsidRDefault="00095C09" w:rsidP="001D1B80">
                  <w:pPr>
                    <w:pStyle w:val="Partie"/>
                    <w:rPr>
                      <w:lang w:val="en-US"/>
                    </w:rPr>
                  </w:pPr>
                  <w:r w:rsidRPr="001D1B80">
                    <w:rPr>
                      <w:lang w:val="en-US"/>
                    </w:rPr>
                    <w:t>Measurements of LDH, GPx,</w:t>
                  </w:r>
                  <w:r w:rsidRPr="001D1B80">
                    <w:rPr>
                      <w:lang w:val="da-DK"/>
                    </w:rPr>
                    <w:t xml:space="preserve"> and</w:t>
                  </w:r>
                  <w:r w:rsidRPr="001D1B80">
                    <w:rPr>
                      <w:lang w:val="de-DE"/>
                    </w:rPr>
                    <w:t xml:space="preserve"> GST</w:t>
                  </w:r>
                  <w:r w:rsidRPr="001D1B80">
                    <w:rPr>
                      <w:lang w:val="en-US"/>
                    </w:rPr>
                    <w:t xml:space="preserve"> activities</w:t>
                  </w:r>
                  <w:r w:rsidRPr="001D1B80">
                    <w:rPr>
                      <w:lang w:val="sl-SI"/>
                    </w:rPr>
                    <w:t xml:space="preserve"> in</w:t>
                  </w:r>
                  <w:r w:rsidRPr="001D1B80">
                    <w:rPr>
                      <w:lang w:val="pt-BR"/>
                    </w:rPr>
                    <w:t xml:space="preserve"> total</w:t>
                  </w:r>
                  <w:r w:rsidRPr="001D1B80">
                    <w:rPr>
                      <w:lang w:val="da-DK"/>
                    </w:rPr>
                    <w:t xml:space="preserve"> Gammarus</w:t>
                  </w:r>
                  <w:r w:rsidRPr="001D1B80">
                    <w:rPr>
                      <w:lang w:val="en-US"/>
                    </w:rPr>
                    <w:t xml:space="preserve"> ho</w:t>
                  </w:r>
                  <w:r w:rsidRPr="001D1B80">
                    <w:rPr>
                      <w:lang w:val="en-US"/>
                    </w:rPr>
                    <w:softHyphen/>
                    <w:t>mogenates did</w:t>
                  </w:r>
                  <w:r w:rsidRPr="001D1B80">
                    <w:rPr>
                      <w:lang w:val="sl-SI"/>
                    </w:rPr>
                    <w:t xml:space="preserve"> not</w:t>
                  </w:r>
                  <w:r w:rsidRPr="001D1B80">
                    <w:rPr>
                      <w:lang w:val="en-US"/>
                    </w:rPr>
                    <w:t xml:space="preserve"> allow any significant enzymatic activity variations</w:t>
                  </w:r>
                  <w:r w:rsidRPr="001D1B80">
                    <w:rPr>
                      <w:lang w:val="sl-SI"/>
                    </w:rPr>
                    <w:t xml:space="preserve"> to</w:t>
                  </w:r>
                  <w:r w:rsidRPr="001D1B80">
                    <w:rPr>
                      <w:lang w:val="en-US"/>
                    </w:rPr>
                    <w:t xml:space="preserve"> be sorted</w:t>
                  </w:r>
                  <w:r w:rsidRPr="001D1B80">
                    <w:rPr>
                      <w:lang w:val="cs-CZ"/>
                    </w:rPr>
                    <w:t xml:space="preserve"> out</w:t>
                  </w:r>
                  <w:r w:rsidRPr="001D1B80">
                    <w:rPr>
                      <w:lang w:val="en-US"/>
                    </w:rPr>
                    <w:t xml:space="preserve"> according</w:t>
                  </w:r>
                  <w:r w:rsidRPr="001D1B80">
                    <w:rPr>
                      <w:lang w:val="sl-SI"/>
                    </w:rPr>
                    <w:t xml:space="preserve"> to</w:t>
                  </w:r>
                  <w:r w:rsidRPr="001D1B80">
                    <w:rPr>
                      <w:lang w:val="en-US"/>
                    </w:rPr>
                    <w:t xml:space="preserve"> the exposure conditions (Fig.</w:t>
                  </w:r>
                  <w:r w:rsidRPr="001D1B80">
                    <w:rPr>
                      <w:lang w:val="ca-ES"/>
                    </w:rPr>
                    <w:t xml:space="preserve"> 2G,</w:t>
                  </w:r>
                  <w:r w:rsidRPr="001D1B80">
                    <w:rPr>
                      <w:lang w:val="sl-SI"/>
                    </w:rPr>
                    <w:t xml:space="preserve"> H, I).</w:t>
                  </w:r>
                </w:p>
              </w:sdtContent>
            </w:sdt>
          </w:sdtContent>
        </w:sdt>
        <w:sdt>
          <w:sdtPr>
            <w:rPr>
              <w:b w:val="0"/>
              <w:bCs w:val="0"/>
              <w:sz w:val="20"/>
              <w:szCs w:val="20"/>
            </w:rPr>
            <w:id w:val="-1794209110"/>
            <w:placeholder>
              <w:docPart w:val="FEF8AA5D26BF427796E0414E1343B07A"/>
            </w:placeholder>
            <w15:repeatingSectionItem/>
          </w:sdtPr>
          <w:sdtEndPr/>
          <w:sdtContent>
            <w:p w:rsidR="00095C09" w:rsidRPr="001D1B80" w:rsidRDefault="00D27E5B" w:rsidP="001D1B80">
              <w:pPr>
                <w:pStyle w:val="SousSousTitrePartieArticle"/>
                <w:rPr>
                  <w:lang w:val="en-US"/>
                </w:rPr>
              </w:pPr>
              <w:sdt>
                <w:sdtPr>
                  <w:id w:val="-236098292"/>
                  <w:placeholder>
                    <w:docPart w:val="65EE14D97253477BA0C3139EAEB092F3"/>
                  </w:placeholder>
                  <w:text/>
                </w:sdtPr>
                <w:sdtEndPr/>
                <w:sdtContent>
                  <w:r w:rsidR="00095C09" w:rsidRPr="001D1B80">
                    <w:t>Fish</w:t>
                  </w:r>
                </w:sdtContent>
              </w:sdt>
              <w:r w:rsidR="00095C09" w:rsidRPr="001D1B80">
                <w:rPr>
                  <w:lang w:val="en-US"/>
                </w:rPr>
                <w:tab/>
              </w:r>
            </w:p>
            <w:sdt>
              <w:sdtPr>
                <w:id w:val="-1048755366"/>
                <w:placeholder>
                  <w:docPart w:val="1BDEB3F530364B1285500E40FC65651D"/>
                </w:placeholder>
              </w:sdtPr>
              <w:sdtEndPr/>
              <w:sdtContent>
                <w:p w:rsidR="00095C09" w:rsidRPr="001D1B80" w:rsidRDefault="00095C09" w:rsidP="001D1B80">
                  <w:pPr>
                    <w:pStyle w:val="Partie"/>
                    <w:rPr>
                      <w:lang w:val="en-US"/>
                    </w:rPr>
                  </w:pPr>
                  <w:r w:rsidRPr="001D1B80">
                    <w:rPr>
                      <w:lang w:val="sl-SI"/>
                    </w:rPr>
                    <w:t>In</w:t>
                  </w:r>
                  <w:r w:rsidRPr="001D1B80">
                    <w:rPr>
                      <w:lang w:val="en-US"/>
                    </w:rPr>
                    <w:t xml:space="preserve"> fish livers,</w:t>
                  </w:r>
                  <w:r w:rsidRPr="001D1B80">
                    <w:rPr>
                      <w:lang w:val="sl-SI"/>
                    </w:rPr>
                    <w:t xml:space="preserve"> no</w:t>
                  </w:r>
                  <w:r w:rsidRPr="001D1B80">
                    <w:rPr>
                      <w:lang w:val="en-US"/>
                    </w:rPr>
                    <w:t xml:space="preserve"> significant differences</w:t>
                  </w:r>
                  <w:r w:rsidRPr="001D1B80">
                    <w:rPr>
                      <w:lang w:val="sl-SI"/>
                    </w:rPr>
                    <w:t xml:space="preserve"> in</w:t>
                  </w:r>
                  <w:r w:rsidRPr="001D1B80">
                    <w:rPr>
                      <w:lang w:val="en-US"/>
                    </w:rPr>
                    <w:t xml:space="preserve"> enzyme activities were noted between organisms from control</w:t>
                  </w:r>
                  <w:r w:rsidRPr="001D1B80">
                    <w:rPr>
                      <w:lang w:val="da-DK"/>
                    </w:rPr>
                    <w:t xml:space="preserve"> and</w:t>
                  </w:r>
                  <w:r w:rsidRPr="001D1B80">
                    <w:rPr>
                      <w:lang w:val="en-US"/>
                    </w:rPr>
                    <w:t xml:space="preserve"> allelochemically-treated mesocosms (Fig.</w:t>
                  </w:r>
                  <w:r w:rsidRPr="001D1B80">
                    <w:rPr>
                      <w:lang w:val="ca-ES"/>
                    </w:rPr>
                    <w:t xml:space="preserve"> 3A,</w:t>
                  </w:r>
                  <w:r w:rsidRPr="001D1B80">
                    <w:rPr>
                      <w:lang w:val="da-DK"/>
                    </w:rPr>
                    <w:t xml:space="preserve"> B,</w:t>
                  </w:r>
                  <w:r w:rsidRPr="001D1B80">
                    <w:rPr>
                      <w:lang w:val="sl-SI"/>
                    </w:rPr>
                    <w:t xml:space="preserve"> C).</w:t>
                  </w:r>
                  <w:r w:rsidRPr="001D1B80">
                    <w:rPr>
                      <w:lang w:val="da-DK"/>
                    </w:rPr>
                    <w:t xml:space="preserve"> Biomarker</w:t>
                  </w:r>
                  <w:r w:rsidRPr="001D1B80">
                    <w:rPr>
                      <w:lang w:val="en-US"/>
                    </w:rPr>
                    <w:t xml:space="preserve"> investigation</w:t>
                  </w:r>
                  <w:r w:rsidRPr="001D1B80">
                    <w:rPr>
                      <w:lang w:val="sl-SI"/>
                    </w:rPr>
                    <w:t xml:space="preserve"> in</w:t>
                  </w:r>
                  <w:r w:rsidRPr="001D1B80">
                    <w:rPr>
                      <w:lang w:val="en-US"/>
                    </w:rPr>
                    <w:t xml:space="preserve"> gills (Fig.</w:t>
                  </w:r>
                  <w:r w:rsidRPr="001D1B80">
                    <w:rPr>
                      <w:lang w:val="ca-ES"/>
                    </w:rPr>
                    <w:t xml:space="preserve"> 3D,</w:t>
                  </w:r>
                  <w:r w:rsidRPr="001D1B80">
                    <w:rPr>
                      <w:lang w:val="pt-BR"/>
                    </w:rPr>
                    <w:t xml:space="preserve"> E,</w:t>
                  </w:r>
                  <w:r w:rsidRPr="001D1B80">
                    <w:rPr>
                      <w:lang w:val="da-DK"/>
                    </w:rPr>
                    <w:t xml:space="preserve"> F)</w:t>
                  </w:r>
                  <w:r w:rsidRPr="001D1B80">
                    <w:rPr>
                      <w:lang w:val="en-US"/>
                    </w:rPr>
                    <w:t xml:space="preserve"> revealed</w:t>
                  </w:r>
                  <w:r w:rsidRPr="001D1B80">
                    <w:rPr>
                      <w:lang w:val="sl-SI"/>
                    </w:rPr>
                    <w:t xml:space="preserve"> a</w:t>
                  </w:r>
                  <w:r w:rsidRPr="001D1B80">
                    <w:rPr>
                      <w:lang w:val="en-US"/>
                    </w:rPr>
                    <w:t xml:space="preserve"> lower GPx activity</w:t>
                  </w:r>
                  <w:r w:rsidRPr="001D1B80">
                    <w:rPr>
                      <w:lang w:val="sl-SI"/>
                    </w:rPr>
                    <w:t xml:space="preserve"> in</w:t>
                  </w:r>
                  <w:r w:rsidRPr="001D1B80">
                    <w:rPr>
                      <w:lang w:val="da-DK"/>
                    </w:rPr>
                    <w:t xml:space="preserve"> samples</w:t>
                  </w:r>
                  <w:r w:rsidRPr="001D1B80">
                    <w:rPr>
                      <w:lang w:val="en-US"/>
                    </w:rPr>
                    <w:t xml:space="preserve"> from [+ nonanoic acid]</w:t>
                  </w:r>
                  <w:r w:rsidR="00523082" w:rsidRPr="001D1B80">
                    <w:rPr>
                      <w:lang w:val="en-US"/>
                    </w:rPr>
                    <w:t xml:space="preserve"> treated mesocosms compared</w:t>
                  </w:r>
                  <w:r w:rsidR="00523082" w:rsidRPr="001D1B80">
                    <w:rPr>
                      <w:lang w:val="sl-SI"/>
                    </w:rPr>
                    <w:t xml:space="preserve"> to</w:t>
                  </w:r>
                  <w:r w:rsidR="00523082" w:rsidRPr="001D1B80">
                    <w:rPr>
                      <w:lang w:val="en-US"/>
                    </w:rPr>
                    <w:t xml:space="preserve"> those from the control group, i.e.</w:t>
                  </w:r>
                  <w:r w:rsidR="00523082" w:rsidRPr="001D1B80">
                    <w:rPr>
                      <w:lang w:val="ca-ES"/>
                    </w:rPr>
                    <w:t xml:space="preserve"> 13.2</w:t>
                  </w:r>
                  <w:r w:rsidR="00523082" w:rsidRPr="001D1B80">
                    <w:rPr>
                      <w:lang w:val="en-US"/>
                    </w:rPr>
                    <w:t xml:space="preserve"> ±</w:t>
                  </w:r>
                  <w:r w:rsidR="00523082" w:rsidRPr="001D1B80">
                    <w:rPr>
                      <w:lang w:val="ca-ES"/>
                    </w:rPr>
                    <w:t xml:space="preserve"> 2.5</w:t>
                  </w:r>
                  <w:r w:rsidR="00523082" w:rsidRPr="001D1B80">
                    <w:rPr>
                      <w:lang w:val="en-US"/>
                    </w:rPr>
                    <w:t xml:space="preserve"> vs</w:t>
                  </w:r>
                  <w:r w:rsidR="00523082" w:rsidRPr="001D1B80">
                    <w:rPr>
                      <w:lang w:val="ca-ES"/>
                    </w:rPr>
                    <w:t xml:space="preserve"> 21.1</w:t>
                  </w:r>
                  <w:r w:rsidR="00523082" w:rsidRPr="001D1B80">
                    <w:rPr>
                      <w:lang w:val="en-US"/>
                    </w:rPr>
                    <w:t xml:space="preserve"> ±</w:t>
                  </w:r>
                  <w:r w:rsidR="00523082" w:rsidRPr="001D1B80">
                    <w:rPr>
                      <w:lang w:val="ca-ES"/>
                    </w:rPr>
                    <w:t xml:space="preserve"> 2.0</w:t>
                  </w:r>
                  <w:r w:rsidR="00523082" w:rsidRPr="001D1B80">
                    <w:rPr>
                      <w:lang w:val="pl-PL"/>
                    </w:rPr>
                    <w:t xml:space="preserve"> U/mg</w:t>
                  </w:r>
                  <w:r w:rsidR="00523082" w:rsidRPr="001D1B80">
                    <w:rPr>
                      <w:lang w:val="en-US"/>
                    </w:rPr>
                    <w:t xml:space="preserve"> proteins, respectively (Fig.</w:t>
                  </w:r>
                  <w:r w:rsidR="00523082" w:rsidRPr="001D1B80">
                    <w:rPr>
                      <w:lang w:val="ca-ES"/>
                    </w:rPr>
                    <w:t xml:space="preserve"> 3E).</w:t>
                  </w:r>
                </w:p>
              </w:sdtContent>
            </w:sdt>
          </w:sdtContent>
        </w:sdt>
      </w:sdtContent>
    </w:sdt>
    <w:p w:rsidR="00951155" w:rsidRPr="001D1B80" w:rsidRDefault="00951155" w:rsidP="001D1B80">
      <w:pPr>
        <w:pStyle w:val="Partie"/>
        <w:rPr>
          <w:rFonts w:eastAsiaTheme="minorHAnsi"/>
          <w:lang w:val="en-US"/>
        </w:rPr>
        <w:sectPr w:rsidR="00951155" w:rsidRPr="001D1B80" w:rsidSect="00575F2F">
          <w:type w:val="continuous"/>
          <w:pgSz w:w="11906" w:h="16838"/>
          <w:pgMar w:top="851" w:right="424" w:bottom="567" w:left="426" w:header="426" w:footer="397" w:gutter="0"/>
          <w:cols w:num="2" w:space="141"/>
          <w:formProt w:val="0"/>
          <w:docGrid w:linePitch="360"/>
        </w:sectPr>
      </w:pPr>
    </w:p>
    <w:p w:rsidR="00CB4FFF" w:rsidRPr="001D1B80" w:rsidRDefault="00D27E5B" w:rsidP="001D1B80">
      <w:pPr>
        <w:pStyle w:val="TitrePartieArticle"/>
      </w:pPr>
      <w:sdt>
        <w:sdtPr>
          <w:id w:val="1723633921"/>
          <w:placeholder>
            <w:docPart w:val="412FE9F2367544539289A9DF303C7487"/>
          </w:placeholder>
          <w:text/>
        </w:sdtPr>
        <w:sdtEndPr/>
        <w:sdtContent>
          <w:r w:rsidR="00CB4FFF" w:rsidRPr="001D1B80">
            <w:t xml:space="preserve">Discussion </w:t>
          </w:r>
        </w:sdtContent>
      </w:sdt>
      <w:r w:rsidR="00CB4FFF" w:rsidRPr="001D1B80">
        <w:tab/>
      </w:r>
    </w:p>
    <w:p w:rsidR="00CB4FFF" w:rsidRPr="001D1B80" w:rsidRDefault="00CB4FFF" w:rsidP="001D1B80">
      <w:pPr>
        <w:pStyle w:val="SousPartie"/>
        <w:sectPr w:rsidR="00CB4FFF" w:rsidRPr="001D1B80" w:rsidSect="00026EEB">
          <w:type w:val="continuous"/>
          <w:pgSz w:w="11906" w:h="16838"/>
          <w:pgMar w:top="851" w:right="424" w:bottom="567" w:left="426" w:header="426" w:footer="397" w:gutter="0"/>
          <w:cols w:space="141"/>
          <w:docGrid w:linePitch="360"/>
        </w:sectPr>
      </w:pPr>
    </w:p>
    <w:sdt>
      <w:sdtPr>
        <w:id w:val="846442243"/>
        <w:placeholder>
          <w:docPart w:val="8AECED5984F84A0498D0E1B0B86F9F8A"/>
        </w:placeholder>
      </w:sdtPr>
      <w:sdtEndPr/>
      <w:sdtContent>
        <w:p w:rsidR="00523082" w:rsidRPr="001D1B80" w:rsidRDefault="00523082" w:rsidP="001D1B80">
          <w:pPr>
            <w:pStyle w:val="Partie"/>
            <w:rPr>
              <w:lang w:val="en-US"/>
            </w:rPr>
          </w:pPr>
          <w:r w:rsidRPr="001D1B80">
            <w:rPr>
              <w:lang w:val="en-US"/>
            </w:rPr>
            <w:t>The</w:t>
          </w:r>
          <w:r w:rsidRPr="001D1B80">
            <w:rPr>
              <w:lang w:val="da-DK"/>
            </w:rPr>
            <w:t xml:space="preserve"> present</w:t>
          </w:r>
          <w:r w:rsidRPr="001D1B80">
            <w:rPr>
              <w:lang w:val="en-US"/>
            </w:rPr>
            <w:t xml:space="preserve"> study</w:t>
          </w:r>
          <w:r w:rsidRPr="001D1B80">
            <w:rPr>
              <w:lang w:val="pt-BR"/>
            </w:rPr>
            <w:t xml:space="preserve"> is</w:t>
          </w:r>
          <w:r w:rsidRPr="001D1B80">
            <w:rPr>
              <w:lang w:val="en-US"/>
            </w:rPr>
            <w:t xml:space="preserve"> the</w:t>
          </w:r>
          <w:r w:rsidRPr="001D1B80">
            <w:rPr>
              <w:lang w:val="da-DK"/>
            </w:rPr>
            <w:t xml:space="preserve"> first</w:t>
          </w:r>
          <w:r w:rsidRPr="001D1B80">
            <w:rPr>
              <w:lang w:val="sl-SI"/>
            </w:rPr>
            <w:t xml:space="preserve"> to</w:t>
          </w:r>
          <w:r w:rsidRPr="001D1B80">
            <w:rPr>
              <w:lang w:val="en-US"/>
            </w:rPr>
            <w:t xml:space="preserve"> address the issue of the allelopathic potential of gallic</w:t>
          </w:r>
          <w:r w:rsidRPr="001D1B80">
            <w:rPr>
              <w:lang w:val="da-DK"/>
            </w:rPr>
            <w:t xml:space="preserve"> and</w:t>
          </w:r>
          <w:r w:rsidRPr="001D1B80">
            <w:rPr>
              <w:lang w:val="en-US"/>
            </w:rPr>
            <w:t xml:space="preserve"> nonanoic acids</w:t>
          </w:r>
          <w:r w:rsidRPr="001D1B80">
            <w:rPr>
              <w:lang w:val="da-DK"/>
            </w:rPr>
            <w:t xml:space="preserve"> at</w:t>
          </w:r>
          <w:r w:rsidRPr="001D1B80">
            <w:rPr>
              <w:lang w:val="en-US"/>
            </w:rPr>
            <w:t xml:space="preserve"> the early</w:t>
          </w:r>
          <w:r w:rsidRPr="001D1B80">
            <w:rPr>
              <w:lang w:val="da-DK"/>
            </w:rPr>
            <w:t xml:space="preserve"> stage</w:t>
          </w:r>
          <w:r w:rsidRPr="001D1B80">
            <w:rPr>
              <w:lang w:val="en-US"/>
            </w:rPr>
            <w:t xml:space="preserve"> of cyanobacterial proliferation, when water temperature</w:t>
          </w:r>
          <w:r w:rsidRPr="001D1B80">
            <w:rPr>
              <w:lang w:val="cs-CZ"/>
            </w:rPr>
            <w:t xml:space="preserve"> has</w:t>
          </w:r>
          <w:r w:rsidRPr="001D1B80">
            <w:rPr>
              <w:lang w:val="sl-SI"/>
            </w:rPr>
            <w:t xml:space="preserve"> not</w:t>
          </w:r>
          <w:r w:rsidRPr="001D1B80">
            <w:rPr>
              <w:lang w:val="en-US"/>
            </w:rPr>
            <w:t xml:space="preserve"> yet reached its seasonal</w:t>
          </w:r>
          <w:r w:rsidRPr="001D1B80">
            <w:rPr>
              <w:lang w:val="cs-CZ"/>
            </w:rPr>
            <w:t xml:space="preserve"> maximum</w:t>
          </w:r>
          <w:r w:rsidRPr="001D1B80">
            <w:rPr>
              <w:lang w:val="ca-ES"/>
            </w:rPr>
            <w:t xml:space="preserve"> (20 °C–25</w:t>
          </w:r>
          <w:r w:rsidRPr="001D1B80">
            <w:rPr>
              <w:lang w:val="sl-SI"/>
            </w:rPr>
            <w:t xml:space="preserve"> °C</w:t>
          </w:r>
          <w:r w:rsidRPr="001D1B80">
            <w:rPr>
              <w:lang w:val="pt-BR"/>
            </w:rPr>
            <w:t xml:space="preserve"> for</w:t>
          </w:r>
          <w:r w:rsidRPr="001D1B80">
            <w:rPr>
              <w:lang w:val="en-US"/>
            </w:rPr>
            <w:t xml:space="preserve"> the</w:t>
          </w:r>
          <w:r w:rsidRPr="001D1B80">
            <w:rPr>
              <w:lang w:val="da-DK"/>
            </w:rPr>
            <w:t xml:space="preserve"> present</w:t>
          </w:r>
          <w:r w:rsidRPr="001D1B80">
            <w:rPr>
              <w:lang w:val="en-US"/>
            </w:rPr>
            <w:t xml:space="preserve"> study</w:t>
          </w:r>
          <w:r w:rsidRPr="001D1B80">
            <w:rPr>
              <w:lang w:val="sl-SI"/>
            </w:rPr>
            <w:t xml:space="preserve"> site,</w:t>
          </w:r>
          <w:r w:rsidRPr="001D1B80">
            <w:rPr>
              <w:lang w:val="en-US"/>
            </w:rPr>
            <w:t xml:space="preserve"> located</w:t>
          </w:r>
          <w:r w:rsidRPr="001D1B80">
            <w:rPr>
              <w:lang w:val="sl-SI"/>
            </w:rPr>
            <w:t xml:space="preserve"> in</w:t>
          </w:r>
          <w:r w:rsidRPr="001D1B80">
            <w:rPr>
              <w:lang w:val="en-US"/>
            </w:rPr>
            <w:t xml:space="preserve"> north</w:t>
          </w:r>
          <w:r w:rsidRPr="001D1B80">
            <w:rPr>
              <w:lang w:val="en-US"/>
            </w:rPr>
            <w:softHyphen/>
            <w:t>eastern</w:t>
          </w:r>
          <w:r w:rsidRPr="001D1B80">
            <w:rPr>
              <w:lang w:val="sl-SI"/>
            </w:rPr>
            <w:t xml:space="preserve"> France),</w:t>
          </w:r>
          <w:r w:rsidRPr="001D1B80">
            <w:rPr>
              <w:lang w:val="da-DK"/>
            </w:rPr>
            <w:t xml:space="preserve"> and</w:t>
          </w:r>
          <w:r w:rsidRPr="001D1B80">
            <w:rPr>
              <w:lang w:val="en-US"/>
            </w:rPr>
            <w:t xml:space="preserve"> importantly</w:t>
          </w:r>
          <w:r w:rsidRPr="001D1B80">
            <w:rPr>
              <w:lang w:val="sl-SI"/>
            </w:rPr>
            <w:t xml:space="preserve"> in</w:t>
          </w:r>
          <w:r w:rsidRPr="001D1B80">
            <w:rPr>
              <w:lang w:val="cs-CZ"/>
            </w:rPr>
            <w:t xml:space="preserve"> an</w:t>
          </w:r>
          <w:r w:rsidRPr="001D1B80">
            <w:rPr>
              <w:lang w:val="en-US"/>
            </w:rPr>
            <w:t xml:space="preserve"> ecologically</w:t>
          </w:r>
          <w:r w:rsidRPr="001D1B80">
            <w:rPr>
              <w:lang w:val="da-DK"/>
            </w:rPr>
            <w:t xml:space="preserve"> relevant</w:t>
          </w:r>
          <w:r w:rsidRPr="001D1B80">
            <w:rPr>
              <w:lang w:val="en-US"/>
            </w:rPr>
            <w:t xml:space="preserve"> context, i.e. through</w:t>
          </w:r>
          <w:r w:rsidRPr="001D1B80">
            <w:rPr>
              <w:lang w:val="cs-CZ"/>
            </w:rPr>
            <w:t xml:space="preserve"> an</w:t>
          </w:r>
          <w:r w:rsidRPr="001D1B80">
            <w:rPr>
              <w:lang w:val="en-US"/>
            </w:rPr>
            <w:t xml:space="preserve"> outdoor</w:t>
          </w:r>
          <w:r w:rsidRPr="001D1B80">
            <w:rPr>
              <w:lang w:val="pt-BR"/>
            </w:rPr>
            <w:t xml:space="preserve"> multi</w:t>
          </w:r>
          <w:r w:rsidRPr="001D1B80">
            <w:rPr>
              <w:lang w:val="da-DK"/>
            </w:rPr>
            <w:t>-species</w:t>
          </w:r>
          <w:r w:rsidRPr="001D1B80">
            <w:rPr>
              <w:lang w:val="en-US"/>
            </w:rPr>
            <w:t xml:space="preserve"> mesocosm</w:t>
          </w:r>
          <w:r w:rsidRPr="001D1B80">
            <w:rPr>
              <w:lang w:val="da-DK"/>
            </w:rPr>
            <w:t xml:space="preserve"> approach.</w:t>
          </w:r>
          <w:r w:rsidRPr="001D1B80">
            <w:rPr>
              <w:lang w:val="en-US"/>
            </w:rPr>
            <w:t xml:space="preserve"> Due</w:t>
          </w:r>
          <w:r w:rsidRPr="001D1B80">
            <w:rPr>
              <w:lang w:val="sl-SI"/>
            </w:rPr>
            <w:t xml:space="preserve"> to</w:t>
          </w:r>
          <w:r w:rsidRPr="001D1B80">
            <w:rPr>
              <w:lang w:val="en-US"/>
            </w:rPr>
            <w:t xml:space="preserve"> their allelopathic potential (Nakai</w:t>
          </w:r>
          <w:r w:rsidRPr="001D1B80">
            <w:rPr>
              <w:lang w:val="pt-BR"/>
            </w:rPr>
            <w:t xml:space="preserve"> et</w:t>
          </w:r>
          <w:r w:rsidRPr="001D1B80">
            <w:rPr>
              <w:lang w:val="da-DK"/>
            </w:rPr>
            <w:t xml:space="preserve"> al.,</w:t>
          </w:r>
          <w:r w:rsidRPr="001D1B80">
            <w:rPr>
              <w:lang w:val="ca-ES"/>
            </w:rPr>
            <w:t xml:space="preserve"> 2000, 2005),</w:t>
          </w:r>
          <w:r w:rsidRPr="001D1B80">
            <w:rPr>
              <w:lang w:val="sl-SI"/>
            </w:rPr>
            <w:t xml:space="preserve"> one</w:t>
          </w:r>
          <w:r w:rsidRPr="001D1B80">
            <w:rPr>
              <w:lang w:val="en-US"/>
            </w:rPr>
            <w:t xml:space="preserve"> may hypothe</w:t>
          </w:r>
          <w:r w:rsidRPr="001D1B80">
            <w:rPr>
              <w:lang w:val="en-US"/>
            </w:rPr>
            <w:softHyphen/>
            <w:t>size that applying gallic</w:t>
          </w:r>
          <w:r w:rsidRPr="001D1B80">
            <w:rPr>
              <w:lang w:val="sl-SI"/>
            </w:rPr>
            <w:t xml:space="preserve"> or</w:t>
          </w:r>
          <w:r w:rsidRPr="001D1B80">
            <w:rPr>
              <w:lang w:val="en-US"/>
            </w:rPr>
            <w:t xml:space="preserve"> nonanoic acids during</w:t>
          </w:r>
          <w:r w:rsidRPr="001D1B80">
            <w:rPr>
              <w:lang w:val="sl-SI"/>
            </w:rPr>
            <w:t xml:space="preserve"> a</w:t>
          </w:r>
          <w:r w:rsidRPr="001D1B80">
            <w:rPr>
              <w:lang w:val="en-US"/>
            </w:rPr>
            <w:t xml:space="preserve"> harmful algal bloom could lead</w:t>
          </w:r>
          <w:r w:rsidRPr="001D1B80">
            <w:rPr>
              <w:lang w:val="sl-SI"/>
            </w:rPr>
            <w:t xml:space="preserve"> to</w:t>
          </w:r>
          <w:r w:rsidRPr="001D1B80">
            <w:rPr>
              <w:lang w:val="en-US"/>
            </w:rPr>
            <w:t xml:space="preserve"> “massive” cyanotoxin</w:t>
          </w:r>
          <w:r w:rsidRPr="001D1B80">
            <w:rPr>
              <w:lang w:val="da-DK"/>
            </w:rPr>
            <w:t xml:space="preserve"> release.</w:t>
          </w:r>
          <w:r w:rsidRPr="001D1B80">
            <w:rPr>
              <w:lang w:val="en-US"/>
            </w:rPr>
            <w:t xml:space="preserve"> Thus, acting preemptively</w:t>
          </w:r>
          <w:r w:rsidRPr="001D1B80">
            <w:rPr>
              <w:lang w:val="cs-CZ"/>
            </w:rPr>
            <w:t xml:space="preserve"> by</w:t>
          </w:r>
          <w:r w:rsidRPr="001D1B80">
            <w:rPr>
              <w:lang w:val="en-US"/>
            </w:rPr>
            <w:t xml:space="preserve"> limiting cell growth</w:t>
          </w:r>
          <w:r w:rsidRPr="001D1B80">
            <w:rPr>
              <w:lang w:val="da-DK"/>
            </w:rPr>
            <w:t xml:space="preserve"> at</w:t>
          </w:r>
          <w:r w:rsidRPr="001D1B80">
            <w:rPr>
              <w:lang w:val="en-US"/>
            </w:rPr>
            <w:t xml:space="preserve"> their early stages of proliferation could be</w:t>
          </w:r>
          <w:r w:rsidRPr="001D1B80">
            <w:rPr>
              <w:lang w:val="sl-SI"/>
            </w:rPr>
            <w:t xml:space="preserve"> a</w:t>
          </w:r>
          <w:r w:rsidRPr="001D1B80">
            <w:rPr>
              <w:lang w:val="en-US"/>
            </w:rPr>
            <w:t xml:space="preserve"> promising</w:t>
          </w:r>
          <w:r w:rsidRPr="001D1B80">
            <w:rPr>
              <w:lang w:val="da-DK"/>
            </w:rPr>
            <w:t xml:space="preserve"> approach</w:t>
          </w:r>
          <w:r w:rsidRPr="001D1B80">
            <w:rPr>
              <w:lang w:val="pt-BR"/>
            </w:rPr>
            <w:t xml:space="preserve"> for</w:t>
          </w:r>
          <w:r w:rsidRPr="001D1B80">
            <w:rPr>
              <w:lang w:val="en-US"/>
            </w:rPr>
            <w:t xml:space="preserve"> allelochemical</w:t>
          </w:r>
          <w:r w:rsidRPr="001D1B80">
            <w:rPr>
              <w:lang w:val="sl-SI"/>
            </w:rPr>
            <w:t xml:space="preserve"> in</w:t>
          </w:r>
          <w:r w:rsidRPr="001D1B80">
            <w:rPr>
              <w:lang w:val="en-US"/>
            </w:rPr>
            <w:t xml:space="preserve"> situ application. Traditionally,</w:t>
          </w:r>
          <w:r w:rsidRPr="001D1B80">
            <w:rPr>
              <w:lang w:val="sl-SI"/>
            </w:rPr>
            <w:t xml:space="preserve"> most</w:t>
          </w:r>
          <w:r w:rsidRPr="001D1B80">
            <w:rPr>
              <w:lang w:val="en-US"/>
            </w:rPr>
            <w:t xml:space="preserve"> experiments focusing</w:t>
          </w:r>
          <w:r w:rsidRPr="001D1B80">
            <w:rPr>
              <w:lang w:val="sl-SI"/>
            </w:rPr>
            <w:t xml:space="preserve"> on</w:t>
          </w:r>
          <w:r w:rsidRPr="001D1B80">
            <w:rPr>
              <w:lang w:val="en-US"/>
            </w:rPr>
            <w:t xml:space="preserve"> allelopathy against cyanobacterial growth</w:t>
          </w:r>
          <w:r w:rsidRPr="001D1B80">
            <w:rPr>
              <w:lang w:val="da-DK"/>
            </w:rPr>
            <w:t xml:space="preserve"> have</w:t>
          </w:r>
          <w:r w:rsidRPr="001D1B80">
            <w:rPr>
              <w:lang w:val="en-US"/>
            </w:rPr>
            <w:t xml:space="preserve"> been</w:t>
          </w:r>
          <w:r w:rsidRPr="001D1B80">
            <w:rPr>
              <w:lang w:val="sl-SI"/>
            </w:rPr>
            <w:t xml:space="preserve"> done</w:t>
          </w:r>
          <w:r w:rsidRPr="001D1B80">
            <w:rPr>
              <w:lang w:val="en-US"/>
            </w:rPr>
            <w:t xml:space="preserve"> under laboratory conditions due</w:t>
          </w:r>
          <w:r w:rsidRPr="001D1B80">
            <w:rPr>
              <w:lang w:val="sl-SI"/>
            </w:rPr>
            <w:t xml:space="preserve"> to</w:t>
          </w:r>
          <w:r w:rsidRPr="001D1B80">
            <w:rPr>
              <w:lang w:val="en-US"/>
            </w:rPr>
            <w:t xml:space="preserve"> complex chemical synthesis</w:t>
          </w:r>
          <w:r w:rsidRPr="001D1B80">
            <w:rPr>
              <w:lang w:val="sl-SI"/>
            </w:rPr>
            <w:t xml:space="preserve"> or</w:t>
          </w:r>
          <w:r w:rsidRPr="001D1B80">
            <w:rPr>
              <w:lang w:val="en-US"/>
            </w:rPr>
            <w:t xml:space="preserve"> prohibitive pricing</w:t>
          </w:r>
          <w:r w:rsidRPr="001D1B80">
            <w:rPr>
              <w:lang w:val="sl-SI"/>
            </w:rPr>
            <w:t xml:space="preserve"> to</w:t>
          </w:r>
          <w:r w:rsidRPr="001D1B80">
            <w:rPr>
              <w:lang w:val="en-US"/>
            </w:rPr>
            <w:t xml:space="preserve"> obtain sufficient</w:t>
          </w:r>
          <w:r w:rsidRPr="001D1B80">
            <w:rPr>
              <w:lang w:val="sl-SI"/>
            </w:rPr>
            <w:t xml:space="preserve"> substance</w:t>
          </w:r>
          <w:r w:rsidRPr="001D1B80">
            <w:rPr>
              <w:lang w:val="en-US"/>
            </w:rPr>
            <w:t xml:space="preserve"> amounts</w:t>
          </w:r>
          <w:r w:rsidRPr="001D1B80">
            <w:rPr>
              <w:lang w:val="pt-BR"/>
            </w:rPr>
            <w:t xml:space="preserve"> for</w:t>
          </w:r>
          <w:r w:rsidRPr="001D1B80">
            <w:rPr>
              <w:lang w:val="en-US"/>
            </w:rPr>
            <w:t xml:space="preserve"> field application (Jančula</w:t>
          </w:r>
          <w:r w:rsidRPr="001D1B80">
            <w:rPr>
              <w:lang w:val="da-DK"/>
            </w:rPr>
            <w:t xml:space="preserve"> and</w:t>
          </w:r>
          <w:r w:rsidRPr="001D1B80">
            <w:rPr>
              <w:lang w:val="cs-CZ"/>
            </w:rPr>
            <w:t xml:space="preserve"> Maršálek,</w:t>
          </w:r>
          <w:r w:rsidRPr="001D1B80">
            <w:rPr>
              <w:lang w:val="ca-ES"/>
            </w:rPr>
            <w:t xml:space="preserve"> 2011;</w:t>
          </w:r>
          <w:r w:rsidRPr="001D1B80">
            <w:rPr>
              <w:lang w:val="en-US"/>
            </w:rPr>
            <w:t xml:space="preserve"> Shao</w:t>
          </w:r>
          <w:r w:rsidRPr="001D1B80">
            <w:rPr>
              <w:lang w:val="pt-BR"/>
            </w:rPr>
            <w:t xml:space="preserve"> et</w:t>
          </w:r>
          <w:r w:rsidRPr="001D1B80">
            <w:rPr>
              <w:lang w:val="da-DK"/>
            </w:rPr>
            <w:t xml:space="preserve"> al.,</w:t>
          </w:r>
          <w:r w:rsidRPr="001D1B80">
            <w:rPr>
              <w:lang w:val="ca-ES"/>
            </w:rPr>
            <w:t xml:space="preserve"> 2013).</w:t>
          </w:r>
          <w:r w:rsidRPr="001D1B80">
            <w:rPr>
              <w:lang w:val="cs-CZ"/>
            </w:rPr>
            <w:t xml:space="preserve"> By</w:t>
          </w:r>
          <w:r w:rsidRPr="001D1B80">
            <w:rPr>
              <w:lang w:val="en-US"/>
            </w:rPr>
            <w:t xml:space="preserve"> contrast, accounting</w:t>
          </w:r>
          <w:r w:rsidRPr="001D1B80">
            <w:rPr>
              <w:lang w:val="pt-BR"/>
            </w:rPr>
            <w:t xml:space="preserve"> for</w:t>
          </w:r>
          <w:r w:rsidRPr="001D1B80">
            <w:rPr>
              <w:lang w:val="en-US"/>
            </w:rPr>
            <w:t xml:space="preserve"> their allelopathic activity (Nakai</w:t>
          </w:r>
          <w:r w:rsidRPr="001D1B80">
            <w:rPr>
              <w:lang w:val="pt-BR"/>
            </w:rPr>
            <w:t xml:space="preserve"> et</w:t>
          </w:r>
          <w:r w:rsidRPr="001D1B80">
            <w:rPr>
              <w:lang w:val="da-DK"/>
            </w:rPr>
            <w:t xml:space="preserve"> al.,</w:t>
          </w:r>
          <w:r w:rsidRPr="001D1B80">
            <w:rPr>
              <w:lang w:val="ca-ES"/>
            </w:rPr>
            <w:t xml:space="preserve"> 2000, 2005)</w:t>
          </w:r>
          <w:r w:rsidRPr="001D1B80">
            <w:rPr>
              <w:lang w:val="da-DK"/>
            </w:rPr>
            <w:t xml:space="preserve"> and</w:t>
          </w:r>
          <w:r w:rsidRPr="001D1B80">
            <w:rPr>
              <w:lang w:val="en-US"/>
            </w:rPr>
            <w:t xml:space="preserve"> because of their use</w:t>
          </w:r>
          <w:r w:rsidRPr="001D1B80">
            <w:rPr>
              <w:lang w:val="sl-SI"/>
            </w:rPr>
            <w:t xml:space="preserve"> in a</w:t>
          </w:r>
          <w:r w:rsidRPr="001D1B80">
            <w:rPr>
              <w:lang w:val="en-US"/>
            </w:rPr>
            <w:t xml:space="preserve"> wide variety of industrial</w:t>
          </w:r>
          <w:r w:rsidRPr="001D1B80">
            <w:rPr>
              <w:lang w:val="sl-SI"/>
            </w:rPr>
            <w:t xml:space="preserve"> or</w:t>
          </w:r>
          <w:r w:rsidRPr="001D1B80">
            <w:rPr>
              <w:lang w:val="en-US"/>
            </w:rPr>
            <w:t xml:space="preserve"> agrochemical areas with concomitant commercial availability (Coleman</w:t>
          </w:r>
          <w:r w:rsidRPr="001D1B80">
            <w:rPr>
              <w:lang w:val="da-DK"/>
            </w:rPr>
            <w:t xml:space="preserve"> and</w:t>
          </w:r>
          <w:r w:rsidRPr="001D1B80">
            <w:rPr>
              <w:lang w:val="en-US"/>
            </w:rPr>
            <w:t xml:space="preserve"> Penner,</w:t>
          </w:r>
          <w:r w:rsidRPr="001D1B80">
            <w:rPr>
              <w:lang w:val="ca-ES"/>
            </w:rPr>
            <w:t xml:space="preserve"> 2008;</w:t>
          </w:r>
          <w:r w:rsidRPr="001D1B80">
            <w:rPr>
              <w:lang w:val="en-US"/>
            </w:rPr>
            <w:t xml:space="preserve"> Dena</w:t>
          </w:r>
          <w:r w:rsidRPr="001D1B80">
            <w:rPr>
              <w:lang w:val="pt-BR"/>
            </w:rPr>
            <w:t xml:space="preserve"> et</w:t>
          </w:r>
          <w:r w:rsidRPr="001D1B80">
            <w:rPr>
              <w:lang w:val="da-DK"/>
            </w:rPr>
            <w:t xml:space="preserve"> al.,</w:t>
          </w:r>
          <w:r w:rsidRPr="001D1B80">
            <w:rPr>
              <w:lang w:val="ca-ES"/>
            </w:rPr>
            <w:t xml:space="preserve"> 2012;</w:t>
          </w:r>
          <w:r w:rsidRPr="001D1B80">
            <w:rPr>
              <w:lang w:val="en-US"/>
            </w:rPr>
            <w:t xml:space="preserve"> Galati</w:t>
          </w:r>
          <w:r w:rsidRPr="001D1B80">
            <w:rPr>
              <w:lang w:val="da-DK"/>
            </w:rPr>
            <w:t xml:space="preserve"> and</w:t>
          </w:r>
          <w:r w:rsidRPr="001D1B80">
            <w:rPr>
              <w:lang w:val="en-US"/>
            </w:rPr>
            <w:t xml:space="preserve"> O'Brien,</w:t>
          </w:r>
          <w:r w:rsidRPr="001D1B80">
            <w:rPr>
              <w:lang w:val="ca-ES"/>
            </w:rPr>
            <w:t xml:space="preserve"> 2004;</w:t>
          </w:r>
          <w:r w:rsidRPr="001D1B80">
            <w:rPr>
              <w:lang w:val="nb-NO"/>
            </w:rPr>
            <w:t xml:space="preserve"> Niho</w:t>
          </w:r>
          <w:r w:rsidRPr="001D1B80">
            <w:rPr>
              <w:lang w:val="pt-BR"/>
            </w:rPr>
            <w:t xml:space="preserve"> et</w:t>
          </w:r>
          <w:r w:rsidRPr="001D1B80">
            <w:rPr>
              <w:lang w:val="da-DK"/>
            </w:rPr>
            <w:t xml:space="preserve"> al.,</w:t>
          </w:r>
          <w:r w:rsidRPr="001D1B80">
            <w:rPr>
              <w:lang w:val="ca-ES"/>
            </w:rPr>
            <w:t xml:space="preserve"> 2001;</w:t>
          </w:r>
          <w:r w:rsidRPr="001D1B80">
            <w:rPr>
              <w:lang w:val="en-US"/>
            </w:rPr>
            <w:t xml:space="preserve"> Ow</w:t>
          </w:r>
          <w:r w:rsidRPr="001D1B80">
            <w:rPr>
              <w:lang w:val="da-DK"/>
            </w:rPr>
            <w:t xml:space="preserve"> and</w:t>
          </w:r>
          <w:r w:rsidRPr="001D1B80">
            <w:rPr>
              <w:lang w:val="sv-SE"/>
            </w:rPr>
            <w:t xml:space="preserve"> Stupans,</w:t>
          </w:r>
          <w:r w:rsidRPr="001D1B80">
            <w:rPr>
              <w:lang w:val="ca-ES"/>
            </w:rPr>
            <w:t xml:space="preserve"> 2003;</w:t>
          </w:r>
          <w:r w:rsidRPr="001D1B80">
            <w:rPr>
              <w:lang w:val="en-US"/>
            </w:rPr>
            <w:t xml:space="preserve"> Techer</w:t>
          </w:r>
          <w:r w:rsidRPr="001D1B80">
            <w:rPr>
              <w:lang w:val="pt-BR"/>
            </w:rPr>
            <w:t xml:space="preserve"> et</w:t>
          </w:r>
          <w:r w:rsidRPr="001D1B80">
            <w:rPr>
              <w:lang w:val="da-DK"/>
            </w:rPr>
            <w:t xml:space="preserve"> al.,</w:t>
          </w:r>
          <w:r w:rsidRPr="001D1B80">
            <w:rPr>
              <w:lang w:val="ca-ES"/>
            </w:rPr>
            <w:t xml:space="preserve"> 2015a;</w:t>
          </w:r>
          <w:r w:rsidRPr="001D1B80">
            <w:rPr>
              <w:lang w:val="en-US"/>
            </w:rPr>
            <w:t xml:space="preserve"> TOXNET,</w:t>
          </w:r>
          <w:r w:rsidRPr="001D1B80">
            <w:rPr>
              <w:lang w:val="ca-ES"/>
            </w:rPr>
            <w:t xml:space="preserve"> 2008),</w:t>
          </w:r>
          <w:r w:rsidRPr="001D1B80">
            <w:rPr>
              <w:lang w:val="en-US"/>
            </w:rPr>
            <w:t xml:space="preserve"> gallic</w:t>
          </w:r>
          <w:r w:rsidRPr="001D1B80">
            <w:rPr>
              <w:lang w:val="da-DK"/>
            </w:rPr>
            <w:t xml:space="preserve"> and</w:t>
          </w:r>
          <w:r w:rsidRPr="001D1B80">
            <w:rPr>
              <w:lang w:val="en-US"/>
            </w:rPr>
            <w:t xml:space="preserve"> nonanoic acids were therefore considered</w:t>
          </w:r>
          <w:r w:rsidRPr="001D1B80">
            <w:rPr>
              <w:lang w:val="sl-SI"/>
            </w:rPr>
            <w:t xml:space="preserve"> as</w:t>
          </w:r>
          <w:r w:rsidRPr="001D1B80">
            <w:rPr>
              <w:lang w:val="en-US"/>
            </w:rPr>
            <w:t xml:space="preserve"> “good candidates”</w:t>
          </w:r>
          <w:r w:rsidRPr="001D1B80">
            <w:rPr>
              <w:lang w:val="pt-BR"/>
            </w:rPr>
            <w:t xml:space="preserve"> for</w:t>
          </w:r>
          <w:r w:rsidRPr="001D1B80">
            <w:rPr>
              <w:lang w:val="cs-CZ"/>
            </w:rPr>
            <w:t xml:space="preserve"> an</w:t>
          </w:r>
          <w:r w:rsidRPr="001D1B80">
            <w:rPr>
              <w:lang w:val="en-US"/>
            </w:rPr>
            <w:t xml:space="preserve"> early</w:t>
          </w:r>
          <w:r w:rsidRPr="001D1B80">
            <w:rPr>
              <w:lang w:val="sl-SI"/>
            </w:rPr>
            <w:t xml:space="preserve"> in</w:t>
          </w:r>
          <w:r w:rsidRPr="001D1B80">
            <w:rPr>
              <w:lang w:val="en-US"/>
            </w:rPr>
            <w:t xml:space="preserve"> situ cyanobacterial growth control</w:t>
          </w:r>
          <w:r w:rsidRPr="001D1B80">
            <w:rPr>
              <w:lang w:val="da-DK"/>
            </w:rPr>
            <w:t xml:space="preserve"> approach.</w:t>
          </w:r>
          <w:r w:rsidRPr="001D1B80">
            <w:rPr>
              <w:lang w:val="pt-BR"/>
            </w:rPr>
            <w:t xml:space="preserve"> For</w:t>
          </w:r>
          <w:r w:rsidRPr="001D1B80">
            <w:rPr>
              <w:lang w:val="en-US"/>
            </w:rPr>
            <w:t xml:space="preserve"> instance,</w:t>
          </w:r>
          <w:r w:rsidRPr="001D1B80">
            <w:rPr>
              <w:lang w:val="pt-BR"/>
            </w:rPr>
            <w:t xml:space="preserve"> for</w:t>
          </w:r>
          <w:r w:rsidRPr="001D1B80">
            <w:rPr>
              <w:lang w:val="sl-SI"/>
            </w:rPr>
            <w:t xml:space="preserve"> a</w:t>
          </w:r>
          <w:r w:rsidRPr="001D1B80">
            <w:rPr>
              <w:lang w:val="da-DK"/>
            </w:rPr>
            <w:t xml:space="preserve"> pond</w:t>
          </w:r>
          <w:r w:rsidRPr="001D1B80">
            <w:rPr>
              <w:lang w:val="en-US"/>
            </w:rPr>
            <w:t xml:space="preserve"> of</w:t>
          </w:r>
          <w:r w:rsidRPr="001D1B80">
            <w:rPr>
              <w:lang w:val="ca-ES"/>
            </w:rPr>
            <w:t xml:space="preserve"> 2</w:t>
          </w:r>
          <w:r w:rsidRPr="001D1B80">
            <w:rPr>
              <w:lang w:val="sl-SI"/>
            </w:rPr>
            <w:t xml:space="preserve"> m</w:t>
          </w:r>
          <w:r w:rsidRPr="001D1B80">
            <w:rPr>
              <w:lang w:val="en-US"/>
            </w:rPr>
            <w:t xml:space="preserve"> depth</w:t>
          </w:r>
          <w:r w:rsidRPr="001D1B80">
            <w:rPr>
              <w:lang w:val="sl-SI"/>
            </w:rPr>
            <w:t xml:space="preserve"> on</w:t>
          </w:r>
          <w:r w:rsidRPr="001D1B80">
            <w:rPr>
              <w:lang w:val="en-US"/>
            </w:rPr>
            <w:t xml:space="preserve"> average</w:t>
          </w:r>
          <w:r w:rsidRPr="001D1B80">
            <w:rPr>
              <w:lang w:val="da-DK"/>
            </w:rPr>
            <w:t xml:space="preserve"> and</w:t>
          </w:r>
          <w:r w:rsidRPr="001D1B80">
            <w:rPr>
              <w:lang w:val="en-US"/>
            </w:rPr>
            <w:t xml:space="preserve"> depend</w:t>
          </w:r>
          <w:r w:rsidRPr="001D1B80">
            <w:rPr>
              <w:lang w:val="en-US"/>
            </w:rPr>
            <w:softHyphen/>
            <w:t>ing</w:t>
          </w:r>
          <w:r w:rsidRPr="001D1B80">
            <w:rPr>
              <w:lang w:val="sl-SI"/>
            </w:rPr>
            <w:t xml:space="preserve"> on</w:t>
          </w:r>
          <w:r w:rsidRPr="001D1B80">
            <w:rPr>
              <w:lang w:val="en-US"/>
            </w:rPr>
            <w:t xml:space="preserve"> nonanoic</w:t>
          </w:r>
          <w:r w:rsidRPr="001D1B80">
            <w:rPr>
              <w:lang w:val="sl-SI"/>
            </w:rPr>
            <w:t xml:space="preserve"> or</w:t>
          </w:r>
          <w:r w:rsidRPr="001D1B80">
            <w:rPr>
              <w:lang w:val="en-US"/>
            </w:rPr>
            <w:t xml:space="preserve"> gallic acid application (e.g.</w:t>
          </w:r>
          <w:r w:rsidRPr="001D1B80">
            <w:rPr>
              <w:lang w:val="ca-ES"/>
            </w:rPr>
            <w:t xml:space="preserve"> 1</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sl-SI"/>
            </w:rPr>
            <w:t xml:space="preserve"> one</w:t>
          </w:r>
          <w:r w:rsidRPr="001D1B80">
            <w:rPr>
              <w:lang w:val="en-US"/>
            </w:rPr>
            <w:t xml:space="preserve"> could hy</w:t>
          </w:r>
          <w:r w:rsidRPr="001D1B80">
            <w:rPr>
              <w:lang w:val="en-US"/>
            </w:rPr>
            <w:softHyphen/>
            <w:t>pothesize</w:t>
          </w:r>
          <w:r w:rsidRPr="001D1B80">
            <w:rPr>
              <w:lang w:val="sl-SI"/>
            </w:rPr>
            <w:t xml:space="preserve"> minimum</w:t>
          </w:r>
          <w:r w:rsidRPr="001D1B80">
            <w:rPr>
              <w:lang w:val="en-US"/>
            </w:rPr>
            <w:t xml:space="preserve"> prices varying from</w:t>
          </w:r>
          <w:r w:rsidRPr="001D1B80">
            <w:rPr>
              <w:lang w:val="ca-ES"/>
            </w:rPr>
            <w:t xml:space="preserve"> 20</w:t>
          </w:r>
          <w:r w:rsidRPr="001D1B80">
            <w:rPr>
              <w:lang w:val="sl-SI"/>
            </w:rPr>
            <w:t xml:space="preserve"> to</w:t>
          </w:r>
          <w:r w:rsidRPr="001D1B80">
            <w:rPr>
              <w:lang w:val="ca-ES"/>
            </w:rPr>
            <w:t xml:space="preserve"> 200</w:t>
          </w:r>
          <w:r w:rsidRPr="001D1B80">
            <w:rPr>
              <w:lang w:val="da-DK"/>
            </w:rPr>
            <w:t xml:space="preserve"> US</w:t>
          </w:r>
          <w:r w:rsidRPr="001D1B80">
            <w:rPr>
              <w:lang w:val="en-US"/>
            </w:rPr>
            <w:t xml:space="preserve"> $</w:t>
          </w:r>
          <w:r w:rsidRPr="001D1B80">
            <w:rPr>
              <w:lang w:val="da-DK"/>
            </w:rPr>
            <w:t xml:space="preserve"> dollar</w:t>
          </w:r>
          <w:r w:rsidRPr="001D1B80">
            <w:rPr>
              <w:lang w:val="pt-BR"/>
            </w:rPr>
            <w:t xml:space="preserve"> per hectare</w:t>
          </w:r>
          <w:r w:rsidRPr="001D1B80">
            <w:rPr>
              <w:lang w:val="en-US"/>
            </w:rPr>
            <w:t xml:space="preserve"> (based</w:t>
          </w:r>
          <w:r w:rsidRPr="001D1B80">
            <w:rPr>
              <w:lang w:val="sl-SI"/>
            </w:rPr>
            <w:t xml:space="preserve"> on</w:t>
          </w:r>
          <w:r w:rsidRPr="001D1B80">
            <w:rPr>
              <w:lang w:val="da-DK"/>
            </w:rPr>
            <w:t xml:space="preserve"> personal</w:t>
          </w:r>
          <w:r w:rsidRPr="001D1B80">
            <w:rPr>
              <w:lang w:val="en-US"/>
            </w:rPr>
            <w:t xml:space="preserve"> estimations only).</w:t>
          </w:r>
        </w:p>
        <w:p w:rsidR="00523082" w:rsidRPr="001D1B80" w:rsidRDefault="00523082" w:rsidP="001D1B80">
          <w:pPr>
            <w:pStyle w:val="Partie"/>
            <w:rPr>
              <w:lang w:val="en-US"/>
            </w:rPr>
          </w:pPr>
          <w:r w:rsidRPr="001D1B80">
            <w:rPr>
              <w:lang w:val="en-US"/>
            </w:rPr>
            <w:t>Similar environmental conditions</w:t>
          </w:r>
          <w:r w:rsidRPr="001D1B80">
            <w:rPr>
              <w:lang w:val="sl-SI"/>
            </w:rPr>
            <w:t xml:space="preserve"> in</w:t>
          </w:r>
          <w:r w:rsidRPr="001D1B80">
            <w:rPr>
              <w:lang w:val="da-DK"/>
            </w:rPr>
            <w:t xml:space="preserve"> all</w:t>
          </w:r>
          <w:r w:rsidRPr="001D1B80">
            <w:rPr>
              <w:lang w:val="en-US"/>
            </w:rPr>
            <w:t xml:space="preserve"> the exposure</w:t>
          </w:r>
          <w:r w:rsidRPr="001D1B80">
            <w:rPr>
              <w:lang w:val="da-DK"/>
            </w:rPr>
            <w:t xml:space="preserve"> tanks at</w:t>
          </w:r>
          <w:r w:rsidRPr="001D1B80">
            <w:rPr>
              <w:lang w:val="ca-ES"/>
            </w:rPr>
            <w:t xml:space="preserve"> T0</w:t>
          </w:r>
          <w:r w:rsidRPr="001D1B80">
            <w:rPr>
              <w:lang w:val="da-DK"/>
            </w:rPr>
            <w:t xml:space="preserve"> and</w:t>
          </w:r>
          <w:r w:rsidRPr="001D1B80">
            <w:rPr>
              <w:lang w:val="en-US"/>
            </w:rPr>
            <w:t xml:space="preserve"> throughout the experiments were required</w:t>
          </w:r>
          <w:r w:rsidRPr="001D1B80">
            <w:rPr>
              <w:lang w:val="sl-SI"/>
            </w:rPr>
            <w:t xml:space="preserve"> in</w:t>
          </w:r>
          <w:r w:rsidRPr="001D1B80">
            <w:rPr>
              <w:lang w:val="en-US"/>
            </w:rPr>
            <w:t xml:space="preserve"> order</w:t>
          </w:r>
          <w:r w:rsidRPr="001D1B80">
            <w:rPr>
              <w:lang w:val="sl-SI"/>
            </w:rPr>
            <w:t xml:space="preserve"> to</w:t>
          </w:r>
          <w:r w:rsidRPr="001D1B80">
            <w:rPr>
              <w:lang w:val="en-US"/>
            </w:rPr>
            <w:t xml:space="preserve"> rule</w:t>
          </w:r>
          <w:r w:rsidRPr="001D1B80">
            <w:rPr>
              <w:lang w:val="cs-CZ"/>
            </w:rPr>
            <w:t xml:space="preserve"> out</w:t>
          </w:r>
          <w:r w:rsidRPr="001D1B80">
            <w:rPr>
              <w:lang w:val="en-US"/>
            </w:rPr>
            <w:t xml:space="preserve"> any physicochemical parameters interference which could indirectly</w:t>
          </w:r>
          <w:r w:rsidRPr="001D1B80">
            <w:rPr>
              <w:lang w:val="sl-SI"/>
            </w:rPr>
            <w:t xml:space="preserve"> or</w:t>
          </w:r>
          <w:r w:rsidRPr="001D1B80">
            <w:rPr>
              <w:lang w:val="en-US"/>
            </w:rPr>
            <w:t xml:space="preserve"> un</w:t>
          </w:r>
          <w:r w:rsidRPr="001D1B80">
            <w:rPr>
              <w:lang w:val="en-US"/>
            </w:rPr>
            <w:softHyphen/>
            <w:t>expectedly affect cyanobacterial growth</w:t>
          </w:r>
          <w:r w:rsidRPr="001D1B80">
            <w:rPr>
              <w:lang w:val="sl-SI"/>
            </w:rPr>
            <w:t xml:space="preserve"> in</w:t>
          </w:r>
          <w:r w:rsidRPr="001D1B80">
            <w:rPr>
              <w:lang w:val="en-US"/>
            </w:rPr>
            <w:t xml:space="preserve"> the designed mesocosms.</w:t>
          </w:r>
        </w:p>
        <w:p w:rsidR="00523082" w:rsidRPr="001D1B80" w:rsidRDefault="00523082" w:rsidP="001D1B80">
          <w:pPr>
            <w:pStyle w:val="Partie"/>
            <w:rPr>
              <w:lang w:val="en-US"/>
            </w:rPr>
          </w:pPr>
          <w:r w:rsidRPr="001D1B80">
            <w:rPr>
              <w:lang w:val="en-US"/>
            </w:rPr>
            <w:t>Thus, it</w:t>
          </w:r>
          <w:r w:rsidRPr="001D1B80">
            <w:rPr>
              <w:lang w:val="cs-CZ"/>
            </w:rPr>
            <w:t xml:space="preserve"> has</w:t>
          </w:r>
          <w:r w:rsidRPr="001D1B80">
            <w:rPr>
              <w:lang w:val="sl-SI"/>
            </w:rPr>
            <w:t xml:space="preserve"> to</w:t>
          </w:r>
          <w:r w:rsidRPr="001D1B80">
            <w:rPr>
              <w:lang w:val="en-US"/>
            </w:rPr>
            <w:t xml:space="preserve"> be pointed</w:t>
          </w:r>
          <w:r w:rsidRPr="001D1B80">
            <w:rPr>
              <w:lang w:val="cs-CZ"/>
            </w:rPr>
            <w:t xml:space="preserve"> out</w:t>
          </w:r>
          <w:r w:rsidRPr="001D1B80">
            <w:rPr>
              <w:lang w:val="en-US"/>
            </w:rPr>
            <w:t xml:space="preserve"> that</w:t>
          </w:r>
          <w:r w:rsidRPr="001D1B80">
            <w:rPr>
              <w:lang w:val="sl-SI"/>
            </w:rPr>
            <w:t xml:space="preserve"> most</w:t>
          </w:r>
          <w:r w:rsidRPr="001D1B80">
            <w:rPr>
              <w:lang w:val="en-US"/>
            </w:rPr>
            <w:t xml:space="preserve"> of mesocosms tended</w:t>
          </w:r>
          <w:r w:rsidRPr="001D1B80">
            <w:rPr>
              <w:lang w:val="sl-SI"/>
            </w:rPr>
            <w:t xml:space="preserve"> to</w:t>
          </w:r>
          <w:r w:rsidRPr="001D1B80">
            <w:rPr>
              <w:lang w:val="da-DK"/>
            </w:rPr>
            <w:t xml:space="preserve"> have</w:t>
          </w:r>
          <w:r w:rsidRPr="001D1B80">
            <w:rPr>
              <w:lang w:val="en-US"/>
            </w:rPr>
            <w:t xml:space="preserve"> low initial PO4 content, despite disparities</w:t>
          </w:r>
          <w:r w:rsidRPr="001D1B80">
            <w:rPr>
              <w:lang w:val="sl-SI"/>
            </w:rPr>
            <w:t xml:space="preserve"> in</w:t>
          </w:r>
          <w:r w:rsidRPr="001D1B80">
            <w:rPr>
              <w:lang w:val="da-DK"/>
            </w:rPr>
            <w:t xml:space="preserve"> all</w:t>
          </w:r>
          <w:r w:rsidRPr="001D1B80">
            <w:rPr>
              <w:lang w:val="en-US"/>
            </w:rPr>
            <w:t xml:space="preserve"> tested groups</w:t>
          </w:r>
          <w:r w:rsidRPr="001D1B80">
            <w:rPr>
              <w:lang w:val="da-DK"/>
            </w:rPr>
            <w:t xml:space="preserve"> and</w:t>
          </w:r>
          <w:r w:rsidRPr="001D1B80">
            <w:rPr>
              <w:lang w:val="en-US"/>
            </w:rPr>
            <w:t xml:space="preserve"> re</w:t>
          </w:r>
          <w:r w:rsidRPr="001D1B80">
            <w:rPr>
              <w:lang w:val="en-US"/>
            </w:rPr>
            <w:softHyphen/>
            <w:t>gardless the assigned treatment</w:t>
          </w:r>
          <w:r w:rsidRPr="001D1B80">
            <w:rPr>
              <w:lang w:val="sl-SI"/>
            </w:rPr>
            <w:t xml:space="preserve"> (Table</w:t>
          </w:r>
          <w:r w:rsidRPr="001D1B80">
            <w:rPr>
              <w:lang w:val="ca-ES"/>
            </w:rPr>
            <w:t xml:space="preserve"> 1).</w:t>
          </w:r>
          <w:r w:rsidRPr="001D1B80">
            <w:rPr>
              <w:lang w:val="sl-SI"/>
            </w:rPr>
            <w:t xml:space="preserve"> As</w:t>
          </w:r>
          <w:r w:rsidRPr="001D1B80">
            <w:rPr>
              <w:lang w:val="en-US"/>
            </w:rPr>
            <w:t xml:space="preserve"> reported</w:t>
          </w:r>
          <w:r w:rsidRPr="001D1B80">
            <w:rPr>
              <w:lang w:val="cs-CZ"/>
            </w:rPr>
            <w:t xml:space="preserve"> by</w:t>
          </w:r>
          <w:r w:rsidRPr="001D1B80">
            <w:rPr>
              <w:lang w:val="en-US"/>
            </w:rPr>
            <w:t xml:space="preserve"> Caquet</w:t>
          </w:r>
          <w:r w:rsidRPr="001D1B80">
            <w:rPr>
              <w:lang w:val="pt-BR"/>
            </w:rPr>
            <w:t xml:space="preserve"> et</w:t>
          </w:r>
          <w:r w:rsidRPr="001D1B80">
            <w:rPr>
              <w:lang w:val="da-DK"/>
            </w:rPr>
            <w:t xml:space="preserve"> al.</w:t>
          </w:r>
          <w:r w:rsidRPr="001D1B80">
            <w:rPr>
              <w:lang w:val="ca-ES"/>
            </w:rPr>
            <w:t xml:space="preserve"> (1996, 2001),</w:t>
          </w:r>
          <w:r w:rsidRPr="001D1B80">
            <w:rPr>
              <w:lang w:val="en-US"/>
            </w:rPr>
            <w:t xml:space="preserve"> phosphorus-</w:t>
          </w:r>
          <w:r w:rsidRPr="001D1B80">
            <w:rPr>
              <w:lang w:val="da-DK"/>
            </w:rPr>
            <w:t xml:space="preserve"> and</w:t>
          </w:r>
          <w:r w:rsidRPr="001D1B80">
            <w:rPr>
              <w:lang w:val="en-US"/>
            </w:rPr>
            <w:t xml:space="preserve"> </w:t>
          </w:r>
          <w:r w:rsidRPr="001D1B80">
            <w:rPr>
              <w:lang w:val="en-US"/>
            </w:rPr>
            <w:t>nitrogen-containing nutrient concen</w:t>
          </w:r>
          <w:r w:rsidRPr="001D1B80">
            <w:rPr>
              <w:lang w:val="en-US"/>
            </w:rPr>
            <w:softHyphen/>
            <w:t>trations often display</w:t>
          </w:r>
          <w:r w:rsidRPr="001D1B80">
            <w:rPr>
              <w:lang w:val="da-DK"/>
            </w:rPr>
            <w:t xml:space="preserve"> high</w:t>
          </w:r>
          <w:r w:rsidRPr="001D1B80">
            <w:rPr>
              <w:lang w:val="en-US"/>
            </w:rPr>
            <w:t xml:space="preserve"> inter-system variability, depending closely</w:t>
          </w:r>
          <w:r w:rsidRPr="001D1B80">
            <w:rPr>
              <w:lang w:val="sl-SI"/>
            </w:rPr>
            <w:t xml:space="preserve"> on</w:t>
          </w:r>
          <w:r w:rsidRPr="001D1B80">
            <w:rPr>
              <w:lang w:val="en-US"/>
            </w:rPr>
            <w:t xml:space="preserve"> primary</w:t>
          </w:r>
          <w:r w:rsidRPr="001D1B80">
            <w:rPr>
              <w:lang w:val="da-DK"/>
            </w:rPr>
            <w:t xml:space="preserve"> producer</w:t>
          </w:r>
          <w:r w:rsidRPr="001D1B80">
            <w:rPr>
              <w:lang w:val="en-US"/>
            </w:rPr>
            <w:t xml:space="preserve"> biological activity which</w:t>
          </w:r>
          <w:r w:rsidRPr="001D1B80">
            <w:rPr>
              <w:lang w:val="pt-BR"/>
            </w:rPr>
            <w:t xml:space="preserve"> is</w:t>
          </w:r>
          <w:r w:rsidRPr="001D1B80">
            <w:rPr>
              <w:lang w:val="en-US"/>
            </w:rPr>
            <w:t xml:space="preserve"> rarely synchronous be</w:t>
          </w:r>
          <w:r w:rsidRPr="001D1B80">
            <w:rPr>
              <w:lang w:val="en-US"/>
            </w:rPr>
            <w:softHyphen/>
            <w:t>tween such replicated outdoor</w:t>
          </w:r>
          <w:r w:rsidRPr="001D1B80">
            <w:rPr>
              <w:lang w:val="da-DK"/>
            </w:rPr>
            <w:t xml:space="preserve"> tanks.</w:t>
          </w:r>
          <w:r w:rsidRPr="001D1B80">
            <w:rPr>
              <w:lang w:val="en-US"/>
            </w:rPr>
            <w:t xml:space="preserve"> Water quality</w:t>
          </w:r>
          <w:r w:rsidRPr="001D1B80">
            <w:rPr>
              <w:lang w:val="da-DK"/>
            </w:rPr>
            <w:t xml:space="preserve"> analyses</w:t>
          </w:r>
          <w:r w:rsidRPr="001D1B80">
            <w:rPr>
              <w:lang w:val="en-US"/>
            </w:rPr>
            <w:t xml:space="preserve"> confirmed the homogeneity of the measured parameters</w:t>
          </w:r>
          <w:r w:rsidRPr="001D1B80">
            <w:rPr>
              <w:lang w:val="cs-CZ"/>
            </w:rPr>
            <w:t xml:space="preserve"> (absence</w:t>
          </w:r>
          <w:r w:rsidRPr="001D1B80">
            <w:rPr>
              <w:lang w:val="en-US"/>
            </w:rPr>
            <w:t xml:space="preserve"> of statistical sig</w:t>
          </w:r>
          <w:r w:rsidRPr="001D1B80">
            <w:rPr>
              <w:lang w:val="en-US"/>
            </w:rPr>
            <w:softHyphen/>
            <w:t>nificance</w:t>
          </w:r>
          <w:r w:rsidRPr="001D1B80">
            <w:rPr>
              <w:lang w:val="sl-SI"/>
            </w:rPr>
            <w:t xml:space="preserve"> in</w:t>
          </w:r>
          <w:r w:rsidRPr="001D1B80">
            <w:rPr>
              <w:lang w:val="en-US"/>
            </w:rPr>
            <w:t xml:space="preserve"> nutrient contents)</w:t>
          </w:r>
          <w:r w:rsidRPr="001D1B80">
            <w:rPr>
              <w:lang w:val="sl-SI"/>
            </w:rPr>
            <w:t xml:space="preserve"> in</w:t>
          </w:r>
          <w:r w:rsidRPr="001D1B80">
            <w:rPr>
              <w:lang w:val="da-DK"/>
            </w:rPr>
            <w:t xml:space="preserve"> all</w:t>
          </w:r>
          <w:r w:rsidRPr="001D1B80">
            <w:rPr>
              <w:lang w:val="en-US"/>
            </w:rPr>
            <w:t xml:space="preserve"> the</w:t>
          </w:r>
          <w:r w:rsidRPr="001D1B80">
            <w:rPr>
              <w:lang w:val="da-DK"/>
            </w:rPr>
            <w:t xml:space="preserve"> tanks</w:t>
          </w:r>
          <w:r w:rsidRPr="001D1B80">
            <w:rPr>
              <w:lang w:val="sl-SI"/>
            </w:rPr>
            <w:t xml:space="preserve"> prior to</w:t>
          </w:r>
          <w:r w:rsidRPr="001D1B80">
            <w:rPr>
              <w:lang w:val="en-US"/>
            </w:rPr>
            <w:t xml:space="preserve"> the experiments</w:t>
          </w:r>
          <w:r w:rsidRPr="001D1B80">
            <w:rPr>
              <w:lang w:val="da-DK"/>
            </w:rPr>
            <w:t xml:space="preserve"> and</w:t>
          </w:r>
          <w:r w:rsidRPr="001D1B80">
            <w:rPr>
              <w:lang w:val="en-US"/>
            </w:rPr>
            <w:t xml:space="preserve"> also its compatibility with phytoplankton growth (including cyanobacteria) during the experimental phase</w:t>
          </w:r>
          <w:r w:rsidRPr="001D1B80">
            <w:rPr>
              <w:lang w:val="sl-SI"/>
            </w:rPr>
            <w:t xml:space="preserve"> (Table</w:t>
          </w:r>
          <w:r w:rsidRPr="001D1B80">
            <w:rPr>
              <w:lang w:val="ca-ES"/>
            </w:rPr>
            <w:t xml:space="preserve"> 1).</w:t>
          </w:r>
        </w:p>
        <w:p w:rsidR="00523082" w:rsidRPr="001D1B80" w:rsidRDefault="00523082" w:rsidP="001D1B80">
          <w:pPr>
            <w:pStyle w:val="Partie"/>
            <w:rPr>
              <w:lang w:val="en-US"/>
            </w:rPr>
          </w:pPr>
          <w:r w:rsidRPr="001D1B80">
            <w:rPr>
              <w:lang w:val="en-US"/>
            </w:rPr>
            <w:t>Regarding the allelopathic activity of gallic</w:t>
          </w:r>
          <w:r w:rsidRPr="001D1B80">
            <w:rPr>
              <w:lang w:val="da-DK"/>
            </w:rPr>
            <w:t xml:space="preserve"> and</w:t>
          </w:r>
          <w:r w:rsidRPr="001D1B80">
            <w:rPr>
              <w:lang w:val="en-US"/>
            </w:rPr>
            <w:t xml:space="preserve"> nonanoic acids,</w:t>
          </w:r>
          <w:r w:rsidRPr="001D1B80">
            <w:rPr>
              <w:lang w:val="da-DK"/>
            </w:rPr>
            <w:t xml:space="preserve"> over</w:t>
          </w:r>
          <w:r w:rsidRPr="001D1B80">
            <w:rPr>
              <w:lang w:val="da-DK"/>
            </w:rPr>
            <w:softHyphen/>
            <w:t>all</w:t>
          </w:r>
          <w:r w:rsidRPr="001D1B80">
            <w:rPr>
              <w:lang w:val="en-US"/>
            </w:rPr>
            <w:t xml:space="preserve"> the latter did</w:t>
          </w:r>
          <w:r w:rsidRPr="001D1B80">
            <w:rPr>
              <w:lang w:val="sl-SI"/>
            </w:rPr>
            <w:t xml:space="preserve"> not</w:t>
          </w:r>
          <w:r w:rsidRPr="001D1B80">
            <w:rPr>
              <w:lang w:val="en-US"/>
            </w:rPr>
            <w:t xml:space="preserve"> seem</w:t>
          </w:r>
          <w:r w:rsidRPr="001D1B80">
            <w:rPr>
              <w:lang w:val="sl-SI"/>
            </w:rPr>
            <w:t xml:space="preserve"> to</w:t>
          </w:r>
          <w:r w:rsidRPr="001D1B80">
            <w:rPr>
              <w:lang w:val="en-US"/>
            </w:rPr>
            <w:t xml:space="preserve"> induce any significant cyanobacterial growth inhibition,</w:t>
          </w:r>
          <w:r w:rsidRPr="001D1B80">
            <w:rPr>
              <w:lang w:val="da-DK"/>
            </w:rPr>
            <w:t xml:space="preserve"> and</w:t>
          </w:r>
          <w:r w:rsidRPr="001D1B80">
            <w:rPr>
              <w:lang w:val="sl-SI"/>
            </w:rPr>
            <w:t xml:space="preserve"> no</w:t>
          </w:r>
          <w:r w:rsidRPr="001D1B80">
            <w:rPr>
              <w:lang w:val="en-US"/>
            </w:rPr>
            <w:t xml:space="preserve"> synergistic effect could be observed when the two allelochemicals were added together</w:t>
          </w:r>
          <w:r w:rsidRPr="001D1B80">
            <w:rPr>
              <w:lang w:val="sl-SI"/>
            </w:rPr>
            <w:t xml:space="preserve"> to</w:t>
          </w:r>
          <w:r w:rsidRPr="001D1B80">
            <w:rPr>
              <w:lang w:val="en-US"/>
            </w:rPr>
            <w:t xml:space="preserve"> mesocosms (Fig.</w:t>
          </w:r>
          <w:r w:rsidRPr="001D1B80">
            <w:rPr>
              <w:lang w:val="ca-ES"/>
            </w:rPr>
            <w:t xml:space="preserve"> 1B).</w:t>
          </w:r>
          <w:r w:rsidRPr="001D1B80">
            <w:rPr>
              <w:lang w:val="en-US"/>
            </w:rPr>
            <w:t xml:space="preserve"> Although</w:t>
          </w:r>
          <w:r w:rsidRPr="001D1B80">
            <w:rPr>
              <w:lang w:val="sl-SI"/>
            </w:rPr>
            <w:t xml:space="preserve"> M.</w:t>
          </w:r>
          <w:r w:rsidRPr="001D1B80">
            <w:rPr>
              <w:lang w:val="sv-SE"/>
            </w:rPr>
            <w:t xml:space="preserve"> elegans</w:t>
          </w:r>
          <w:r w:rsidRPr="001D1B80">
            <w:rPr>
              <w:lang w:val="en-US"/>
            </w:rPr>
            <w:t xml:space="preserve"> (previously identified</w:t>
          </w:r>
          <w:r w:rsidRPr="001D1B80">
            <w:rPr>
              <w:lang w:val="sl-SI"/>
            </w:rPr>
            <w:t xml:space="preserve"> in</w:t>
          </w:r>
          <w:r w:rsidRPr="001D1B80">
            <w:rPr>
              <w:lang w:val="en-US"/>
            </w:rPr>
            <w:t xml:space="preserve"> the water</w:t>
          </w:r>
          <w:r w:rsidRPr="001D1B80">
            <w:rPr>
              <w:lang w:val="da-DK"/>
            </w:rPr>
            <w:t xml:space="preserve"> samples</w:t>
          </w:r>
          <w:r w:rsidRPr="001D1B80">
            <w:rPr>
              <w:lang w:val="en-US"/>
            </w:rPr>
            <w:t xml:space="preserve"> used</w:t>
          </w:r>
          <w:r w:rsidRPr="001D1B80">
            <w:rPr>
              <w:lang w:val="pt-BR"/>
            </w:rPr>
            <w:t xml:space="preserve"> for</w:t>
          </w:r>
          <w:r w:rsidRPr="001D1B80">
            <w:rPr>
              <w:lang w:val="en-US"/>
            </w:rPr>
            <w:t xml:space="preserve"> initial mesocosm enrichments)</w:t>
          </w:r>
          <w:r w:rsidRPr="001D1B80">
            <w:rPr>
              <w:lang w:val="sl-SI"/>
            </w:rPr>
            <w:t xml:space="preserve"> are</w:t>
          </w:r>
          <w:r w:rsidRPr="001D1B80">
            <w:rPr>
              <w:lang w:val="en-US"/>
            </w:rPr>
            <w:t xml:space="preserve"> unicellular blue-green algae belonging</w:t>
          </w:r>
          <w:r w:rsidRPr="001D1B80">
            <w:rPr>
              <w:lang w:val="sl-SI"/>
            </w:rPr>
            <w:t xml:space="preserve"> to</w:t>
          </w:r>
          <w:r w:rsidRPr="001D1B80">
            <w:rPr>
              <w:lang w:val="en-US"/>
            </w:rPr>
            <w:t xml:space="preserve"> the Chroococcales order (like</w:t>
          </w:r>
          <w:r w:rsidRPr="001D1B80">
            <w:rPr>
              <w:lang w:val="sl-SI"/>
            </w:rPr>
            <w:t xml:space="preserve"> M.</w:t>
          </w:r>
          <w:r w:rsidRPr="001D1B80">
            <w:rPr>
              <w:lang w:val="pt-BR"/>
            </w:rPr>
            <w:t xml:space="preserve"> aeruginosa),</w:t>
          </w:r>
          <w:r w:rsidRPr="001D1B80">
            <w:rPr>
              <w:lang w:val="en-US"/>
            </w:rPr>
            <w:t xml:space="preserve"> results sug</w:t>
          </w:r>
          <w:r w:rsidRPr="001D1B80">
            <w:rPr>
              <w:lang w:val="en-US"/>
            </w:rPr>
            <w:softHyphen/>
            <w:t>gested that nonanoic acid would be</w:t>
          </w:r>
          <w:r w:rsidRPr="001D1B80">
            <w:rPr>
              <w:lang w:val="cs-CZ"/>
            </w:rPr>
            <w:t xml:space="preserve"> an</w:t>
          </w:r>
          <w:r w:rsidRPr="001D1B80">
            <w:rPr>
              <w:lang w:val="en-US"/>
            </w:rPr>
            <w:t xml:space="preserve"> inappropriate</w:t>
          </w:r>
          <w:r w:rsidRPr="001D1B80">
            <w:rPr>
              <w:lang w:val="sl-SI"/>
            </w:rPr>
            <w:t xml:space="preserve"> substance to</w:t>
          </w:r>
          <w:r w:rsidRPr="001D1B80">
            <w:rPr>
              <w:lang w:val="en-US"/>
            </w:rPr>
            <w:t xml:space="preserve"> inhibit their growth</w:t>
          </w:r>
          <w:r w:rsidRPr="001D1B80">
            <w:rPr>
              <w:lang w:val="sl-SI"/>
            </w:rPr>
            <w:t xml:space="preserve"> in</w:t>
          </w:r>
          <w:r w:rsidRPr="001D1B80">
            <w:rPr>
              <w:lang w:val="en-US"/>
            </w:rPr>
            <w:t xml:space="preserve"> situ. Rather, the experimental observations would indicate that only gallic acid</w:t>
          </w:r>
          <w:r w:rsidRPr="001D1B80">
            <w:rPr>
              <w:lang w:val="cs-CZ"/>
            </w:rPr>
            <w:t xml:space="preserve"> had</w:t>
          </w:r>
          <w:r w:rsidRPr="001D1B80">
            <w:rPr>
              <w:lang w:val="en-US"/>
            </w:rPr>
            <w:t xml:space="preserve"> the potential</w:t>
          </w:r>
          <w:r w:rsidRPr="001D1B80">
            <w:rPr>
              <w:lang w:val="sl-SI"/>
            </w:rPr>
            <w:t xml:space="preserve"> to</w:t>
          </w:r>
          <w:r w:rsidRPr="001D1B80">
            <w:rPr>
              <w:lang w:val="en-US"/>
            </w:rPr>
            <w:t xml:space="preserve"> slow down ini</w:t>
          </w:r>
          <w:r w:rsidRPr="001D1B80">
            <w:rPr>
              <w:lang w:val="en-US"/>
            </w:rPr>
            <w:softHyphen/>
            <w:t>tial cyanobacterial proliferation (Fig.</w:t>
          </w:r>
          <w:r w:rsidRPr="001D1B80">
            <w:rPr>
              <w:lang w:val="ca-ES"/>
            </w:rPr>
            <w:t xml:space="preserve"> 1B).</w:t>
          </w:r>
          <w:r w:rsidRPr="001D1B80">
            <w:rPr>
              <w:lang w:val="en-US"/>
            </w:rPr>
            <w:t xml:space="preserve"> According</w:t>
          </w:r>
          <w:r w:rsidRPr="001D1B80">
            <w:rPr>
              <w:lang w:val="sl-SI"/>
            </w:rPr>
            <w:t xml:space="preserve"> to</w:t>
          </w:r>
          <w:r w:rsidRPr="001D1B80">
            <w:rPr>
              <w:lang w:val="en-US"/>
            </w:rPr>
            <w:t xml:space="preserve"> the literature, the allelopathic activity of polyphenols like gallic acid may be due</w:t>
          </w:r>
          <w:r w:rsidRPr="001D1B80">
            <w:rPr>
              <w:lang w:val="sl-SI"/>
            </w:rPr>
            <w:t xml:space="preserve"> to</w:t>
          </w:r>
          <w:r w:rsidRPr="001D1B80">
            <w:rPr>
              <w:lang w:val="en-US"/>
            </w:rPr>
            <w:t xml:space="preserve"> alka</w:t>
          </w:r>
          <w:r w:rsidRPr="001D1B80">
            <w:rPr>
              <w:lang w:val="en-US"/>
            </w:rPr>
            <w:softHyphen/>
            <w:t>line phosphatase inhibition</w:t>
          </w:r>
          <w:r w:rsidRPr="001D1B80">
            <w:rPr>
              <w:lang w:val="sl-SI"/>
            </w:rPr>
            <w:t xml:space="preserve"> or</w:t>
          </w:r>
          <w:r w:rsidRPr="001D1B80">
            <w:rPr>
              <w:lang w:val="en-US"/>
            </w:rPr>
            <w:t xml:space="preserve"> photosynthetic process disruption, along with reactive oxygen</w:t>
          </w:r>
          <w:r w:rsidRPr="001D1B80">
            <w:rPr>
              <w:lang w:val="da-DK"/>
            </w:rPr>
            <w:t xml:space="preserve"> species</w:t>
          </w:r>
          <w:r w:rsidRPr="001D1B80">
            <w:rPr>
              <w:lang w:val="en-US"/>
            </w:rPr>
            <w:t xml:space="preserve"> formation</w:t>
          </w:r>
          <w:r w:rsidRPr="001D1B80">
            <w:rPr>
              <w:lang w:val="da-DK"/>
            </w:rPr>
            <w:t xml:space="preserve"> and</w:t>
          </w:r>
          <w:r w:rsidRPr="001D1B80">
            <w:rPr>
              <w:lang w:val="en-US"/>
            </w:rPr>
            <w:t xml:space="preserve"> cellular oxidative damage</w:t>
          </w:r>
          <w:r w:rsidRPr="001D1B80">
            <w:rPr>
              <w:lang w:val="sl-SI"/>
            </w:rPr>
            <w:t xml:space="preserve"> in</w:t>
          </w:r>
          <w:r w:rsidRPr="001D1B80">
            <w:rPr>
              <w:lang w:val="en-US"/>
            </w:rPr>
            <w:t xml:space="preserve"> cyanobacterial cells (Dziga</w:t>
          </w:r>
          <w:r w:rsidRPr="001D1B80">
            <w:rPr>
              <w:lang w:val="pt-BR"/>
            </w:rPr>
            <w:t xml:space="preserve"> et</w:t>
          </w:r>
          <w:r w:rsidRPr="001D1B80">
            <w:rPr>
              <w:lang w:val="da-DK"/>
            </w:rPr>
            <w:t xml:space="preserve"> al.,</w:t>
          </w:r>
          <w:r w:rsidRPr="001D1B80">
            <w:rPr>
              <w:lang w:val="ca-ES"/>
            </w:rPr>
            <w:t xml:space="preserve"> 2007;</w:t>
          </w:r>
          <w:r w:rsidRPr="001D1B80">
            <w:rPr>
              <w:lang w:val="sl-SI"/>
            </w:rPr>
            <w:t xml:space="preserve"> Gross</w:t>
          </w:r>
          <w:r w:rsidRPr="001D1B80">
            <w:rPr>
              <w:lang w:val="pt-BR"/>
            </w:rPr>
            <w:t xml:space="preserve"> et</w:t>
          </w:r>
          <w:r w:rsidRPr="001D1B80">
            <w:rPr>
              <w:lang w:val="da-DK"/>
            </w:rPr>
            <w:t xml:space="preserve"> al.,</w:t>
          </w:r>
          <w:r w:rsidRPr="001D1B80">
            <w:rPr>
              <w:lang w:val="ca-ES"/>
            </w:rPr>
            <w:t xml:space="preserve"> 1996;</w:t>
          </w:r>
          <w:r w:rsidRPr="001D1B80">
            <w:rPr>
              <w:lang w:val="da-DK"/>
            </w:rPr>
            <w:t xml:space="preserve"> Hoppe,</w:t>
          </w:r>
          <w:r w:rsidRPr="001D1B80">
            <w:rPr>
              <w:lang w:val="ca-ES"/>
            </w:rPr>
            <w:t xml:space="preserve"> 2003;</w:t>
          </w:r>
          <w:r w:rsidRPr="001D1B80">
            <w:rPr>
              <w:lang w:val="sl-SI"/>
            </w:rPr>
            <w:t xml:space="preserve"> Leu</w:t>
          </w:r>
          <w:r w:rsidRPr="001D1B80">
            <w:rPr>
              <w:lang w:val="pt-BR"/>
            </w:rPr>
            <w:t xml:space="preserve"> et</w:t>
          </w:r>
          <w:r w:rsidRPr="001D1B80">
            <w:rPr>
              <w:lang w:val="da-DK"/>
            </w:rPr>
            <w:t xml:space="preserve"> al.,</w:t>
          </w:r>
          <w:r w:rsidRPr="001D1B80">
            <w:rPr>
              <w:lang w:val="ca-ES"/>
            </w:rPr>
            <w:t xml:space="preserve"> 2002;</w:t>
          </w:r>
          <w:r w:rsidRPr="001D1B80">
            <w:rPr>
              <w:lang w:val="en-US"/>
            </w:rPr>
            <w:t xml:space="preserve"> Nakai</w:t>
          </w:r>
          <w:r w:rsidRPr="001D1B80">
            <w:rPr>
              <w:lang w:val="pt-BR"/>
            </w:rPr>
            <w:t xml:space="preserve"> et</w:t>
          </w:r>
          <w:r w:rsidRPr="001D1B80">
            <w:rPr>
              <w:lang w:val="da-DK"/>
            </w:rPr>
            <w:t xml:space="preserve"> al.,</w:t>
          </w:r>
          <w:r w:rsidRPr="001D1B80">
            <w:rPr>
              <w:lang w:val="ca-ES"/>
            </w:rPr>
            <w:t xml:space="preserve"> 2000).</w:t>
          </w:r>
          <w:r w:rsidRPr="001D1B80">
            <w:rPr>
              <w:lang w:val="en-US"/>
            </w:rPr>
            <w:t xml:space="preserve"> However, these results</w:t>
          </w:r>
          <w:r w:rsidRPr="001D1B80">
            <w:rPr>
              <w:lang w:val="cs-CZ"/>
            </w:rPr>
            <w:t xml:space="preserve"> had</w:t>
          </w:r>
          <w:r w:rsidRPr="001D1B80">
            <w:rPr>
              <w:lang w:val="sl-SI"/>
            </w:rPr>
            <w:t xml:space="preserve"> to</w:t>
          </w:r>
          <w:r w:rsidRPr="001D1B80">
            <w:rPr>
              <w:lang w:val="en-US"/>
            </w:rPr>
            <w:t xml:space="preserve"> be mitigated. Indeed, when considering the</w:t>
          </w:r>
          <w:r w:rsidRPr="001D1B80">
            <w:rPr>
              <w:lang w:val="sl-SI"/>
            </w:rPr>
            <w:t xml:space="preserve"> magnitude</w:t>
          </w:r>
          <w:r w:rsidRPr="001D1B80">
            <w:rPr>
              <w:lang w:val="en-US"/>
            </w:rPr>
            <w:t xml:space="preserve"> of the changes observed following gallic</w:t>
          </w:r>
          <w:r w:rsidRPr="001D1B80">
            <w:rPr>
              <w:lang w:val="sl-SI"/>
            </w:rPr>
            <w:t xml:space="preserve"> or</w:t>
          </w:r>
          <w:r w:rsidRPr="001D1B80">
            <w:rPr>
              <w:lang w:val="en-US"/>
            </w:rPr>
            <w:t xml:space="preserve"> nonanoic acid application after</w:t>
          </w:r>
          <w:r w:rsidRPr="001D1B80">
            <w:rPr>
              <w:lang w:val="ca-ES"/>
            </w:rPr>
            <w:t xml:space="preserve"> A2</w:t>
          </w:r>
          <w:r w:rsidRPr="001D1B80">
            <w:rPr>
              <w:lang w:val="en-US"/>
            </w:rPr>
            <w:t xml:space="preserve"> (i.e. the “slopes” of corresponding cyanobacterial biomass, Fig.</w:t>
          </w:r>
          <w:r w:rsidRPr="001D1B80">
            <w:rPr>
              <w:lang w:val="ca-ES"/>
            </w:rPr>
            <w:t xml:space="preserve"> 1B),</w:t>
          </w:r>
          <w:r w:rsidRPr="001D1B80">
            <w:rPr>
              <w:lang w:val="en-US"/>
            </w:rPr>
            <w:t xml:space="preserve"> the possibility of</w:t>
          </w:r>
          <w:r w:rsidRPr="001D1B80">
            <w:rPr>
              <w:lang w:val="sl-SI"/>
            </w:rPr>
            <w:t xml:space="preserve"> a</w:t>
          </w:r>
          <w:r w:rsidRPr="001D1B80">
            <w:rPr>
              <w:lang w:val="en-US"/>
            </w:rPr>
            <w:t xml:space="preserve"> nonanoic acid allelochemical effect cannot be ruled</w:t>
          </w:r>
          <w:r w:rsidRPr="001D1B80">
            <w:rPr>
              <w:lang w:val="cs-CZ"/>
            </w:rPr>
            <w:t xml:space="preserve"> out.</w:t>
          </w:r>
          <w:r w:rsidRPr="001D1B80">
            <w:rPr>
              <w:lang w:val="en-US"/>
            </w:rPr>
            <w:t xml:space="preserve"> Furthermore, using fluoroprobe was</w:t>
          </w:r>
          <w:r w:rsidRPr="001D1B80">
            <w:rPr>
              <w:lang w:val="sl-SI"/>
            </w:rPr>
            <w:t xml:space="preserve"> a</w:t>
          </w:r>
          <w:r w:rsidRPr="001D1B80">
            <w:rPr>
              <w:lang w:val="en-US"/>
            </w:rPr>
            <w:t xml:space="preserve"> well-suited method</w:t>
          </w:r>
          <w:r w:rsidRPr="001D1B80">
            <w:rPr>
              <w:lang w:val="pt-BR"/>
            </w:rPr>
            <w:t xml:space="preserve"> for</w:t>
          </w:r>
          <w:r w:rsidRPr="001D1B80">
            <w:rPr>
              <w:lang w:val="sl-SI"/>
            </w:rPr>
            <w:t xml:space="preserve"> a</w:t>
          </w:r>
          <w:r w:rsidRPr="001D1B80">
            <w:rPr>
              <w:lang w:val="en-US"/>
            </w:rPr>
            <w:t xml:space="preserve"> rapid monitoring of phytoplankton communities during</w:t>
          </w:r>
          <w:r w:rsidRPr="001D1B80">
            <w:rPr>
              <w:lang w:val="sl-SI"/>
            </w:rPr>
            <w:t xml:space="preserve"> in</w:t>
          </w:r>
          <w:r w:rsidRPr="001D1B80">
            <w:rPr>
              <w:lang w:val="en-US"/>
            </w:rPr>
            <w:t xml:space="preserve"> situ experi</w:t>
          </w:r>
          <w:r w:rsidRPr="001D1B80">
            <w:rPr>
              <w:lang w:val="en-US"/>
            </w:rPr>
            <w:softHyphen/>
            <w:t>ments</w:t>
          </w:r>
          <w:r w:rsidRPr="001D1B80">
            <w:rPr>
              <w:lang w:val="sl-SI"/>
            </w:rPr>
            <w:t xml:space="preserve"> (as</w:t>
          </w:r>
          <w:r w:rsidRPr="001D1B80">
            <w:rPr>
              <w:lang w:val="en-US"/>
            </w:rPr>
            <w:t xml:space="preserve"> previously reported</w:t>
          </w:r>
          <w:r w:rsidRPr="001D1B80">
            <w:rPr>
              <w:lang w:val="cs-CZ"/>
            </w:rPr>
            <w:t xml:space="preserve"> by</w:t>
          </w:r>
          <w:r w:rsidRPr="001D1B80">
            <w:rPr>
              <w:lang w:val="en-US"/>
            </w:rPr>
            <w:t xml:space="preserve"> Beutler</w:t>
          </w:r>
          <w:r w:rsidRPr="001D1B80">
            <w:rPr>
              <w:lang w:val="pt-BR"/>
            </w:rPr>
            <w:t xml:space="preserve"> et</w:t>
          </w:r>
          <w:r w:rsidRPr="001D1B80">
            <w:rPr>
              <w:lang w:val="da-DK"/>
            </w:rPr>
            <w:t xml:space="preserve"> al.,</w:t>
          </w:r>
          <w:r w:rsidRPr="001D1B80">
            <w:rPr>
              <w:lang w:val="ca-ES"/>
            </w:rPr>
            <w:t xml:space="preserve"> 2002).</w:t>
          </w:r>
          <w:r w:rsidRPr="001D1B80">
            <w:rPr>
              <w:lang w:val="en-US"/>
            </w:rPr>
            <w:t xml:space="preserve"> Nevertheless, de</w:t>
          </w:r>
          <w:r w:rsidRPr="001D1B80">
            <w:rPr>
              <w:lang w:val="en-US"/>
            </w:rPr>
            <w:softHyphen/>
            <w:t>creases</w:t>
          </w:r>
          <w:r w:rsidRPr="001D1B80">
            <w:rPr>
              <w:lang w:val="sl-SI"/>
            </w:rPr>
            <w:t xml:space="preserve"> in</w:t>
          </w:r>
          <w:r w:rsidRPr="001D1B80">
            <w:rPr>
              <w:lang w:val="pt-BR"/>
            </w:rPr>
            <w:t xml:space="preserve"> total</w:t>
          </w:r>
          <w:r w:rsidRPr="001D1B80">
            <w:rPr>
              <w:lang w:val="en-US"/>
            </w:rPr>
            <w:t xml:space="preserve"> cyanobacterial biomass</w:t>
          </w:r>
          <w:r w:rsidRPr="001D1B80">
            <w:rPr>
              <w:lang w:val="sl-SI"/>
            </w:rPr>
            <w:t xml:space="preserve"> as</w:t>
          </w:r>
          <w:r w:rsidRPr="001D1B80">
            <w:rPr>
              <w:lang w:val="en-US"/>
            </w:rPr>
            <w:t xml:space="preserve"> observed</w:t>
          </w:r>
          <w:r w:rsidRPr="001D1B80">
            <w:rPr>
              <w:lang w:val="sl-SI"/>
            </w:rPr>
            <w:t xml:space="preserve"> in</w:t>
          </w:r>
          <w:r w:rsidRPr="001D1B80">
            <w:rPr>
              <w:lang w:val="en-US"/>
            </w:rPr>
            <w:t xml:space="preserve"> the</w:t>
          </w:r>
          <w:r w:rsidRPr="001D1B80">
            <w:rPr>
              <w:lang w:val="pt-BR"/>
            </w:rPr>
            <w:t xml:space="preserve"> case</w:t>
          </w:r>
          <w:r w:rsidRPr="001D1B80">
            <w:rPr>
              <w:lang w:val="en-US"/>
            </w:rPr>
            <w:t xml:space="preserve"> of gallic acid application did</w:t>
          </w:r>
          <w:r w:rsidRPr="001D1B80">
            <w:rPr>
              <w:lang w:val="sl-SI"/>
            </w:rPr>
            <w:t xml:space="preserve"> not</w:t>
          </w:r>
          <w:r w:rsidRPr="001D1B80">
            <w:rPr>
              <w:lang w:val="en-US"/>
            </w:rPr>
            <w:t xml:space="preserve"> necessarily reflect the depression of</w:t>
          </w:r>
          <w:r w:rsidRPr="001D1B80">
            <w:rPr>
              <w:lang w:val="da-DK"/>
            </w:rPr>
            <w:t xml:space="preserve"> species</w:t>
          </w:r>
          <w:r w:rsidRPr="001D1B80">
            <w:rPr>
              <w:lang w:val="en-US"/>
            </w:rPr>
            <w:t xml:space="preserve"> which could</w:t>
          </w:r>
          <w:r w:rsidRPr="001D1B80">
            <w:rPr>
              <w:lang w:val="sl-SI"/>
            </w:rPr>
            <w:t xml:space="preserve"> pose</w:t>
          </w:r>
          <w:r w:rsidRPr="001D1B80">
            <w:rPr>
              <w:lang w:val="en-US"/>
            </w:rPr>
            <w:t xml:space="preserve"> potential environmental hazards</w:t>
          </w:r>
          <w:r w:rsidRPr="001D1B80">
            <w:rPr>
              <w:lang w:val="da-DK"/>
            </w:rPr>
            <w:t xml:space="preserve"> and</w:t>
          </w:r>
          <w:r w:rsidRPr="001D1B80">
            <w:rPr>
              <w:lang w:val="en-US"/>
            </w:rPr>
            <w:t xml:space="preserve"> health threats, such</w:t>
          </w:r>
          <w:r w:rsidRPr="001D1B80">
            <w:rPr>
              <w:lang w:val="sl-SI"/>
            </w:rPr>
            <w:t xml:space="preserve"> as</w:t>
          </w:r>
          <w:r w:rsidRPr="001D1B80">
            <w:rPr>
              <w:lang w:val="pt-BR"/>
            </w:rPr>
            <w:t xml:space="preserve"> for</w:t>
          </w:r>
          <w:r w:rsidRPr="001D1B80">
            <w:rPr>
              <w:lang w:val="en-US"/>
            </w:rPr>
            <w:t xml:space="preserve"> instance well-known</w:t>
          </w:r>
          <w:r w:rsidRPr="001D1B80">
            <w:rPr>
              <w:lang w:val="sl-SI"/>
            </w:rPr>
            <w:t xml:space="preserve"> M.</w:t>
          </w:r>
          <w:r w:rsidRPr="001D1B80">
            <w:rPr>
              <w:lang w:val="pt-BR"/>
            </w:rPr>
            <w:t xml:space="preserve"> aeruginosa</w:t>
          </w:r>
          <w:r w:rsidRPr="001D1B80">
            <w:rPr>
              <w:lang w:val="da-DK"/>
            </w:rPr>
            <w:t xml:space="preserve"> species</w:t>
          </w:r>
          <w:r w:rsidRPr="001D1B80">
            <w:rPr>
              <w:lang w:val="en-US"/>
            </w:rPr>
            <w:t xml:space="preserve"> (Straub</w:t>
          </w:r>
          <w:r w:rsidRPr="001D1B80">
            <w:rPr>
              <w:lang w:val="pt-BR"/>
            </w:rPr>
            <w:t xml:space="preserve"> et</w:t>
          </w:r>
          <w:r w:rsidRPr="001D1B80">
            <w:rPr>
              <w:lang w:val="da-DK"/>
            </w:rPr>
            <w:t xml:space="preserve"> al.,</w:t>
          </w:r>
          <w:r w:rsidRPr="001D1B80">
            <w:rPr>
              <w:lang w:val="ca-ES"/>
            </w:rPr>
            <w:t xml:space="preserve"> 2011).</w:t>
          </w:r>
          <w:r w:rsidRPr="001D1B80">
            <w:rPr>
              <w:lang w:val="en-US"/>
            </w:rPr>
            <w:t xml:space="preserve"> Besides,</w:t>
          </w:r>
          <w:r w:rsidRPr="001D1B80">
            <w:rPr>
              <w:lang w:val="sl-SI"/>
            </w:rPr>
            <w:t xml:space="preserve"> M.</w:t>
          </w:r>
          <w:r w:rsidRPr="001D1B80">
            <w:rPr>
              <w:lang w:val="sv-SE"/>
            </w:rPr>
            <w:t xml:space="preserve"> elegans</w:t>
          </w:r>
          <w:r w:rsidRPr="001D1B80">
            <w:rPr>
              <w:lang w:val="en-US"/>
            </w:rPr>
            <w:t xml:space="preserve"> which</w:t>
          </w:r>
          <w:r w:rsidRPr="001D1B80">
            <w:rPr>
              <w:lang w:val="cs-CZ"/>
            </w:rPr>
            <w:t xml:space="preserve"> has</w:t>
          </w:r>
          <w:r w:rsidRPr="001D1B80">
            <w:rPr>
              <w:lang w:val="en-US"/>
            </w:rPr>
            <w:t xml:space="preserve"> </w:t>
          </w:r>
          <w:r w:rsidRPr="001D1B80">
            <w:rPr>
              <w:lang w:val="en-US"/>
            </w:rPr>
            <w:lastRenderedPageBreak/>
            <w:t>been identified</w:t>
          </w:r>
          <w:r w:rsidRPr="001D1B80">
            <w:rPr>
              <w:lang w:val="sl-SI"/>
            </w:rPr>
            <w:t xml:space="preserve"> in</w:t>
          </w:r>
          <w:r w:rsidRPr="001D1B80">
            <w:rPr>
              <w:lang w:val="en-US"/>
            </w:rPr>
            <w:t xml:space="preserve"> mesocosm en</w:t>
          </w:r>
          <w:r w:rsidRPr="001D1B80">
            <w:rPr>
              <w:lang w:val="en-US"/>
            </w:rPr>
            <w:softHyphen/>
            <w:t>richment</w:t>
          </w:r>
          <w:r w:rsidRPr="001D1B80">
            <w:rPr>
              <w:lang w:val="da-DK"/>
            </w:rPr>
            <w:t xml:space="preserve"> samples</w:t>
          </w:r>
          <w:r w:rsidRPr="001D1B80">
            <w:rPr>
              <w:lang w:val="en-US"/>
            </w:rPr>
            <w:t xml:space="preserve"> can be involved into bloom formation (Qu</w:t>
          </w:r>
          <w:r w:rsidRPr="001D1B80">
            <w:rPr>
              <w:lang w:val="pt-BR"/>
            </w:rPr>
            <w:t xml:space="preserve"> et</w:t>
          </w:r>
          <w:r w:rsidRPr="001D1B80">
            <w:rPr>
              <w:lang w:val="da-DK"/>
            </w:rPr>
            <w:t xml:space="preserve"> al.,</w:t>
          </w:r>
          <w:r w:rsidRPr="001D1B80">
            <w:rPr>
              <w:lang w:val="ca-ES"/>
            </w:rPr>
            <w:t xml:space="preserve"> 2015),</w:t>
          </w:r>
          <w:r w:rsidRPr="001D1B80">
            <w:rPr>
              <w:lang w:val="en-US"/>
            </w:rPr>
            <w:t xml:space="preserve"> but</w:t>
          </w:r>
          <w:r w:rsidRPr="001D1B80">
            <w:rPr>
              <w:lang w:val="sl-SI"/>
            </w:rPr>
            <w:t xml:space="preserve"> to</w:t>
          </w:r>
          <w:r w:rsidRPr="001D1B80">
            <w:rPr>
              <w:lang w:val="en-US"/>
            </w:rPr>
            <w:t xml:space="preserve"> our knowledge it</w:t>
          </w:r>
          <w:r w:rsidRPr="001D1B80">
            <w:rPr>
              <w:lang w:val="cs-CZ"/>
            </w:rPr>
            <w:t xml:space="preserve"> has</w:t>
          </w:r>
          <w:r w:rsidRPr="001D1B80">
            <w:rPr>
              <w:lang w:val="sl-SI"/>
            </w:rPr>
            <w:t xml:space="preserve"> not</w:t>
          </w:r>
          <w:r w:rsidRPr="001D1B80">
            <w:rPr>
              <w:lang w:val="en-US"/>
            </w:rPr>
            <w:t xml:space="preserve"> yet been recognized</w:t>
          </w:r>
          <w:r w:rsidRPr="001D1B80">
            <w:rPr>
              <w:lang w:val="sl-SI"/>
            </w:rPr>
            <w:t xml:space="preserve"> as a</w:t>
          </w:r>
          <w:r w:rsidRPr="001D1B80">
            <w:rPr>
              <w:lang w:val="en-US"/>
            </w:rPr>
            <w:t xml:space="preserve"> harmful cyanobacterial</w:t>
          </w:r>
          <w:r w:rsidRPr="001D1B80">
            <w:rPr>
              <w:lang w:val="da-DK"/>
            </w:rPr>
            <w:t xml:space="preserve"> species</w:t>
          </w:r>
          <w:r w:rsidRPr="001D1B80">
            <w:rPr>
              <w:lang w:val="sl-SI"/>
            </w:rPr>
            <w:t xml:space="preserve"> (Morski</w:t>
          </w:r>
          <w:r w:rsidRPr="001D1B80">
            <w:rPr>
              <w:lang w:val="pl-PL"/>
            </w:rPr>
            <w:t xml:space="preserve"> Instytut Rybacki</w:t>
          </w:r>
          <w:r w:rsidRPr="001D1B80">
            <w:rPr>
              <w:lang w:val="en-US"/>
            </w:rPr>
            <w:t xml:space="preserve"> -</w:t>
          </w:r>
          <w:r w:rsidRPr="001D1B80">
            <w:rPr>
              <w:lang w:val="pl-PL"/>
            </w:rPr>
            <w:t xml:space="preserve"> Państwowy Instytut Badawczy,</w:t>
          </w:r>
          <w:r w:rsidRPr="001D1B80">
            <w:rPr>
              <w:lang w:val="en-US"/>
            </w:rPr>
            <w:t xml:space="preserve"> Poland,</w:t>
          </w:r>
          <w:r w:rsidRPr="001D1B80">
            <w:rPr>
              <w:lang w:val="ca-ES"/>
            </w:rPr>
            <w:t xml:space="preserve"> 2011).</w:t>
          </w:r>
          <w:r w:rsidRPr="001D1B80">
            <w:rPr>
              <w:lang w:val="en-US"/>
            </w:rPr>
            <w:t xml:space="preserve"> Because</w:t>
          </w:r>
          <w:r w:rsidRPr="001D1B80">
            <w:rPr>
              <w:lang w:val="sl-SI"/>
            </w:rPr>
            <w:t xml:space="preserve"> a</w:t>
          </w:r>
          <w:r w:rsidRPr="001D1B80">
            <w:rPr>
              <w:lang w:val="en-US"/>
            </w:rPr>
            <w:t xml:space="preserve"> fish</w:t>
          </w:r>
          <w:r w:rsidRPr="001D1B80">
            <w:rPr>
              <w:lang w:val="da-DK"/>
            </w:rPr>
            <w:t xml:space="preserve"> pond</w:t>
          </w:r>
          <w:r w:rsidRPr="001D1B80">
            <w:rPr>
              <w:lang w:val="en-US"/>
            </w:rPr>
            <w:t xml:space="preserve"> was located near the out</w:t>
          </w:r>
          <w:r w:rsidRPr="001D1B80">
            <w:rPr>
              <w:lang w:val="en-US"/>
            </w:rPr>
            <w:softHyphen/>
            <w:t>door facility where the mesocosm experiments took place, from</w:t>
          </w:r>
          <w:r w:rsidRPr="001D1B80">
            <w:rPr>
              <w:lang w:val="cs-CZ"/>
            </w:rPr>
            <w:t xml:space="preserve"> an</w:t>
          </w:r>
          <w:r w:rsidRPr="001D1B80">
            <w:rPr>
              <w:lang w:val="en-US"/>
            </w:rPr>
            <w:t xml:space="preserve"> eco</w:t>
          </w:r>
          <w:r w:rsidRPr="001D1B80">
            <w:rPr>
              <w:lang w:val="en-US"/>
            </w:rPr>
            <w:softHyphen/>
            <w:t>logical viewpoint</w:t>
          </w:r>
          <w:r w:rsidRPr="001D1B80">
            <w:rPr>
              <w:lang w:val="da-DK"/>
            </w:rPr>
            <w:t xml:space="preserve"> (and</w:t>
          </w:r>
          <w:r w:rsidRPr="001D1B80">
            <w:rPr>
              <w:lang w:val="en-US"/>
            </w:rPr>
            <w:t xml:space="preserve"> due</w:t>
          </w:r>
          <w:r w:rsidRPr="001D1B80">
            <w:rPr>
              <w:lang w:val="sl-SI"/>
            </w:rPr>
            <w:t xml:space="preserve"> to</w:t>
          </w:r>
          <w:r w:rsidRPr="001D1B80">
            <w:rPr>
              <w:lang w:val="en-US"/>
            </w:rPr>
            <w:t xml:space="preserve"> legislative limitations) these latter could</w:t>
          </w:r>
          <w:r w:rsidRPr="001D1B80">
            <w:rPr>
              <w:lang w:val="sl-SI"/>
            </w:rPr>
            <w:t xml:space="preserve"> not</w:t>
          </w:r>
          <w:r w:rsidRPr="001D1B80">
            <w:rPr>
              <w:lang w:val="en-US"/>
            </w:rPr>
            <w:t xml:space="preserve"> involve the use of potentially toxic cyanobacterial</w:t>
          </w:r>
          <w:r w:rsidRPr="001D1B80">
            <w:rPr>
              <w:lang w:val="da-DK"/>
            </w:rPr>
            <w:t xml:space="preserve"> species</w:t>
          </w:r>
          <w:r w:rsidRPr="001D1B80">
            <w:rPr>
              <w:lang w:val="en-US"/>
            </w:rPr>
            <w:t xml:space="preserve"> like</w:t>
          </w:r>
          <w:r w:rsidRPr="001D1B80">
            <w:rPr>
              <w:lang w:val="sl-SI"/>
            </w:rPr>
            <w:t xml:space="preserve"> M.</w:t>
          </w:r>
          <w:r w:rsidRPr="001D1B80">
            <w:rPr>
              <w:lang w:val="pt-BR"/>
            </w:rPr>
            <w:t xml:space="preserve"> aeruginosa,</w:t>
          </w:r>
          <w:r w:rsidRPr="001D1B80">
            <w:rPr>
              <w:lang w:val="en-US"/>
            </w:rPr>
            <w:t xml:space="preserve"> which</w:t>
          </w:r>
          <w:r w:rsidRPr="001D1B80">
            <w:rPr>
              <w:lang w:val="cs-CZ"/>
            </w:rPr>
            <w:t xml:space="preserve"> has</w:t>
          </w:r>
          <w:r w:rsidRPr="001D1B80">
            <w:rPr>
              <w:lang w:val="sl-SI"/>
            </w:rPr>
            <w:t xml:space="preserve"> not</w:t>
          </w:r>
          <w:r w:rsidRPr="001D1B80">
            <w:rPr>
              <w:lang w:val="en-US"/>
            </w:rPr>
            <w:t xml:space="preserve"> been previously identified</w:t>
          </w:r>
          <w:r w:rsidRPr="001D1B80">
            <w:rPr>
              <w:lang w:val="sl-SI"/>
            </w:rPr>
            <w:t xml:space="preserve"> in</w:t>
          </w:r>
          <w:r w:rsidRPr="001D1B80">
            <w:rPr>
              <w:lang w:val="en-US"/>
            </w:rPr>
            <w:t xml:space="preserve"> that nearby</w:t>
          </w:r>
          <w:r w:rsidRPr="001D1B80">
            <w:rPr>
              <w:lang w:val="da-DK"/>
            </w:rPr>
            <w:t xml:space="preserve"> pond.</w:t>
          </w:r>
          <w:r w:rsidRPr="001D1B80">
            <w:rPr>
              <w:lang w:val="en-US"/>
            </w:rPr>
            <w:t xml:space="preserve"> The primary</w:t>
          </w:r>
          <w:r w:rsidRPr="001D1B80">
            <w:rPr>
              <w:lang w:val="pt-BR"/>
            </w:rPr>
            <w:t xml:space="preserve"> objective</w:t>
          </w:r>
          <w:r w:rsidRPr="001D1B80">
            <w:rPr>
              <w:lang w:val="en-US"/>
            </w:rPr>
            <w:t xml:space="preserve"> of the</w:t>
          </w:r>
          <w:r w:rsidRPr="001D1B80">
            <w:rPr>
              <w:lang w:val="da-DK"/>
            </w:rPr>
            <w:t xml:space="preserve"> present</w:t>
          </w:r>
          <w:r w:rsidRPr="001D1B80">
            <w:rPr>
              <w:lang w:val="en-US"/>
            </w:rPr>
            <w:t xml:space="preserve"> study was</w:t>
          </w:r>
          <w:r w:rsidRPr="001D1B80">
            <w:rPr>
              <w:lang w:val="sl-SI"/>
            </w:rPr>
            <w:t xml:space="preserve"> to</w:t>
          </w:r>
          <w:r w:rsidRPr="001D1B80">
            <w:rPr>
              <w:lang w:val="en-US"/>
            </w:rPr>
            <w:t xml:space="preserve"> investigate the technical feasibility of using gallic</w:t>
          </w:r>
          <w:r w:rsidRPr="001D1B80">
            <w:rPr>
              <w:lang w:val="sl-SI"/>
            </w:rPr>
            <w:t xml:space="preserve"> or</w:t>
          </w:r>
          <w:r w:rsidRPr="001D1B80">
            <w:rPr>
              <w:lang w:val="en-US"/>
            </w:rPr>
            <w:t xml:space="preserve"> nonanoic acid directly applied</w:t>
          </w:r>
          <w:r w:rsidRPr="001D1B80">
            <w:rPr>
              <w:lang w:val="sl-SI"/>
            </w:rPr>
            <w:t xml:space="preserve"> in</w:t>
          </w:r>
          <w:r w:rsidRPr="001D1B80">
            <w:rPr>
              <w:lang w:val="en-US"/>
            </w:rPr>
            <w:t xml:space="preserve"> the</w:t>
          </w:r>
          <w:r w:rsidRPr="001D1B80">
            <w:rPr>
              <w:lang w:val="sl-SI"/>
            </w:rPr>
            <w:t xml:space="preserve"> pure form</w:t>
          </w:r>
          <w:r w:rsidRPr="001D1B80">
            <w:rPr>
              <w:lang w:val="en-US"/>
            </w:rPr>
            <w:t xml:space="preserve"> especially before bloom occurs</w:t>
          </w:r>
          <w:r w:rsidRPr="001D1B80">
            <w:rPr>
              <w:lang w:val="da-DK"/>
            </w:rPr>
            <w:t xml:space="preserve"> at</w:t>
          </w:r>
          <w:r w:rsidRPr="001D1B80">
            <w:rPr>
              <w:lang w:val="sl-SI"/>
            </w:rPr>
            <w:t xml:space="preserve"> a</w:t>
          </w:r>
          <w:r w:rsidRPr="001D1B80">
            <w:rPr>
              <w:lang w:val="en-US"/>
            </w:rPr>
            <w:t xml:space="preserve"> field scale, taking account their allelochemical activity towards</w:t>
          </w:r>
          <w:r w:rsidRPr="001D1B80">
            <w:rPr>
              <w:lang w:val="sl-SI"/>
            </w:rPr>
            <w:t xml:space="preserve"> M.</w:t>
          </w:r>
          <w:r w:rsidRPr="001D1B80">
            <w:rPr>
              <w:lang w:val="pt-BR"/>
            </w:rPr>
            <w:t xml:space="preserve"> aeruginosa</w:t>
          </w:r>
          <w:r w:rsidRPr="001D1B80">
            <w:rPr>
              <w:lang w:val="en-US"/>
            </w:rPr>
            <w:t xml:space="preserve"> (previously tested under laboratory conditions)</w:t>
          </w:r>
          <w:r w:rsidRPr="001D1B80">
            <w:rPr>
              <w:lang w:val="da-DK"/>
            </w:rPr>
            <w:t xml:space="preserve"> and</w:t>
          </w:r>
          <w:r w:rsidRPr="001D1B80">
            <w:rPr>
              <w:lang w:val="en-US"/>
            </w:rPr>
            <w:t xml:space="preserve"> their commercial availability (Nakai</w:t>
          </w:r>
          <w:r w:rsidRPr="001D1B80">
            <w:rPr>
              <w:lang w:val="pt-BR"/>
            </w:rPr>
            <w:t xml:space="preserve"> et</w:t>
          </w:r>
          <w:r w:rsidRPr="001D1B80">
            <w:rPr>
              <w:lang w:val="da-DK"/>
            </w:rPr>
            <w:t xml:space="preserve"> al.,</w:t>
          </w:r>
          <w:r w:rsidRPr="001D1B80">
            <w:rPr>
              <w:lang w:val="ca-ES"/>
            </w:rPr>
            <w:t xml:space="preserve"> 2000, 2005).</w:t>
          </w:r>
          <w:r w:rsidRPr="001D1B80">
            <w:rPr>
              <w:lang w:val="en-US"/>
            </w:rPr>
            <w:t xml:space="preserve"> With this</w:t>
          </w:r>
          <w:r w:rsidRPr="001D1B80">
            <w:rPr>
              <w:lang w:val="sl-SI"/>
            </w:rPr>
            <w:t xml:space="preserve"> in</w:t>
          </w:r>
          <w:r w:rsidRPr="001D1B80">
            <w:rPr>
              <w:lang w:val="en-US"/>
            </w:rPr>
            <w:t xml:space="preserve"> mind, our results showed</w:t>
          </w:r>
          <w:r w:rsidRPr="001D1B80">
            <w:rPr>
              <w:lang w:val="sl-SI"/>
            </w:rPr>
            <w:t xml:space="preserve"> a</w:t>
          </w:r>
          <w:r w:rsidRPr="001D1B80">
            <w:rPr>
              <w:lang w:val="en-US"/>
            </w:rPr>
            <w:t xml:space="preserve"> po</w:t>
          </w:r>
          <w:r w:rsidRPr="001D1B80">
            <w:rPr>
              <w:lang w:val="en-US"/>
            </w:rPr>
            <w:softHyphen/>
            <w:t>tential of gallic acid ingrowth control of</w:t>
          </w:r>
          <w:r w:rsidRPr="001D1B80">
            <w:rPr>
              <w:lang w:val="cs-CZ"/>
            </w:rPr>
            <w:t xml:space="preserve"> </w:t>
          </w:r>
          <w:proofErr w:type="gramStart"/>
          <w:r w:rsidRPr="001D1B80">
            <w:rPr>
              <w:lang w:val="cs-CZ"/>
            </w:rPr>
            <w:t>an</w:t>
          </w:r>
          <w:proofErr w:type="gramEnd"/>
          <w:r w:rsidRPr="001D1B80">
            <w:rPr>
              <w:lang w:val="en-US"/>
            </w:rPr>
            <w:t xml:space="preserve"> ubiquitous cyanobacterial</w:t>
          </w:r>
          <w:r w:rsidRPr="001D1B80">
            <w:rPr>
              <w:lang w:val="da-DK"/>
            </w:rPr>
            <w:t xml:space="preserve"> species,</w:t>
          </w:r>
          <w:r w:rsidRPr="001D1B80">
            <w:rPr>
              <w:lang w:val="en-US"/>
            </w:rPr>
            <w:t xml:space="preserve"> i.e.</w:t>
          </w:r>
          <w:r w:rsidRPr="001D1B80">
            <w:rPr>
              <w:lang w:val="sl-SI"/>
            </w:rPr>
            <w:t xml:space="preserve"> M.</w:t>
          </w:r>
          <w:r w:rsidRPr="001D1B80">
            <w:rPr>
              <w:lang w:val="sv-SE"/>
            </w:rPr>
            <w:t xml:space="preserve"> elegans</w:t>
          </w:r>
          <w:r w:rsidRPr="001D1B80">
            <w:rPr>
              <w:lang w:val="en-US"/>
            </w:rPr>
            <w:t xml:space="preserve"> (even if</w:t>
          </w:r>
          <w:r w:rsidRPr="001D1B80">
            <w:rPr>
              <w:lang w:val="sl-SI"/>
            </w:rPr>
            <w:t xml:space="preserve"> not</w:t>
          </w:r>
          <w:r w:rsidRPr="001D1B80">
            <w:rPr>
              <w:lang w:val="en-US"/>
            </w:rPr>
            <w:t xml:space="preserve"> belonging</w:t>
          </w:r>
          <w:r w:rsidRPr="001D1B80">
            <w:rPr>
              <w:lang w:val="sl-SI"/>
            </w:rPr>
            <w:t xml:space="preserve"> to</w:t>
          </w:r>
          <w:r w:rsidRPr="001D1B80">
            <w:rPr>
              <w:lang w:val="en-US"/>
            </w:rPr>
            <w:t xml:space="preserve"> toxic</w:t>
          </w:r>
          <w:r w:rsidRPr="001D1B80">
            <w:rPr>
              <w:lang w:val="da-DK"/>
            </w:rPr>
            <w:t xml:space="preserve"> species),</w:t>
          </w:r>
          <w:r w:rsidRPr="001D1B80">
            <w:rPr>
              <w:lang w:val="sl-SI"/>
            </w:rPr>
            <w:t xml:space="preserve"> in a more</w:t>
          </w:r>
          <w:r w:rsidRPr="001D1B80">
            <w:rPr>
              <w:lang w:val="en-US"/>
            </w:rPr>
            <w:t xml:space="preserve"> realistic</w:t>
          </w:r>
          <w:r w:rsidRPr="001D1B80">
            <w:rPr>
              <w:lang w:val="da-DK"/>
            </w:rPr>
            <w:t xml:space="preserve"> scenario</w:t>
          </w:r>
          <w:r w:rsidRPr="001D1B80">
            <w:rPr>
              <w:lang w:val="en-US"/>
            </w:rPr>
            <w:t xml:space="preserve"> than controlled laboratory assays. However, there</w:t>
          </w:r>
          <w:r w:rsidRPr="001D1B80">
            <w:rPr>
              <w:lang w:val="pt-BR"/>
            </w:rPr>
            <w:t xml:space="preserve"> is</w:t>
          </w:r>
          <w:r w:rsidRPr="001D1B80">
            <w:rPr>
              <w:lang w:val="sl-SI"/>
            </w:rPr>
            <w:t xml:space="preserve"> no</w:t>
          </w:r>
          <w:r w:rsidRPr="001D1B80">
            <w:rPr>
              <w:lang w:val="en-US"/>
            </w:rPr>
            <w:t xml:space="preserve"> doubt that further</w:t>
          </w:r>
          <w:r w:rsidRPr="001D1B80">
            <w:rPr>
              <w:lang w:val="da-DK"/>
            </w:rPr>
            <w:t xml:space="preserve"> studies</w:t>
          </w:r>
          <w:r w:rsidRPr="001D1B80">
            <w:rPr>
              <w:lang w:val="en-US"/>
            </w:rPr>
            <w:t xml:space="preserve"> involving harmful bloom-forming algal</w:t>
          </w:r>
          <w:r w:rsidRPr="001D1B80">
            <w:rPr>
              <w:lang w:val="da-DK"/>
            </w:rPr>
            <w:t xml:space="preserve"> species</w:t>
          </w:r>
          <w:r w:rsidRPr="001D1B80">
            <w:rPr>
              <w:lang w:val="en-US"/>
            </w:rPr>
            <w:t xml:space="preserve"> along with additional microscopic morphological examination of cyanobacterial diversity would help</w:t>
          </w:r>
          <w:r w:rsidRPr="001D1B80">
            <w:rPr>
              <w:lang w:val="sl-SI"/>
            </w:rPr>
            <w:t xml:space="preserve"> to</w:t>
          </w:r>
          <w:r w:rsidRPr="001D1B80">
            <w:rPr>
              <w:lang w:val="en-US"/>
            </w:rPr>
            <w:t xml:space="preserve"> clarify</w:t>
          </w:r>
          <w:r w:rsidRPr="001D1B80">
            <w:rPr>
              <w:lang w:val="sl-SI"/>
            </w:rPr>
            <w:t xml:space="preserve"> to</w:t>
          </w:r>
          <w:r w:rsidRPr="001D1B80">
            <w:rPr>
              <w:lang w:val="en-US"/>
            </w:rPr>
            <w:t xml:space="preserve"> which extent the tested allelochemicals</w:t>
          </w:r>
          <w:r w:rsidRPr="001D1B80">
            <w:rPr>
              <w:lang w:val="sl-SI"/>
            </w:rPr>
            <w:t xml:space="preserve"> in</w:t>
          </w:r>
          <w:r w:rsidRPr="001D1B80">
            <w:rPr>
              <w:lang w:val="en-US"/>
            </w:rPr>
            <w:t xml:space="preserve"> their</w:t>
          </w:r>
          <w:r w:rsidRPr="001D1B80">
            <w:rPr>
              <w:lang w:val="sl-SI"/>
            </w:rPr>
            <w:t xml:space="preserve"> pure form</w:t>
          </w:r>
          <w:r w:rsidRPr="001D1B80">
            <w:rPr>
              <w:lang w:val="en-US"/>
            </w:rPr>
            <w:t xml:space="preserve"> (particularly gallic acid) can prevent from massive blue-green algae growth. Moreover,</w:t>
          </w:r>
          <w:r w:rsidRPr="001D1B80">
            <w:rPr>
              <w:lang w:val="sl-SI"/>
            </w:rPr>
            <w:t xml:space="preserve"> in</w:t>
          </w:r>
          <w:r w:rsidRPr="001D1B80">
            <w:rPr>
              <w:lang w:val="en-US"/>
            </w:rPr>
            <w:t xml:space="preserve"> the view of</w:t>
          </w:r>
          <w:r w:rsidRPr="001D1B80">
            <w:rPr>
              <w:lang w:val="sl-SI"/>
            </w:rPr>
            <w:t xml:space="preserve"> a</w:t>
          </w:r>
          <w:r w:rsidRPr="001D1B80">
            <w:rPr>
              <w:lang w:val="pt-BR"/>
            </w:rPr>
            <w:t xml:space="preserve"> global</w:t>
          </w:r>
          <w:r w:rsidRPr="001D1B80">
            <w:rPr>
              <w:lang w:val="da-DK"/>
            </w:rPr>
            <w:t xml:space="preserve"> pond management</w:t>
          </w:r>
          <w:r w:rsidRPr="001D1B80">
            <w:rPr>
              <w:lang w:val="en-US"/>
            </w:rPr>
            <w:t xml:space="preserve"> strategy, it</w:t>
          </w:r>
          <w:r w:rsidRPr="001D1B80">
            <w:rPr>
              <w:lang w:val="cs-CZ"/>
            </w:rPr>
            <w:t xml:space="preserve"> has</w:t>
          </w:r>
          <w:r w:rsidRPr="001D1B80">
            <w:rPr>
              <w:lang w:val="sl-SI"/>
            </w:rPr>
            <w:t xml:space="preserve"> to</w:t>
          </w:r>
          <w:r w:rsidRPr="001D1B80">
            <w:rPr>
              <w:lang w:val="en-US"/>
            </w:rPr>
            <w:t xml:space="preserve"> be pointed</w:t>
          </w:r>
          <w:r w:rsidRPr="001D1B80">
            <w:rPr>
              <w:lang w:val="cs-CZ"/>
            </w:rPr>
            <w:t xml:space="preserve"> out</w:t>
          </w:r>
          <w:r w:rsidRPr="001D1B80">
            <w:rPr>
              <w:lang w:val="en-US"/>
            </w:rPr>
            <w:t xml:space="preserve"> that only</w:t>
          </w:r>
          <w:r w:rsidRPr="001D1B80">
            <w:rPr>
              <w:lang w:val="cs-CZ"/>
            </w:rPr>
            <w:t xml:space="preserve"> an</w:t>
          </w:r>
          <w:r w:rsidRPr="001D1B80">
            <w:rPr>
              <w:lang w:val="en-US"/>
            </w:rPr>
            <w:t xml:space="preserve"> allelopathic</w:t>
          </w:r>
          <w:r w:rsidRPr="001D1B80">
            <w:rPr>
              <w:lang w:val="da-DK"/>
            </w:rPr>
            <w:t xml:space="preserve"> approach</w:t>
          </w:r>
          <w:r w:rsidRPr="001D1B80">
            <w:rPr>
              <w:lang w:val="en-US"/>
            </w:rPr>
            <w:t xml:space="preserve"> would certainly</w:t>
          </w:r>
          <w:r w:rsidRPr="001D1B80">
            <w:rPr>
              <w:lang w:val="sl-SI"/>
            </w:rPr>
            <w:t xml:space="preserve"> not</w:t>
          </w:r>
          <w:r w:rsidRPr="001D1B80">
            <w:rPr>
              <w:lang w:val="en-US"/>
            </w:rPr>
            <w:t xml:space="preserve"> be sufficient</w:t>
          </w:r>
          <w:r w:rsidRPr="001D1B80">
            <w:rPr>
              <w:lang w:val="pt-BR"/>
            </w:rPr>
            <w:t xml:space="preserve"> for</w:t>
          </w:r>
          <w:r w:rsidRPr="001D1B80">
            <w:rPr>
              <w:lang w:val="cs-CZ"/>
            </w:rPr>
            <w:t xml:space="preserve"> an</w:t>
          </w:r>
          <w:r w:rsidRPr="001D1B80">
            <w:rPr>
              <w:lang w:val="en-US"/>
            </w:rPr>
            <w:t xml:space="preserve"> effective long-term water resource</w:t>
          </w:r>
          <w:r w:rsidRPr="001D1B80">
            <w:rPr>
              <w:lang w:val="da-DK"/>
            </w:rPr>
            <w:t xml:space="preserve"> management.</w:t>
          </w:r>
          <w:r w:rsidRPr="001D1B80">
            <w:rPr>
              <w:lang w:val="en-US"/>
            </w:rPr>
            <w:t xml:space="preserve"> Rather it should be considered</w:t>
          </w:r>
          <w:r w:rsidRPr="001D1B80">
            <w:rPr>
              <w:lang w:val="sl-SI"/>
            </w:rPr>
            <w:t xml:space="preserve"> as a</w:t>
          </w:r>
          <w:r w:rsidRPr="001D1B80">
            <w:rPr>
              <w:lang w:val="en-US"/>
            </w:rPr>
            <w:t xml:space="preserve"> complementary tool</w:t>
          </w:r>
          <w:r w:rsidRPr="001D1B80">
            <w:rPr>
              <w:lang w:val="pt-BR"/>
            </w:rPr>
            <w:t xml:space="preserve"> for</w:t>
          </w:r>
          <w:r w:rsidRPr="001D1B80">
            <w:rPr>
              <w:lang w:val="en-US"/>
            </w:rPr>
            <w:t xml:space="preserve"> improving the success of</w:t>
          </w:r>
          <w:r w:rsidRPr="001D1B80">
            <w:rPr>
              <w:lang w:val="cs-CZ"/>
            </w:rPr>
            <w:t xml:space="preserve"> an</w:t>
          </w:r>
          <w:r w:rsidRPr="001D1B80">
            <w:rPr>
              <w:lang w:val="en-US"/>
            </w:rPr>
            <w:t xml:space="preserve"> integrated landscape</w:t>
          </w:r>
          <w:r w:rsidRPr="001D1B80">
            <w:rPr>
              <w:lang w:val="da-DK"/>
            </w:rPr>
            <w:t xml:space="preserve"> management</w:t>
          </w:r>
          <w:r w:rsidRPr="001D1B80">
            <w:rPr>
              <w:lang w:val="en-US"/>
            </w:rPr>
            <w:t xml:space="preserve"> strategy involving notably anthro</w:t>
          </w:r>
          <w:r w:rsidRPr="001D1B80">
            <w:rPr>
              <w:lang w:val="en-US"/>
            </w:rPr>
            <w:softHyphen/>
            <w:t>pogenic nutrient loading reduction.</w:t>
          </w:r>
        </w:p>
        <w:p w:rsidR="00523082" w:rsidRPr="001D1B80" w:rsidRDefault="00523082" w:rsidP="001D1B80">
          <w:pPr>
            <w:pStyle w:val="Partie"/>
            <w:rPr>
              <w:lang w:val="sl-SI"/>
            </w:rPr>
          </w:pPr>
          <w:r w:rsidRPr="001D1B80">
            <w:rPr>
              <w:lang w:val="en-US"/>
            </w:rPr>
            <w:t>Following this idea, still</w:t>
          </w:r>
          <w:r w:rsidRPr="001D1B80">
            <w:rPr>
              <w:lang w:val="sl-SI"/>
            </w:rPr>
            <w:t xml:space="preserve"> in</w:t>
          </w:r>
          <w:r w:rsidRPr="001D1B80">
            <w:rPr>
              <w:lang w:val="en-US"/>
            </w:rPr>
            <w:t xml:space="preserve"> the view of</w:t>
          </w:r>
          <w:r w:rsidRPr="001D1B80">
            <w:rPr>
              <w:lang w:val="pt-BR"/>
            </w:rPr>
            <w:t xml:space="preserve"> global</w:t>
          </w:r>
          <w:r w:rsidRPr="001D1B80">
            <w:rPr>
              <w:lang w:val="en-US"/>
            </w:rPr>
            <w:t xml:space="preserve"> implementation of freshwater</w:t>
          </w:r>
          <w:r w:rsidRPr="001D1B80">
            <w:rPr>
              <w:lang w:val="da-DK"/>
            </w:rPr>
            <w:t xml:space="preserve"> pond management</w:t>
          </w:r>
          <w:r w:rsidRPr="001D1B80">
            <w:rPr>
              <w:lang w:val="en-US"/>
            </w:rPr>
            <w:t xml:space="preserve"> strategies, it</w:t>
          </w:r>
          <w:r w:rsidRPr="001D1B80">
            <w:rPr>
              <w:lang w:val="pt-BR"/>
            </w:rPr>
            <w:t xml:space="preserve"> is</w:t>
          </w:r>
          <w:r w:rsidRPr="001D1B80">
            <w:rPr>
              <w:lang w:val="en-US"/>
            </w:rPr>
            <w:t xml:space="preserve"> worth noting that</w:t>
          </w:r>
          <w:r w:rsidRPr="001D1B80">
            <w:rPr>
              <w:lang w:val="da-DK"/>
            </w:rPr>
            <w:t xml:space="preserve"> green</w:t>
          </w:r>
          <w:r w:rsidRPr="001D1B80">
            <w:rPr>
              <w:lang w:val="en-US"/>
            </w:rPr>
            <w:t xml:space="preserve"> algae</w:t>
          </w:r>
          <w:r w:rsidRPr="001D1B80">
            <w:rPr>
              <w:lang w:val="da-DK"/>
            </w:rPr>
            <w:t xml:space="preserve"> and</w:t>
          </w:r>
          <w:r w:rsidRPr="001D1B80">
            <w:rPr>
              <w:lang w:val="sl-SI"/>
            </w:rPr>
            <w:t xml:space="preserve"> to a</w:t>
          </w:r>
          <w:r w:rsidRPr="001D1B80">
            <w:rPr>
              <w:lang w:val="en-US"/>
            </w:rPr>
            <w:t xml:space="preserve"> </w:t>
          </w:r>
          <w:proofErr w:type="gramStart"/>
          <w:r w:rsidRPr="001D1B80">
            <w:rPr>
              <w:lang w:val="en-US"/>
            </w:rPr>
            <w:t>lesser extent brown algae</w:t>
          </w:r>
          <w:proofErr w:type="gramEnd"/>
          <w:r w:rsidRPr="001D1B80">
            <w:rPr>
              <w:lang w:val="da-DK"/>
            </w:rPr>
            <w:t xml:space="preserve"> and</w:t>
          </w:r>
          <w:r w:rsidRPr="001D1B80">
            <w:rPr>
              <w:lang w:val="en-US"/>
            </w:rPr>
            <w:t xml:space="preserve"> cryptophyceae, while showing</w:t>
          </w:r>
          <w:r w:rsidRPr="001D1B80">
            <w:rPr>
              <w:lang w:val="da-DK"/>
            </w:rPr>
            <w:t xml:space="preserve"> overall</w:t>
          </w:r>
          <w:r w:rsidRPr="001D1B80">
            <w:rPr>
              <w:lang w:val="en-US"/>
            </w:rPr>
            <w:t xml:space="preserve"> temperature-driven biomass growth (Fig.</w:t>
          </w:r>
          <w:r w:rsidRPr="001D1B80">
            <w:rPr>
              <w:lang w:val="ca-ES"/>
            </w:rPr>
            <w:t xml:space="preserve"> 1C,</w:t>
          </w:r>
          <w:r w:rsidRPr="001D1B80">
            <w:rPr>
              <w:lang w:val="sl-SI"/>
            </w:rPr>
            <w:t xml:space="preserve"> D,</w:t>
          </w:r>
          <w:r w:rsidRPr="001D1B80">
            <w:rPr>
              <w:lang w:val="pt-BR"/>
            </w:rPr>
            <w:t xml:space="preserve"> E),</w:t>
          </w:r>
          <w:r w:rsidRPr="001D1B80">
            <w:rPr>
              <w:lang w:val="en-US"/>
            </w:rPr>
            <w:t xml:space="preserve"> also tended</w:t>
          </w:r>
          <w:r w:rsidRPr="001D1B80">
            <w:rPr>
              <w:lang w:val="sl-SI"/>
            </w:rPr>
            <w:t xml:space="preserve"> to</w:t>
          </w:r>
          <w:r w:rsidRPr="001D1B80">
            <w:rPr>
              <w:lang w:val="en-US"/>
            </w:rPr>
            <w:t xml:space="preserve"> compete with cyanobacteria (Fig.</w:t>
          </w:r>
          <w:r w:rsidRPr="001D1B80">
            <w:rPr>
              <w:lang w:val="ca-ES"/>
            </w:rPr>
            <w:t xml:space="preserve"> 1B).</w:t>
          </w:r>
          <w:r w:rsidRPr="001D1B80">
            <w:rPr>
              <w:lang w:val="sl-SI"/>
            </w:rPr>
            <w:t xml:space="preserve"> On</w:t>
          </w:r>
          <w:r w:rsidRPr="001D1B80">
            <w:rPr>
              <w:lang w:val="en-US"/>
            </w:rPr>
            <w:t xml:space="preserve"> the</w:t>
          </w:r>
          <w:r w:rsidRPr="001D1B80">
            <w:rPr>
              <w:lang w:val="sl-SI"/>
            </w:rPr>
            <w:t xml:space="preserve"> one</w:t>
          </w:r>
          <w:r w:rsidRPr="001D1B80">
            <w:rPr>
              <w:lang w:val="en-US"/>
            </w:rPr>
            <w:t xml:space="preserve"> hand successive gallic acid treatments (applied</w:t>
          </w:r>
          <w:r w:rsidRPr="001D1B80">
            <w:rPr>
              <w:lang w:val="da-DK"/>
            </w:rPr>
            <w:t xml:space="preserve"> at</w:t>
          </w:r>
          <w:r w:rsidRPr="001D1B80">
            <w:rPr>
              <w:lang w:val="en-US"/>
            </w:rPr>
            <w:t xml:space="preserve"> the very beginning of sum</w:t>
          </w:r>
          <w:r w:rsidRPr="001D1B80">
            <w:rPr>
              <w:lang w:val="en-US"/>
            </w:rPr>
            <w:softHyphen/>
            <w:t>mer) did</w:t>
          </w:r>
          <w:r w:rsidRPr="001D1B80">
            <w:rPr>
              <w:lang w:val="sl-SI"/>
            </w:rPr>
            <w:t xml:space="preserve"> not</w:t>
          </w:r>
          <w:r w:rsidRPr="001D1B80">
            <w:rPr>
              <w:lang w:val="en-US"/>
            </w:rPr>
            <w:t xml:space="preserve"> allow the</w:t>
          </w:r>
          <w:r w:rsidRPr="001D1B80">
            <w:rPr>
              <w:lang w:val="pt-BR"/>
            </w:rPr>
            <w:t xml:space="preserve"> complete</w:t>
          </w:r>
          <w:r w:rsidRPr="001D1B80">
            <w:rPr>
              <w:lang w:val="en-US"/>
            </w:rPr>
            <w:t xml:space="preserve"> elimination of cyanobacteria from the mesocosms (Fig.</w:t>
          </w:r>
          <w:r w:rsidRPr="001D1B80">
            <w:rPr>
              <w:lang w:val="ca-ES"/>
            </w:rPr>
            <w:t xml:space="preserve"> 1B),</w:t>
          </w:r>
          <w:r w:rsidRPr="001D1B80">
            <w:rPr>
              <w:lang w:val="en-US"/>
            </w:rPr>
            <w:t xml:space="preserve"> but</w:t>
          </w:r>
          <w:r w:rsidRPr="001D1B80">
            <w:rPr>
              <w:lang w:val="sl-SI"/>
            </w:rPr>
            <w:t xml:space="preserve"> on</w:t>
          </w:r>
          <w:r w:rsidRPr="001D1B80">
            <w:rPr>
              <w:lang w:val="en-US"/>
            </w:rPr>
            <w:t xml:space="preserve"> the other hand they did</w:t>
          </w:r>
          <w:r w:rsidRPr="001D1B80">
            <w:rPr>
              <w:lang w:val="sl-SI"/>
            </w:rPr>
            <w:t xml:space="preserve"> not</w:t>
          </w:r>
          <w:r w:rsidRPr="001D1B80">
            <w:rPr>
              <w:lang w:val="en-US"/>
            </w:rPr>
            <w:t xml:space="preserve"> prevent the growth of other competitive photosynthetic microorganisms (Fig.</w:t>
          </w:r>
          <w:r w:rsidRPr="001D1B80">
            <w:rPr>
              <w:lang w:val="ca-ES"/>
            </w:rPr>
            <w:t xml:space="preserve"> 1C,</w:t>
          </w:r>
          <w:r w:rsidRPr="001D1B80">
            <w:rPr>
              <w:lang w:val="sl-SI"/>
            </w:rPr>
            <w:t xml:space="preserve"> D,</w:t>
          </w:r>
          <w:r w:rsidRPr="001D1B80">
            <w:rPr>
              <w:lang w:val="pt-BR"/>
            </w:rPr>
            <w:t xml:space="preserve"> E).</w:t>
          </w:r>
          <w:r w:rsidRPr="001D1B80">
            <w:rPr>
              <w:lang w:val="en-US"/>
            </w:rPr>
            <w:t xml:space="preserve"> The relative specificity of the allelochemical towards cyanobacteria did</w:t>
          </w:r>
          <w:r w:rsidRPr="001D1B80">
            <w:rPr>
              <w:lang w:val="sl-SI"/>
            </w:rPr>
            <w:t xml:space="preserve"> not</w:t>
          </w:r>
          <w:r w:rsidRPr="001D1B80">
            <w:rPr>
              <w:lang w:val="da-DK"/>
            </w:rPr>
            <w:t xml:space="preserve"> alter</w:t>
          </w:r>
          <w:r w:rsidRPr="001D1B80">
            <w:rPr>
              <w:lang w:val="en-US"/>
            </w:rPr>
            <w:t xml:space="preserve"> the primary productivity</w:t>
          </w:r>
          <w:r w:rsidRPr="001D1B80">
            <w:rPr>
              <w:lang w:val="sl-SI"/>
            </w:rPr>
            <w:t xml:space="preserve"> in</w:t>
          </w:r>
          <w:r w:rsidRPr="001D1B80">
            <w:rPr>
              <w:lang w:val="en-US"/>
            </w:rPr>
            <w:t xml:space="preserve"> the treated eco</w:t>
          </w:r>
          <w:r w:rsidRPr="001D1B80">
            <w:rPr>
              <w:lang w:val="en-US"/>
            </w:rPr>
            <w:softHyphen/>
            <w:t>systems which</w:t>
          </w:r>
          <w:r w:rsidRPr="001D1B80">
            <w:rPr>
              <w:lang w:val="pt-BR"/>
            </w:rPr>
            <w:t xml:space="preserve"> is</w:t>
          </w:r>
          <w:r w:rsidRPr="001D1B80">
            <w:rPr>
              <w:lang w:val="en-US"/>
            </w:rPr>
            <w:t xml:space="preserve"> of importance</w:t>
          </w:r>
          <w:r w:rsidRPr="001D1B80">
            <w:rPr>
              <w:lang w:val="pt-BR"/>
            </w:rPr>
            <w:t xml:space="preserve"> for</w:t>
          </w:r>
          <w:r w:rsidRPr="001D1B80">
            <w:rPr>
              <w:lang w:val="en-US"/>
            </w:rPr>
            <w:t xml:space="preserve"> ecosystem functioning.</w:t>
          </w:r>
        </w:p>
        <w:p w:rsidR="00CB4FFF" w:rsidRPr="001D1B80" w:rsidRDefault="00523082" w:rsidP="001D1B80">
          <w:pPr>
            <w:pStyle w:val="Partie"/>
            <w:rPr>
              <w:lang w:val="en-US"/>
            </w:rPr>
          </w:pPr>
          <w:r w:rsidRPr="001D1B80">
            <w:rPr>
              <w:lang w:val="sl-SI"/>
            </w:rPr>
            <w:t>Last,</w:t>
          </w:r>
          <w:r w:rsidRPr="001D1B80">
            <w:rPr>
              <w:lang w:val="en-US"/>
            </w:rPr>
            <w:t xml:space="preserve"> regarding the ecotoxicity potential of gallic</w:t>
          </w:r>
          <w:r w:rsidRPr="001D1B80">
            <w:rPr>
              <w:lang w:val="da-DK"/>
            </w:rPr>
            <w:t xml:space="preserve"> and</w:t>
          </w:r>
          <w:r w:rsidRPr="001D1B80">
            <w:rPr>
              <w:lang w:val="en-US"/>
            </w:rPr>
            <w:t xml:space="preserve"> nonanoic acids, previous</w:t>
          </w:r>
          <w:r w:rsidRPr="001D1B80">
            <w:rPr>
              <w:lang w:val="da-DK"/>
            </w:rPr>
            <w:t xml:space="preserve"> studies</w:t>
          </w:r>
          <w:r w:rsidRPr="001D1B80">
            <w:rPr>
              <w:lang w:val="en-US"/>
            </w:rPr>
            <w:t xml:space="preserve"> dealing with their acute toxicity</w:t>
          </w:r>
          <w:r w:rsidRPr="001D1B80">
            <w:rPr>
              <w:lang w:val="sl-SI"/>
            </w:rPr>
            <w:t xml:space="preserve"> in model</w:t>
          </w:r>
          <w:r w:rsidRPr="001D1B80">
            <w:rPr>
              <w:lang w:val="en-US"/>
            </w:rPr>
            <w:t xml:space="preserve"> in</w:t>
          </w:r>
          <w:r w:rsidRPr="001D1B80">
            <w:rPr>
              <w:lang w:val="en-US"/>
            </w:rPr>
            <w:softHyphen/>
            <w:t>vertebrate (Daphnia</w:t>
          </w:r>
          <w:r w:rsidRPr="001D1B80">
            <w:rPr>
              <w:lang w:val="pt-BR"/>
            </w:rPr>
            <w:t xml:space="preserve"> magna)</w:t>
          </w:r>
          <w:r w:rsidRPr="001D1B80">
            <w:rPr>
              <w:lang w:val="da-DK"/>
            </w:rPr>
            <w:t xml:space="preserve"> and</w:t>
          </w:r>
          <w:r w:rsidRPr="001D1B80">
            <w:rPr>
              <w:lang w:val="en-US"/>
            </w:rPr>
            <w:t xml:space="preserve"> fish</w:t>
          </w:r>
          <w:r w:rsidRPr="001D1B80">
            <w:rPr>
              <w:lang w:val="da-DK"/>
            </w:rPr>
            <w:t xml:space="preserve"> species</w:t>
          </w:r>
          <w:r w:rsidRPr="001D1B80">
            <w:rPr>
              <w:lang w:val="pl-PL"/>
            </w:rPr>
            <w:t xml:space="preserve"> (Danio</w:t>
          </w:r>
          <w:r w:rsidRPr="001D1B80">
            <w:rPr>
              <w:lang w:val="en-US"/>
            </w:rPr>
            <w:t xml:space="preserve"> rerio) reported LC50 values respectively of</w:t>
          </w:r>
          <w:r w:rsidRPr="001D1B80">
            <w:rPr>
              <w:lang w:val="ca-ES"/>
            </w:rPr>
            <w:t xml:space="preserve"> 28.1</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da-DK"/>
            </w:rPr>
            <w:t xml:space="preserve"> and N</w:t>
          </w:r>
          <w:r w:rsidRPr="001D1B80">
            <w:rPr>
              <w:lang w:val="ca-ES"/>
            </w:rPr>
            <w:t xml:space="preserve"> 100</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pt-BR"/>
            </w:rPr>
            <w:t xml:space="preserve"> for</w:t>
          </w:r>
          <w:r w:rsidRPr="001D1B80">
            <w:rPr>
              <w:lang w:val="en-US"/>
            </w:rPr>
            <w:t xml:space="preserve"> gallic acid</w:t>
          </w:r>
          <w:r w:rsidRPr="001D1B80">
            <w:rPr>
              <w:lang w:val="sl-SI"/>
            </w:rPr>
            <w:t xml:space="preserve"> on</w:t>
          </w:r>
          <w:r w:rsidRPr="001D1B80">
            <w:rPr>
              <w:lang w:val="en-US"/>
            </w:rPr>
            <w:t xml:space="preserve"> the</w:t>
          </w:r>
          <w:r w:rsidRPr="001D1B80">
            <w:rPr>
              <w:lang w:val="sl-SI"/>
            </w:rPr>
            <w:t xml:space="preserve"> one</w:t>
          </w:r>
          <w:r w:rsidRPr="001D1B80">
            <w:rPr>
              <w:lang w:val="en-US"/>
            </w:rPr>
            <w:t xml:space="preserve"> hand (Kamaya</w:t>
          </w:r>
          <w:r w:rsidRPr="001D1B80">
            <w:rPr>
              <w:lang w:val="pt-BR"/>
            </w:rPr>
            <w:t xml:space="preserve"> et</w:t>
          </w:r>
          <w:r w:rsidRPr="001D1B80">
            <w:rPr>
              <w:lang w:val="da-DK"/>
            </w:rPr>
            <w:t xml:space="preserve"> al.,</w:t>
          </w:r>
          <w:r w:rsidRPr="001D1B80">
            <w:rPr>
              <w:lang w:val="ca-ES"/>
            </w:rPr>
            <w:t xml:space="preserve"> 2005;</w:t>
          </w:r>
          <w:r w:rsidRPr="001D1B80">
            <w:rPr>
              <w:lang w:val="en-US"/>
            </w:rPr>
            <w:t xml:space="preserve"> Techer</w:t>
          </w:r>
          <w:r w:rsidRPr="001D1B80">
            <w:rPr>
              <w:lang w:val="pt-BR"/>
            </w:rPr>
            <w:t xml:space="preserve"> et</w:t>
          </w:r>
          <w:r w:rsidRPr="001D1B80">
            <w:rPr>
              <w:lang w:val="da-DK"/>
            </w:rPr>
            <w:t xml:space="preserve"> al.,</w:t>
          </w:r>
          <w:r w:rsidRPr="001D1B80">
            <w:rPr>
              <w:lang w:val="ca-ES"/>
            </w:rPr>
            <w:t xml:space="preserve"> 2015a),</w:t>
          </w:r>
          <w:r w:rsidRPr="001D1B80">
            <w:rPr>
              <w:lang w:val="da-DK"/>
            </w:rPr>
            <w:t xml:space="preserve"> and</w:t>
          </w:r>
          <w:r w:rsidRPr="001D1B80">
            <w:rPr>
              <w:lang w:val="en-US"/>
            </w:rPr>
            <w:t xml:space="preserve"> of</w:t>
          </w:r>
          <w:r w:rsidRPr="001D1B80">
            <w:rPr>
              <w:lang w:val="ca-ES"/>
            </w:rPr>
            <w:t xml:space="preserve"> 96</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da-DK"/>
            </w:rPr>
            <w:t xml:space="preserve"> and</w:t>
          </w:r>
          <w:r w:rsidRPr="001D1B80">
            <w:rPr>
              <w:lang w:val="ca-ES"/>
            </w:rPr>
            <w:t xml:space="preserve"> 81.2</w:t>
          </w:r>
          <w:r w:rsidRPr="001D1B80">
            <w:rPr>
              <w:lang w:val="sl-SI"/>
            </w:rPr>
            <w:t xml:space="preserve"> mg</w:t>
          </w:r>
          <w:r w:rsidRPr="001D1B80">
            <w:rPr>
              <w:lang w:val="en-US"/>
            </w:rPr>
            <w:t xml:space="preserve"> L</w:t>
          </w:r>
          <w:r w:rsidRPr="001D1B80">
            <w:rPr>
              <w:lang w:val="en-US"/>
            </w:rPr>
            <w:sym w:font="Symbol" w:char="F02D"/>
          </w:r>
          <w:r w:rsidRPr="001D1B80">
            <w:rPr>
              <w:lang w:val="en-US"/>
            </w:rPr>
            <w:t>1</w:t>
          </w:r>
          <w:r w:rsidRPr="001D1B80">
            <w:rPr>
              <w:lang w:val="pt-BR"/>
            </w:rPr>
            <w:t xml:space="preserve"> for</w:t>
          </w:r>
          <w:r w:rsidRPr="001D1B80">
            <w:rPr>
              <w:lang w:val="en-US"/>
            </w:rPr>
            <w:t xml:space="preserve"> nonanoic acid</w:t>
          </w:r>
          <w:r w:rsidRPr="001D1B80">
            <w:rPr>
              <w:lang w:val="sl-SI"/>
            </w:rPr>
            <w:t xml:space="preserve"> on</w:t>
          </w:r>
          <w:r w:rsidRPr="001D1B80">
            <w:rPr>
              <w:lang w:val="en-US"/>
            </w:rPr>
            <w:t xml:space="preserve"> the other hand (Techer</w:t>
          </w:r>
          <w:r w:rsidRPr="001D1B80">
            <w:rPr>
              <w:lang w:val="pt-BR"/>
            </w:rPr>
            <w:t xml:space="preserve"> et</w:t>
          </w:r>
          <w:r w:rsidRPr="001D1B80">
            <w:rPr>
              <w:lang w:val="da-DK"/>
            </w:rPr>
            <w:t xml:space="preserve"> al.,</w:t>
          </w:r>
          <w:r w:rsidRPr="001D1B80">
            <w:rPr>
              <w:lang w:val="ca-ES"/>
            </w:rPr>
            <w:t xml:space="preserve"> 2015a;</w:t>
          </w:r>
          <w:r w:rsidRPr="001D1B80">
            <w:rPr>
              <w:lang w:val="da-DK"/>
            </w:rPr>
            <w:t xml:space="preserve"> US</w:t>
          </w:r>
          <w:r w:rsidRPr="001D1B80">
            <w:rPr>
              <w:lang w:val="en-US"/>
            </w:rPr>
            <w:t xml:space="preserve"> EPA,</w:t>
          </w:r>
          <w:r w:rsidRPr="001D1B80">
            <w:rPr>
              <w:lang w:val="ca-ES"/>
            </w:rPr>
            <w:t xml:space="preserve"> 1992).</w:t>
          </w:r>
          <w:r w:rsidRPr="001D1B80">
            <w:rPr>
              <w:lang w:val="en-US"/>
            </w:rPr>
            <w:t xml:space="preserve"> These “threshold values” well above the EC50 reported</w:t>
          </w:r>
          <w:r w:rsidRPr="001D1B80">
            <w:rPr>
              <w:lang w:val="pt-BR"/>
            </w:rPr>
            <w:t xml:space="preserve"> for</w:t>
          </w:r>
          <w:r w:rsidRPr="001D1B80">
            <w:rPr>
              <w:lang w:val="en-US"/>
            </w:rPr>
            <w:t xml:space="preserve"> gallic</w:t>
          </w:r>
          <w:r w:rsidRPr="001D1B80">
            <w:rPr>
              <w:lang w:val="da-DK"/>
            </w:rPr>
            <w:t xml:space="preserve"> and</w:t>
          </w:r>
          <w:r w:rsidRPr="001D1B80">
            <w:rPr>
              <w:lang w:val="en-US"/>
            </w:rPr>
            <w:t xml:space="preserve"> nonanoic acid allelopathic activity towards cyanobacteria</w:t>
          </w:r>
          <w:r w:rsidRPr="001D1B80">
            <w:rPr>
              <w:lang w:val="ca-ES"/>
            </w:rPr>
            <w:t xml:space="preserve"> (1</w:t>
          </w:r>
          <w:r w:rsidRPr="001D1B80">
            <w:rPr>
              <w:lang w:val="da-DK"/>
            </w:rPr>
            <w:t xml:space="preserve"> and</w:t>
          </w:r>
          <w:r w:rsidRPr="001D1B80">
            <w:rPr>
              <w:lang w:val="ca-ES"/>
            </w:rPr>
            <w:t xml:space="preserve"> 0.5</w:t>
          </w:r>
          <w:r w:rsidRPr="001D1B80">
            <w:rPr>
              <w:lang w:val="sl-SI"/>
            </w:rPr>
            <w:t xml:space="preserve"> mg</w:t>
          </w:r>
          <w:r w:rsidRPr="001D1B80">
            <w:rPr>
              <w:lang w:val="en-US"/>
            </w:rPr>
            <w:t xml:space="preserve"> L</w:t>
          </w:r>
          <w:r w:rsidRPr="001D1B80">
            <w:rPr>
              <w:lang w:val="en-US"/>
            </w:rPr>
            <w:sym w:font="Symbol" w:char="F02D"/>
          </w:r>
          <w:r w:rsidRPr="001D1B80">
            <w:rPr>
              <w:lang w:val="en-US"/>
            </w:rPr>
            <w:t>1, respectively, Nakai</w:t>
          </w:r>
          <w:r w:rsidRPr="001D1B80">
            <w:rPr>
              <w:lang w:val="pt-BR"/>
            </w:rPr>
            <w:t xml:space="preserve"> et</w:t>
          </w:r>
          <w:r w:rsidRPr="001D1B80">
            <w:rPr>
              <w:lang w:val="da-DK"/>
            </w:rPr>
            <w:t xml:space="preserve"> al.,</w:t>
          </w:r>
          <w:r w:rsidRPr="001D1B80">
            <w:rPr>
              <w:lang w:val="ca-ES"/>
            </w:rPr>
            <w:t xml:space="preserve"> 2000, 2005)</w:t>
          </w:r>
          <w:r w:rsidRPr="001D1B80">
            <w:rPr>
              <w:lang w:val="en-US"/>
            </w:rPr>
            <w:t xml:space="preserve"> suggested that biological effects concomi</w:t>
          </w:r>
          <w:r w:rsidRPr="001D1B80">
            <w:rPr>
              <w:lang w:val="en-US"/>
            </w:rPr>
            <w:softHyphen/>
            <w:t>tant</w:t>
          </w:r>
          <w:r w:rsidRPr="001D1B80">
            <w:rPr>
              <w:lang w:val="sl-SI"/>
            </w:rPr>
            <w:t xml:space="preserve"> to</w:t>
          </w:r>
          <w:r w:rsidRPr="001D1B80">
            <w:rPr>
              <w:lang w:val="en-US"/>
            </w:rPr>
            <w:t xml:space="preserve"> the allelochemical exposure</w:t>
          </w:r>
          <w:r w:rsidRPr="001D1B80">
            <w:rPr>
              <w:lang w:val="sl-SI"/>
            </w:rPr>
            <w:t xml:space="preserve"> in a</w:t>
          </w:r>
          <w:r w:rsidRPr="001D1B80">
            <w:rPr>
              <w:lang w:val="en-US"/>
            </w:rPr>
            <w:t xml:space="preserve"> concentration</w:t>
          </w:r>
          <w:r w:rsidRPr="001D1B80">
            <w:rPr>
              <w:lang w:val="sl-SI"/>
            </w:rPr>
            <w:t xml:space="preserve"> range</w:t>
          </w:r>
          <w:r w:rsidRPr="001D1B80">
            <w:rPr>
              <w:lang w:val="en-US"/>
            </w:rPr>
            <w:t xml:space="preserve"> compat</w:t>
          </w:r>
          <w:r w:rsidRPr="001D1B80">
            <w:rPr>
              <w:lang w:val="en-US"/>
            </w:rPr>
            <w:softHyphen/>
            <w:t>ible with their algicidal properties would</w:t>
          </w:r>
          <w:r w:rsidRPr="001D1B80">
            <w:rPr>
              <w:lang w:val="sl-SI"/>
            </w:rPr>
            <w:t xml:space="preserve"> not</w:t>
          </w:r>
          <w:r w:rsidRPr="001D1B80">
            <w:rPr>
              <w:lang w:val="en-US"/>
            </w:rPr>
            <w:t xml:space="preserve"> be harmful</w:t>
          </w:r>
          <w:r w:rsidRPr="001D1B80">
            <w:rPr>
              <w:lang w:val="pt-BR"/>
            </w:rPr>
            <w:t xml:space="preserve"> for</w:t>
          </w:r>
          <w:r w:rsidRPr="001D1B80">
            <w:rPr>
              <w:lang w:val="en-US"/>
            </w:rPr>
            <w:t xml:space="preserve"> higher organisms introduced into the mesocosms. Such assumptions were</w:t>
          </w:r>
          <w:r w:rsidRPr="001D1B80">
            <w:rPr>
              <w:lang w:val="sl-SI"/>
            </w:rPr>
            <w:t xml:space="preserve"> in</w:t>
          </w:r>
          <w:r w:rsidRPr="001D1B80">
            <w:rPr>
              <w:lang w:val="en-US"/>
            </w:rPr>
            <w:t xml:space="preserve"> accordance with our findings, leading</w:t>
          </w:r>
          <w:r w:rsidRPr="001D1B80">
            <w:rPr>
              <w:lang w:val="sl-SI"/>
            </w:rPr>
            <w:t xml:space="preserve"> to</w:t>
          </w:r>
          <w:r w:rsidRPr="001D1B80">
            <w:rPr>
              <w:lang w:val="en-US"/>
            </w:rPr>
            <w:t xml:space="preserve"> the assessment of</w:t>
          </w:r>
          <w:r w:rsidRPr="001D1B80">
            <w:rPr>
              <w:lang w:val="sl-SI"/>
            </w:rPr>
            <w:t xml:space="preserve"> stan</w:t>
          </w:r>
          <w:r w:rsidRPr="001D1B80">
            <w:rPr>
              <w:lang w:val="sl-SI"/>
            </w:rPr>
            <w:softHyphen/>
            <w:t>dard</w:t>
          </w:r>
          <w:r w:rsidRPr="001D1B80">
            <w:rPr>
              <w:lang w:val="en-US"/>
            </w:rPr>
            <w:t xml:space="preserve"> subcellular</w:t>
          </w:r>
          <w:r w:rsidRPr="001D1B80">
            <w:rPr>
              <w:lang w:val="da-DK"/>
            </w:rPr>
            <w:t xml:space="preserve"> biomarkers.</w:t>
          </w:r>
          <w:r w:rsidRPr="001D1B80">
            <w:rPr>
              <w:lang w:val="en-US"/>
            </w:rPr>
            <w:t xml:space="preserve"> Slight but significant decreases</w:t>
          </w:r>
          <w:r w:rsidRPr="001D1B80">
            <w:rPr>
              <w:lang w:val="sl-SI"/>
            </w:rPr>
            <w:t xml:space="preserve"> in</w:t>
          </w:r>
          <w:r w:rsidRPr="001D1B80">
            <w:rPr>
              <w:lang w:val="pt-BR"/>
            </w:rPr>
            <w:t xml:space="preserve"> total</w:t>
          </w:r>
          <w:r w:rsidRPr="001D1B80">
            <w:rPr>
              <w:lang w:val="en-US"/>
            </w:rPr>
            <w:t xml:space="preserve"> GPx activities were reported</w:t>
          </w:r>
          <w:r w:rsidRPr="001D1B80">
            <w:rPr>
              <w:lang w:val="sl-SI"/>
            </w:rPr>
            <w:t xml:space="preserve"> in</w:t>
          </w:r>
          <w:r w:rsidRPr="001D1B80">
            <w:rPr>
              <w:lang w:val="en-US"/>
            </w:rPr>
            <w:t xml:space="preserve"> Physa</w:t>
          </w:r>
          <w:r w:rsidRPr="001D1B80">
            <w:rPr>
              <w:lang w:val="da-DK"/>
            </w:rPr>
            <w:t xml:space="preserve"> and</w:t>
          </w:r>
          <w:r w:rsidRPr="001D1B80">
            <w:rPr>
              <w:lang w:val="en-US"/>
            </w:rPr>
            <w:t xml:space="preserve"> fish gills respectively exposed</w:t>
          </w:r>
          <w:r w:rsidRPr="001D1B80">
            <w:rPr>
              <w:lang w:val="sl-SI"/>
            </w:rPr>
            <w:t xml:space="preserve"> to</w:t>
          </w:r>
          <w:r w:rsidRPr="001D1B80">
            <w:rPr>
              <w:lang w:val="en-US"/>
            </w:rPr>
            <w:t xml:space="preserve"> [+gallic acid + nonanoic acid] (Fig.</w:t>
          </w:r>
          <w:r w:rsidRPr="001D1B80">
            <w:rPr>
              <w:lang w:val="ca-ES"/>
            </w:rPr>
            <w:t xml:space="preserve"> 2B)</w:t>
          </w:r>
          <w:r w:rsidRPr="001D1B80">
            <w:rPr>
              <w:lang w:val="da-DK"/>
            </w:rPr>
            <w:t xml:space="preserve"> and</w:t>
          </w:r>
          <w:r w:rsidRPr="001D1B80">
            <w:rPr>
              <w:lang w:val="en-US"/>
            </w:rPr>
            <w:t xml:space="preserve"> [+nonanoic acid] (Fig.</w:t>
          </w:r>
          <w:r w:rsidRPr="001D1B80">
            <w:rPr>
              <w:lang w:val="ca-ES"/>
            </w:rPr>
            <w:t xml:space="preserve"> 3E).</w:t>
          </w:r>
          <w:r w:rsidRPr="001D1B80">
            <w:rPr>
              <w:lang w:val="en-US"/>
            </w:rPr>
            <w:t xml:space="preserve"> Both allelochemicals</w:t>
          </w:r>
          <w:r w:rsidRPr="001D1B80">
            <w:rPr>
              <w:lang w:val="da-DK"/>
            </w:rPr>
            <w:t xml:space="preserve"> have</w:t>
          </w:r>
          <w:r w:rsidRPr="001D1B80">
            <w:rPr>
              <w:lang w:val="en-US"/>
            </w:rPr>
            <w:t xml:space="preserve"> been reported</w:t>
          </w:r>
          <w:r w:rsidRPr="001D1B80">
            <w:rPr>
              <w:lang w:val="sl-SI"/>
            </w:rPr>
            <w:t xml:space="preserve"> to</w:t>
          </w:r>
          <w:r w:rsidRPr="001D1B80">
            <w:rPr>
              <w:lang w:val="en-US"/>
            </w:rPr>
            <w:t xml:space="preserve"> induce oxidative</w:t>
          </w:r>
          <w:r w:rsidRPr="001D1B80">
            <w:rPr>
              <w:lang w:val="da-DK"/>
            </w:rPr>
            <w:t xml:space="preserve"> stress</w:t>
          </w:r>
          <w:r w:rsidRPr="001D1B80">
            <w:rPr>
              <w:lang w:val="en-US"/>
            </w:rPr>
            <w:t xml:space="preserve"> (Techer</w:t>
          </w:r>
          <w:r w:rsidRPr="001D1B80">
            <w:rPr>
              <w:lang w:val="pt-BR"/>
            </w:rPr>
            <w:t xml:space="preserve"> et</w:t>
          </w:r>
          <w:r w:rsidRPr="001D1B80">
            <w:rPr>
              <w:lang w:val="da-DK"/>
            </w:rPr>
            <w:t xml:space="preserve"> al.,</w:t>
          </w:r>
          <w:r w:rsidRPr="001D1B80">
            <w:rPr>
              <w:lang w:val="ca-ES"/>
            </w:rPr>
            <w:t xml:space="preserve"> 2015b).</w:t>
          </w:r>
          <w:r w:rsidRPr="001D1B80">
            <w:rPr>
              <w:lang w:val="en-US"/>
            </w:rPr>
            <w:t xml:space="preserve"> Moreover, due</w:t>
          </w:r>
          <w:r w:rsidRPr="001D1B80">
            <w:rPr>
              <w:lang w:val="sl-SI"/>
            </w:rPr>
            <w:t xml:space="preserve"> to</w:t>
          </w:r>
          <w:r w:rsidRPr="001D1B80">
            <w:rPr>
              <w:lang w:val="en-US"/>
            </w:rPr>
            <w:t xml:space="preserve"> its</w:t>
          </w:r>
          <w:r w:rsidRPr="001D1B80">
            <w:rPr>
              <w:lang w:val="cs-CZ"/>
            </w:rPr>
            <w:t xml:space="preserve"> medium</w:t>
          </w:r>
          <w:r w:rsidRPr="001D1B80">
            <w:rPr>
              <w:lang w:val="en-US"/>
            </w:rPr>
            <w:t xml:space="preserve"> chain length, nonanoic acid</w:t>
          </w:r>
          <w:r w:rsidRPr="001D1B80">
            <w:rPr>
              <w:lang w:val="pt-BR"/>
            </w:rPr>
            <w:t xml:space="preserve"> is</w:t>
          </w:r>
          <w:r w:rsidRPr="001D1B80">
            <w:rPr>
              <w:lang w:val="en-US"/>
            </w:rPr>
            <w:t xml:space="preserve"> especially efficient</w:t>
          </w:r>
          <w:r w:rsidRPr="001D1B80">
            <w:rPr>
              <w:lang w:val="sl-SI"/>
            </w:rPr>
            <w:t xml:space="preserve"> to</w:t>
          </w:r>
          <w:r w:rsidRPr="001D1B80">
            <w:rPr>
              <w:lang w:val="en-US"/>
            </w:rPr>
            <w:t xml:space="preserve"> intercalate into</w:t>
          </w:r>
          <w:r w:rsidRPr="001D1B80">
            <w:rPr>
              <w:lang w:val="sl-SI"/>
            </w:rPr>
            <w:t xml:space="preserve"> plasma</w:t>
          </w:r>
          <w:r w:rsidRPr="001D1B80">
            <w:rPr>
              <w:lang w:val="en-US"/>
            </w:rPr>
            <w:t xml:space="preserve"> cell membrane, leading ultimately</w:t>
          </w:r>
          <w:r w:rsidRPr="001D1B80">
            <w:rPr>
              <w:lang w:val="sl-SI"/>
            </w:rPr>
            <w:t xml:space="preserve"> to</w:t>
          </w:r>
          <w:r w:rsidRPr="001D1B80">
            <w:rPr>
              <w:lang w:val="en-US"/>
            </w:rPr>
            <w:t xml:space="preserve"> reactive oxygen</w:t>
          </w:r>
          <w:r w:rsidRPr="001D1B80">
            <w:rPr>
              <w:lang w:val="da-DK"/>
            </w:rPr>
            <w:t xml:space="preserve"> species</w:t>
          </w:r>
          <w:r w:rsidRPr="001D1B80">
            <w:rPr>
              <w:lang w:val="en-US"/>
            </w:rPr>
            <w:t xml:space="preserve"> production when used</w:t>
          </w:r>
          <w:r w:rsidRPr="001D1B80">
            <w:rPr>
              <w:lang w:val="sl-SI"/>
            </w:rPr>
            <w:t xml:space="preserve"> as </w:t>
          </w:r>
          <w:proofErr w:type="gramStart"/>
          <w:r w:rsidRPr="001D1B80">
            <w:rPr>
              <w:lang w:val="sl-SI"/>
            </w:rPr>
            <w:t>a</w:t>
          </w:r>
          <w:proofErr w:type="gramEnd"/>
          <w:r w:rsidRPr="001D1B80">
            <w:rPr>
              <w:lang w:val="sl-SI"/>
            </w:rPr>
            <w:t xml:space="preserve"> herbicide in</w:t>
          </w:r>
          <w:r w:rsidRPr="001D1B80">
            <w:rPr>
              <w:lang w:val="en-US"/>
            </w:rPr>
            <w:t xml:space="preserve"> higher terrestrial plants</w:t>
          </w:r>
          <w:r w:rsidRPr="001D1B80">
            <w:rPr>
              <w:lang w:val="sl-SI"/>
            </w:rPr>
            <w:t xml:space="preserve"> (Lederer</w:t>
          </w:r>
          <w:r w:rsidRPr="001D1B80">
            <w:rPr>
              <w:lang w:val="pt-BR"/>
            </w:rPr>
            <w:t xml:space="preserve"> et</w:t>
          </w:r>
          <w:r w:rsidRPr="001D1B80">
            <w:rPr>
              <w:lang w:val="da-DK"/>
            </w:rPr>
            <w:t xml:space="preserve"> al.,</w:t>
          </w:r>
          <w:r w:rsidRPr="001D1B80">
            <w:rPr>
              <w:lang w:val="ca-ES"/>
            </w:rPr>
            <w:t xml:space="preserve"> 2004).</w:t>
          </w:r>
          <w:r w:rsidRPr="001D1B80">
            <w:rPr>
              <w:lang w:val="en-US"/>
            </w:rPr>
            <w:t xml:space="preserve"> The fact that nonanoic acid especially may be involved into antioxidant enzyme activity disruption</w:t>
          </w:r>
          <w:r w:rsidRPr="001D1B80">
            <w:rPr>
              <w:lang w:val="sl-SI"/>
            </w:rPr>
            <w:t xml:space="preserve"> on</w:t>
          </w:r>
          <w:r w:rsidRPr="001D1B80">
            <w:rPr>
              <w:lang w:val="en-US"/>
            </w:rPr>
            <w:t xml:space="preserve"> the long</w:t>
          </w:r>
          <w:r w:rsidRPr="001D1B80">
            <w:rPr>
              <w:lang w:val="en-US"/>
            </w:rPr>
            <w:softHyphen/>
            <w:t>term cannot be completely ruled</w:t>
          </w:r>
          <w:r w:rsidRPr="001D1B80">
            <w:rPr>
              <w:lang w:val="cs-CZ"/>
            </w:rPr>
            <w:t xml:space="preserve"> out.</w:t>
          </w:r>
          <w:r w:rsidRPr="001D1B80">
            <w:rPr>
              <w:lang w:val="en-US"/>
            </w:rPr>
            <w:t xml:space="preserve"> Despite this assumption</w:t>
          </w:r>
          <w:r w:rsidRPr="001D1B80">
            <w:rPr>
              <w:lang w:val="da-DK"/>
            </w:rPr>
            <w:t xml:space="preserve"> and</w:t>
          </w:r>
          <w:r w:rsidRPr="001D1B80">
            <w:rPr>
              <w:lang w:val="sl-SI"/>
            </w:rPr>
            <w:t xml:space="preserve"> as</w:t>
          </w:r>
          <w:r w:rsidRPr="001D1B80">
            <w:rPr>
              <w:lang w:val="en-US"/>
            </w:rPr>
            <w:t xml:space="preserve"> illustrated</w:t>
          </w:r>
          <w:r w:rsidRPr="001D1B80">
            <w:rPr>
              <w:lang w:val="cs-CZ"/>
            </w:rPr>
            <w:t xml:space="preserve"> by</w:t>
          </w:r>
          <w:r w:rsidRPr="001D1B80">
            <w:rPr>
              <w:lang w:val="en-US"/>
            </w:rPr>
            <w:t xml:space="preserve"> the</w:t>
          </w:r>
          <w:r w:rsidRPr="001D1B80">
            <w:rPr>
              <w:lang w:val="cs-CZ"/>
            </w:rPr>
            <w:t xml:space="preserve"> absence</w:t>
          </w:r>
          <w:r w:rsidRPr="001D1B80">
            <w:rPr>
              <w:lang w:val="en-US"/>
            </w:rPr>
            <w:t xml:space="preserve"> of any other</w:t>
          </w:r>
          <w:r w:rsidRPr="001D1B80">
            <w:rPr>
              <w:lang w:val="da-DK"/>
            </w:rPr>
            <w:t xml:space="preserve"> biomarker</w:t>
          </w:r>
          <w:r w:rsidRPr="001D1B80">
            <w:rPr>
              <w:lang w:val="en-US"/>
            </w:rPr>
            <w:t xml:space="preserve"> induction</w:t>
          </w:r>
          <w:r w:rsidRPr="001D1B80">
            <w:rPr>
              <w:lang w:val="sl-SI"/>
            </w:rPr>
            <w:t xml:space="preserve"> signal in</w:t>
          </w:r>
          <w:r w:rsidRPr="001D1B80">
            <w:rPr>
              <w:lang w:val="en-US"/>
            </w:rPr>
            <w:t xml:space="preserve"> snails,</w:t>
          </w:r>
          <w:r w:rsidRPr="001D1B80">
            <w:rPr>
              <w:lang w:val="da-DK"/>
            </w:rPr>
            <w:t xml:space="preserve"> gammarids, and</w:t>
          </w:r>
          <w:r w:rsidRPr="001D1B80">
            <w:rPr>
              <w:lang w:val="en-US"/>
            </w:rPr>
            <w:t xml:space="preserve"> fish tissues (Figs.</w:t>
          </w:r>
          <w:r w:rsidRPr="001D1B80">
            <w:rPr>
              <w:lang w:val="ca-ES"/>
            </w:rPr>
            <w:t xml:space="preserve"> 2, 3),</w:t>
          </w:r>
          <w:r w:rsidRPr="001D1B80">
            <w:rPr>
              <w:lang w:val="en-US"/>
            </w:rPr>
            <w:t xml:space="preserve"> the toxicological evaluation</w:t>
          </w:r>
          <w:r w:rsidRPr="001D1B80">
            <w:rPr>
              <w:lang w:val="da-DK"/>
            </w:rPr>
            <w:t xml:space="preserve"> overall</w:t>
          </w:r>
          <w:r w:rsidRPr="001D1B80">
            <w:rPr>
              <w:lang w:val="en-US"/>
            </w:rPr>
            <w:t xml:space="preserve"> did</w:t>
          </w:r>
          <w:r w:rsidRPr="001D1B80">
            <w:rPr>
              <w:lang w:val="sl-SI"/>
            </w:rPr>
            <w:t xml:space="preserve"> not</w:t>
          </w:r>
          <w:r w:rsidRPr="001D1B80">
            <w:rPr>
              <w:lang w:val="en-US"/>
            </w:rPr>
            <w:t xml:space="preserve"> indicate any harmful effects of both com</w:t>
          </w:r>
          <w:r w:rsidRPr="001D1B80">
            <w:rPr>
              <w:lang w:val="en-US"/>
            </w:rPr>
            <w:softHyphen/>
            <w:t>pounds (either alone</w:t>
          </w:r>
          <w:r w:rsidRPr="001D1B80">
            <w:rPr>
              <w:lang w:val="sl-SI"/>
            </w:rPr>
            <w:t xml:space="preserve"> or</w:t>
          </w:r>
          <w:r w:rsidRPr="001D1B80">
            <w:rPr>
              <w:lang w:val="en-US"/>
            </w:rPr>
            <w:t xml:space="preserve"> combined)</w:t>
          </w:r>
          <w:r w:rsidRPr="001D1B80">
            <w:rPr>
              <w:lang w:val="sl-SI"/>
            </w:rPr>
            <w:t xml:space="preserve"> in</w:t>
          </w:r>
          <w:r w:rsidRPr="001D1B80">
            <w:rPr>
              <w:lang w:val="en-US"/>
            </w:rPr>
            <w:t xml:space="preserve"> these</w:t>
          </w:r>
          <w:r w:rsidRPr="001D1B80">
            <w:rPr>
              <w:lang w:val="nl-NL"/>
            </w:rPr>
            <w:t xml:space="preserve"> non-target</w:t>
          </w:r>
          <w:r w:rsidRPr="001D1B80">
            <w:rPr>
              <w:lang w:val="da-DK"/>
            </w:rPr>
            <w:t xml:space="preserve"> species.</w:t>
          </w:r>
        </w:p>
      </w:sdtContent>
    </w:sdt>
    <w:p w:rsidR="00957E7B" w:rsidRPr="001D1B80" w:rsidRDefault="00957E7B" w:rsidP="001D1B80">
      <w:pPr>
        <w:pStyle w:val="TitrePartieArticle"/>
        <w:sectPr w:rsidR="00957E7B" w:rsidRPr="001D1B80" w:rsidSect="00575F2F">
          <w:type w:val="continuous"/>
          <w:pgSz w:w="11906" w:h="16838"/>
          <w:pgMar w:top="851" w:right="424" w:bottom="567" w:left="426" w:header="426" w:footer="397" w:gutter="0"/>
          <w:cols w:num="2" w:space="141"/>
          <w:formProt w:val="0"/>
          <w:docGrid w:linePitch="360"/>
        </w:sectPr>
      </w:pPr>
    </w:p>
    <w:p w:rsidR="00CB4FFF" w:rsidRPr="001D1B80" w:rsidRDefault="00D27E5B" w:rsidP="001D1B80">
      <w:pPr>
        <w:pStyle w:val="TitrePartieArticle"/>
      </w:pPr>
      <w:sdt>
        <w:sdtPr>
          <w:id w:val="-1264292142"/>
          <w:placeholder>
            <w:docPart w:val="628D455D85B247CD9235F149C09EFEFE"/>
          </w:placeholder>
          <w:text/>
        </w:sdtPr>
        <w:sdtEndPr/>
        <w:sdtContent>
          <w:r w:rsidR="00CB4FFF" w:rsidRPr="001D1B80">
            <w:t>Conclusion</w:t>
          </w:r>
        </w:sdtContent>
      </w:sdt>
      <w:r w:rsidR="00CB4FFF" w:rsidRPr="001D1B80">
        <w:t xml:space="preserve"> </w:t>
      </w:r>
      <w:r w:rsidR="00CB4FFF" w:rsidRPr="001D1B80">
        <w:tab/>
      </w:r>
    </w:p>
    <w:p w:rsidR="00CB4FFF" w:rsidRPr="001D1B80" w:rsidRDefault="00CB4FFF" w:rsidP="001D1B80">
      <w:pPr>
        <w:pStyle w:val="TitrePartieArticle"/>
        <w:sectPr w:rsidR="00CB4FFF" w:rsidRPr="001D1B80" w:rsidSect="00957E7B">
          <w:type w:val="continuous"/>
          <w:pgSz w:w="11906" w:h="16838"/>
          <w:pgMar w:top="851" w:right="424" w:bottom="567" w:left="426" w:header="426" w:footer="397" w:gutter="0"/>
          <w:cols w:space="141"/>
          <w:formProt w:val="0"/>
          <w:docGrid w:linePitch="360"/>
        </w:sectPr>
      </w:pPr>
    </w:p>
    <w:sdt>
      <w:sdtPr>
        <w:id w:val="-529258528"/>
        <w:placeholder>
          <w:docPart w:val="50CB1E1B72FE4A2CBB8A0C0CD092419C"/>
        </w:placeholder>
      </w:sdtPr>
      <w:sdtEndPr/>
      <w:sdtContent>
        <w:p w:rsidR="00523082" w:rsidRPr="001D1B80" w:rsidRDefault="00523082" w:rsidP="001D1B80">
          <w:pPr>
            <w:pStyle w:val="Partie"/>
            <w:rPr>
              <w:lang w:val="en-US"/>
            </w:rPr>
          </w:pPr>
          <w:r w:rsidRPr="001D1B80">
            <w:rPr>
              <w:lang w:val="en-US"/>
            </w:rPr>
            <w:t>According</w:t>
          </w:r>
          <w:r w:rsidRPr="001D1B80">
            <w:rPr>
              <w:lang w:val="sl-SI"/>
            </w:rPr>
            <w:t xml:space="preserve"> to</w:t>
          </w:r>
          <w:r w:rsidRPr="001D1B80">
            <w:rPr>
              <w:lang w:val="en-US"/>
            </w:rPr>
            <w:t xml:space="preserve"> our mesocosm exposure conditions</w:t>
          </w:r>
          <w:r w:rsidRPr="001D1B80">
            <w:rPr>
              <w:lang w:val="da-DK"/>
            </w:rPr>
            <w:t xml:space="preserve"> and</w:t>
          </w:r>
          <w:r w:rsidRPr="001D1B80">
            <w:rPr>
              <w:lang w:val="en-US"/>
            </w:rPr>
            <w:t xml:space="preserve"> contrasting with laboratory</w:t>
          </w:r>
          <w:r w:rsidRPr="001D1B80">
            <w:rPr>
              <w:lang w:val="pt-BR"/>
            </w:rPr>
            <w:t xml:space="preserve"> data,</w:t>
          </w:r>
          <w:r w:rsidRPr="001D1B80">
            <w:rPr>
              <w:lang w:val="en-US"/>
            </w:rPr>
            <w:t xml:space="preserve"> gallic acid appears</w:t>
          </w:r>
          <w:r w:rsidRPr="001D1B80">
            <w:rPr>
              <w:lang w:val="sl-SI"/>
            </w:rPr>
            <w:t xml:space="preserve"> as a more</w:t>
          </w:r>
          <w:r w:rsidRPr="001D1B80">
            <w:rPr>
              <w:lang w:val="da-DK"/>
            </w:rPr>
            <w:t xml:space="preserve"> potent and</w:t>
          </w:r>
          <w:r w:rsidRPr="001D1B80">
            <w:rPr>
              <w:lang w:val="en-US"/>
            </w:rPr>
            <w:t xml:space="preserve"> prom</w:t>
          </w:r>
          <w:r w:rsidRPr="001D1B80">
            <w:rPr>
              <w:lang w:val="en-US"/>
            </w:rPr>
            <w:softHyphen/>
            <w:t>ising allelochemical than nonanoic acid</w:t>
          </w:r>
          <w:r w:rsidRPr="001D1B80">
            <w:rPr>
              <w:lang w:val="sl-SI"/>
            </w:rPr>
            <w:t xml:space="preserve"> to</w:t>
          </w:r>
          <w:r w:rsidRPr="001D1B80">
            <w:rPr>
              <w:lang w:val="en-US"/>
            </w:rPr>
            <w:t xml:space="preserve"> control cyanobacterial growth</w:t>
          </w:r>
          <w:r w:rsidRPr="001D1B80">
            <w:rPr>
              <w:lang w:val="da-DK"/>
            </w:rPr>
            <w:t xml:space="preserve"> at</w:t>
          </w:r>
          <w:r w:rsidRPr="001D1B80">
            <w:rPr>
              <w:lang w:val="en-US"/>
            </w:rPr>
            <w:t xml:space="preserve"> their early</w:t>
          </w:r>
          <w:r w:rsidRPr="001D1B80">
            <w:rPr>
              <w:lang w:val="da-DK"/>
            </w:rPr>
            <w:t xml:space="preserve"> stage</w:t>
          </w:r>
          <w:r w:rsidRPr="001D1B80">
            <w:rPr>
              <w:lang w:val="en-US"/>
            </w:rPr>
            <w:t xml:space="preserve"> of proliferation. Moreover,</w:t>
          </w:r>
          <w:r w:rsidRPr="001D1B80">
            <w:rPr>
              <w:lang w:val="sl-SI"/>
            </w:rPr>
            <w:t xml:space="preserve"> in</w:t>
          </w:r>
          <w:r w:rsidRPr="001D1B80">
            <w:rPr>
              <w:lang w:val="en-US"/>
            </w:rPr>
            <w:t xml:space="preserve"> our experi</w:t>
          </w:r>
          <w:r w:rsidRPr="001D1B80">
            <w:rPr>
              <w:lang w:val="en-US"/>
            </w:rPr>
            <w:softHyphen/>
            <w:t>mental conditions,</w:t>
          </w:r>
          <w:r w:rsidRPr="001D1B80">
            <w:rPr>
              <w:lang w:val="sl-SI"/>
            </w:rPr>
            <w:t xml:space="preserve"> no</w:t>
          </w:r>
          <w:r w:rsidRPr="001D1B80">
            <w:rPr>
              <w:lang w:val="en-US"/>
            </w:rPr>
            <w:t xml:space="preserve"> ecotoxicity was reported</w:t>
          </w:r>
          <w:r w:rsidRPr="001D1B80">
            <w:rPr>
              <w:lang w:val="sl-SI"/>
            </w:rPr>
            <w:t xml:space="preserve"> in</w:t>
          </w:r>
          <w:r w:rsidRPr="001D1B80">
            <w:rPr>
              <w:lang w:val="nl-NL"/>
            </w:rPr>
            <w:t xml:space="preserve"> non-target</w:t>
          </w:r>
          <w:r w:rsidRPr="001D1B80">
            <w:rPr>
              <w:lang w:val="sl-SI"/>
            </w:rPr>
            <w:t xml:space="preserve"> test</w:t>
          </w:r>
          <w:r w:rsidRPr="001D1B80">
            <w:rPr>
              <w:lang w:val="da-DK"/>
            </w:rPr>
            <w:t xml:space="preserve"> species,</w:t>
          </w:r>
          <w:r w:rsidRPr="001D1B80">
            <w:rPr>
              <w:lang w:val="en-US"/>
            </w:rPr>
            <w:t xml:space="preserve"> thereby making it even</w:t>
          </w:r>
          <w:r w:rsidRPr="001D1B80">
            <w:rPr>
              <w:lang w:val="sl-SI"/>
            </w:rPr>
            <w:t xml:space="preserve"> more</w:t>
          </w:r>
          <w:r w:rsidRPr="001D1B80">
            <w:rPr>
              <w:lang w:val="da-DK"/>
            </w:rPr>
            <w:t xml:space="preserve"> relevant</w:t>
          </w:r>
          <w:r w:rsidRPr="001D1B80">
            <w:rPr>
              <w:lang w:val="sl-SI"/>
            </w:rPr>
            <w:t xml:space="preserve"> to test</w:t>
          </w:r>
          <w:r w:rsidRPr="001D1B80">
            <w:rPr>
              <w:lang w:val="en-US"/>
            </w:rPr>
            <w:t xml:space="preserve"> the application of this polyphenolic</w:t>
          </w:r>
          <w:r w:rsidRPr="001D1B80">
            <w:rPr>
              <w:lang w:val="da-DK"/>
            </w:rPr>
            <w:t xml:space="preserve"> compound</w:t>
          </w:r>
          <w:r w:rsidRPr="001D1B80">
            <w:rPr>
              <w:lang w:val="sl-SI"/>
            </w:rPr>
            <w:t xml:space="preserve"> in</w:t>
          </w:r>
          <w:r w:rsidRPr="001D1B80">
            <w:rPr>
              <w:lang w:val="en-US"/>
            </w:rPr>
            <w:t xml:space="preserve"> naturally occurring freshwater systems, possibly paving the way</w:t>
          </w:r>
          <w:r w:rsidRPr="001D1B80">
            <w:rPr>
              <w:lang w:val="pt-BR"/>
            </w:rPr>
            <w:t xml:space="preserve"> for</w:t>
          </w:r>
          <w:r w:rsidRPr="001D1B80">
            <w:rPr>
              <w:lang w:val="en-US"/>
            </w:rPr>
            <w:t xml:space="preserve"> further allelopathy-based aquatic ecotechnology development.</w:t>
          </w:r>
        </w:p>
        <w:p w:rsidR="003179A0" w:rsidRPr="001D1B80" w:rsidRDefault="00523082" w:rsidP="001D1B80">
          <w:pPr>
            <w:pStyle w:val="Partie"/>
            <w:rPr>
              <w:lang w:val="en-US"/>
            </w:rPr>
            <w:sectPr w:rsidR="003179A0" w:rsidRPr="001D1B80" w:rsidSect="00575F2F">
              <w:type w:val="continuous"/>
              <w:pgSz w:w="11906" w:h="16838"/>
              <w:pgMar w:top="851" w:right="424" w:bottom="567" w:left="426" w:header="426" w:footer="397" w:gutter="0"/>
              <w:cols w:num="2" w:space="141"/>
              <w:formProt w:val="0"/>
              <w:docGrid w:linePitch="360"/>
            </w:sectPr>
          </w:pPr>
          <w:r w:rsidRPr="001D1B80">
            <w:rPr>
              <w:lang w:val="en-US"/>
            </w:rPr>
            <w:t>Supplementary</w:t>
          </w:r>
          <w:r w:rsidRPr="001D1B80">
            <w:rPr>
              <w:lang w:val="pt-BR"/>
            </w:rPr>
            <w:t xml:space="preserve"> data</w:t>
          </w:r>
          <w:r w:rsidRPr="001D1B80">
            <w:rPr>
              <w:lang w:val="sl-SI"/>
            </w:rPr>
            <w:t xml:space="preserve"> to</w:t>
          </w:r>
          <w:r w:rsidRPr="001D1B80">
            <w:rPr>
              <w:lang w:val="en-US"/>
            </w:rPr>
            <w:t xml:space="preserve"> this article can be found online</w:t>
          </w:r>
          <w:r w:rsidRPr="001D1B80">
            <w:rPr>
              <w:lang w:val="da-DK"/>
            </w:rPr>
            <w:t xml:space="preserve"> at</w:t>
          </w:r>
          <w:r w:rsidRPr="001D1B80">
            <w:rPr>
              <w:lang w:val="en-US"/>
            </w:rPr>
            <w:t xml:space="preserve"> </w:t>
          </w:r>
          <w:hyperlink r:id="rId12" w:history="1">
            <w:r w:rsidRPr="001D1B80">
              <w:rPr>
                <w:rStyle w:val="Lienhypertexte"/>
                <w:lang w:val="en-US"/>
              </w:rPr>
              <w:t>http://dx. doi.org/10.1016/j.scitotenv.2015.12.164.</w:t>
            </w:r>
          </w:hyperlink>
        </w:p>
      </w:sdtContent>
    </w:sdt>
    <w:p w:rsidR="00E019D9" w:rsidRPr="001D1B80" w:rsidRDefault="00E019D9" w:rsidP="001D1B80">
      <w:pPr>
        <w:jc w:val="both"/>
        <w:rPr>
          <w:rFonts w:ascii="Arial" w:hAnsi="Arial" w:cs="Arial"/>
          <w:lang w:val="en-US"/>
        </w:rPr>
      </w:pPr>
      <w:r w:rsidRPr="001D1B80">
        <w:rPr>
          <w:rFonts w:ascii="Arial" w:hAnsi="Arial" w:cs="Arial"/>
          <w:lang w:val="en-US"/>
        </w:rPr>
        <w:br w:type="page"/>
      </w:r>
    </w:p>
    <w:sdt>
      <w:sdtPr>
        <w:rPr>
          <w:b w:val="0"/>
          <w:sz w:val="22"/>
          <w:szCs w:val="22"/>
        </w:rPr>
        <w:id w:val="1190563246"/>
        <w15:repeatingSection/>
      </w:sdtPr>
      <w:sdtEndPr/>
      <w:sdtContent>
        <w:sdt>
          <w:sdtPr>
            <w:rPr>
              <w:b w:val="0"/>
              <w:sz w:val="22"/>
              <w:szCs w:val="22"/>
            </w:rPr>
            <w:id w:val="-1151142107"/>
            <w:placeholder>
              <w:docPart w:val="65FAA78B201843F49EDBD1C31699956C"/>
            </w:placeholder>
            <w15:repeatingSectionItem/>
          </w:sdtPr>
          <w:sdtEndPr/>
          <w:sdtContent>
            <w:p w:rsidR="007B5EDC" w:rsidRPr="001D1B80" w:rsidRDefault="007B5EDC" w:rsidP="001D1B80">
              <w:pPr>
                <w:pStyle w:val="Legende"/>
                <w:jc w:val="both"/>
                <w:rPr>
                  <w:lang w:val="en-US"/>
                </w:rPr>
              </w:pPr>
              <w:r w:rsidRPr="001D1B80">
                <w:rPr>
                  <w:lang w:val="en-US"/>
                </w:rPr>
                <w:t xml:space="preserve">Table </w:t>
              </w:r>
              <w:r w:rsidRPr="001D1B80">
                <w:fldChar w:fldCharType="begin"/>
              </w:r>
              <w:r w:rsidRPr="001D1B80">
                <w:rPr>
                  <w:lang w:val="en-US"/>
                </w:rPr>
                <w:instrText xml:space="preserve"> SEQ Table \* ARABIC </w:instrText>
              </w:r>
              <w:r w:rsidRPr="001D1B80">
                <w:fldChar w:fldCharType="separate"/>
              </w:r>
              <w:r w:rsidRPr="001D1B80">
                <w:rPr>
                  <w:noProof/>
                  <w:lang w:val="en-US"/>
                </w:rPr>
                <w:t>1</w:t>
              </w:r>
              <w:r w:rsidRPr="001D1B80">
                <w:fldChar w:fldCharType="end"/>
              </w:r>
              <w:r w:rsidRPr="001D1B80">
                <w:rPr>
                  <w:lang w:val="en-US"/>
                </w:rPr>
                <w:t>.</w:t>
              </w:r>
            </w:p>
            <w:p w:rsidR="007B5EDC" w:rsidRPr="001D1B80" w:rsidRDefault="007B5EDC" w:rsidP="001D1B80">
              <w:pPr>
                <w:pStyle w:val="Legende"/>
                <w:jc w:val="both"/>
                <w:rPr>
                  <w:lang w:val="en-US"/>
                </w:rPr>
              </w:pPr>
            </w:p>
            <w:p w:rsidR="006F69DE" w:rsidRDefault="00505C9C" w:rsidP="001D1B80">
              <w:pPr>
                <w:jc w:val="both"/>
                <w:rPr>
                  <w:rFonts w:ascii="Arial" w:hAnsi="Arial" w:cs="Arial"/>
                  <w:lang w:val="da-DK" w:eastAsia="da-DK"/>
                </w:rPr>
              </w:pPr>
              <w:bookmarkStart w:id="0" w:name="_Hlk111815418"/>
              <w:r w:rsidRPr="001D1B80">
                <w:rPr>
                  <w:rFonts w:ascii="Arial" w:hAnsi="Arial" w:cs="Arial"/>
                  <w:lang w:val="en-US"/>
                </w:rPr>
                <w:t>Measurement of water physicochemical parameters</w:t>
              </w:r>
              <w:r w:rsidRPr="001D1B80">
                <w:rPr>
                  <w:rFonts w:ascii="Arial" w:hAnsi="Arial" w:cs="Arial"/>
                  <w:lang w:val="sl-SI" w:eastAsia="sl-SI"/>
                </w:rPr>
                <w:t xml:space="preserve"> in</w:t>
              </w:r>
              <w:r w:rsidRPr="001D1B80">
                <w:rPr>
                  <w:rFonts w:ascii="Arial" w:hAnsi="Arial" w:cs="Arial"/>
                  <w:lang w:val="en-US"/>
                </w:rPr>
                <w:t xml:space="preserve"> mesocosms before experiments</w:t>
              </w:r>
              <w:r w:rsidRPr="001D1B80">
                <w:rPr>
                  <w:rFonts w:ascii="Arial" w:hAnsi="Arial" w:cs="Arial"/>
                  <w:lang w:val="ca-ES" w:eastAsia="ca-ES"/>
                </w:rPr>
                <w:t xml:space="preserve"> (T0),</w:t>
              </w:r>
              <w:r w:rsidRPr="001D1B80">
                <w:rPr>
                  <w:rFonts w:ascii="Arial" w:hAnsi="Arial" w:cs="Arial"/>
                  <w:lang w:val="da-DK" w:eastAsia="da-DK"/>
                </w:rPr>
                <w:t xml:space="preserve"> and</w:t>
              </w:r>
              <w:r w:rsidRPr="001D1B80">
                <w:rPr>
                  <w:rFonts w:ascii="Arial" w:hAnsi="Arial" w:cs="Arial"/>
                  <w:lang w:val="en-US"/>
                </w:rPr>
                <w:t xml:space="preserve"> during allelopathic treatments (Exp.);</w:t>
              </w:r>
              <w:r w:rsidRPr="001D1B80">
                <w:rPr>
                  <w:rFonts w:ascii="Arial" w:hAnsi="Arial" w:cs="Arial"/>
                  <w:lang w:val="da-DK" w:eastAsia="da-DK"/>
                </w:rPr>
                <w:t xml:space="preserve"> </w:t>
              </w:r>
              <w:bookmarkEnd w:id="0"/>
            </w:p>
            <w:tbl>
              <w:tblPr>
                <w:tblW w:w="10915" w:type="dxa"/>
                <w:tblLayout w:type="fixed"/>
                <w:tblCellMar>
                  <w:left w:w="0" w:type="dxa"/>
                  <w:right w:w="0" w:type="dxa"/>
                </w:tblCellMar>
                <w:tblLook w:val="0000" w:firstRow="0" w:lastRow="0" w:firstColumn="0" w:lastColumn="0" w:noHBand="0" w:noVBand="0"/>
              </w:tblPr>
              <w:tblGrid>
                <w:gridCol w:w="2552"/>
                <w:gridCol w:w="669"/>
                <w:gridCol w:w="1986"/>
                <w:gridCol w:w="1456"/>
                <w:gridCol w:w="1842"/>
                <w:gridCol w:w="416"/>
                <w:gridCol w:w="1994"/>
              </w:tblGrid>
              <w:tr w:rsidR="006F69DE" w:rsidRPr="006F69DE" w:rsidTr="006F69DE">
                <w:tblPrEx>
                  <w:tblCellMar>
                    <w:top w:w="0" w:type="dxa"/>
                    <w:left w:w="0" w:type="dxa"/>
                    <w:bottom w:w="0" w:type="dxa"/>
                    <w:right w:w="0" w:type="dxa"/>
                  </w:tblCellMar>
                </w:tblPrEx>
                <w:trPr>
                  <w:trHeight w:hRule="exact" w:val="728"/>
                </w:trPr>
                <w:tc>
                  <w:tcPr>
                    <w:tcW w:w="2552"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85" w:after="0" w:line="365" w:lineRule="exact"/>
                      <w:ind w:left="285"/>
                      <w:textAlignment w:val="baseline"/>
                      <w:rPr>
                        <w:rFonts w:ascii="Arial" w:eastAsiaTheme="minorEastAsia" w:hAnsi="Arial" w:cs="Arial"/>
                        <w:sz w:val="20"/>
                        <w:szCs w:val="20"/>
                        <w:lang w:val="en-US"/>
                      </w:rPr>
                    </w:pPr>
                  </w:p>
                </w:tc>
                <w:tc>
                  <w:tcPr>
                    <w:tcW w:w="669"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after="12" w:line="428" w:lineRule="exact"/>
                      <w:ind w:left="1005"/>
                      <w:textAlignment w:val="baseline"/>
                      <w:rPr>
                        <w:rFonts w:ascii="Arial" w:eastAsiaTheme="minorEastAsia" w:hAnsi="Arial" w:cs="Arial"/>
                        <w:sz w:val="20"/>
                        <w:szCs w:val="20"/>
                        <w:lang w:val="el-GR" w:eastAsia="el-GR"/>
                      </w:rPr>
                    </w:pPr>
                  </w:p>
                </w:tc>
                <w:tc>
                  <w:tcPr>
                    <w:tcW w:w="1986" w:type="dxa"/>
                    <w:tcBorders>
                      <w:top w:val="single" w:sz="20" w:space="0" w:color="auto"/>
                      <w:left w:val="nil"/>
                      <w:bottom w:val="nil"/>
                      <w:right w:val="nil"/>
                    </w:tcBorders>
                  </w:tcPr>
                  <w:p w:rsidR="006F69DE" w:rsidRPr="006F69DE" w:rsidRDefault="006F69DE" w:rsidP="006F69DE">
                    <w:pPr>
                      <w:widowControl w:val="0"/>
                      <w:kinsoku w:val="0"/>
                      <w:overflowPunct w:val="0"/>
                      <w:autoSpaceDE w:val="0"/>
                      <w:autoSpaceDN w:val="0"/>
                      <w:adjustRightInd w:val="0"/>
                      <w:spacing w:before="19" w:after="107" w:line="350" w:lineRule="exact"/>
                      <w:jc w:val="center"/>
                      <w:textAlignment w:val="baseline"/>
                      <w:rPr>
                        <w:rFonts w:ascii="Arial" w:eastAsiaTheme="minorEastAsia" w:hAnsi="Arial" w:cs="Arial"/>
                        <w:color w:val="402026"/>
                        <w:spacing w:val="-6"/>
                        <w:sz w:val="20"/>
                        <w:szCs w:val="20"/>
                        <w:lang w:eastAsia="fr-FR"/>
                      </w:rPr>
                    </w:pPr>
                    <w:r w:rsidRPr="006F69DE">
                      <w:rPr>
                        <w:rFonts w:ascii="Arial" w:eastAsiaTheme="minorEastAsia" w:hAnsi="Arial" w:cs="Arial"/>
                        <w:color w:val="402026"/>
                        <w:spacing w:val="-6"/>
                        <w:sz w:val="20"/>
                        <w:szCs w:val="20"/>
                        <w:lang w:eastAsia="fr-FR"/>
                      </w:rPr>
                      <w:t>Control</w:t>
                    </w:r>
                  </w:p>
                </w:tc>
                <w:tc>
                  <w:tcPr>
                    <w:tcW w:w="1456" w:type="dxa"/>
                    <w:tcBorders>
                      <w:top w:val="single" w:sz="20" w:space="0" w:color="auto"/>
                      <w:left w:val="nil"/>
                      <w:bottom w:val="nil"/>
                      <w:right w:val="nil"/>
                    </w:tcBorders>
                  </w:tcPr>
                  <w:p w:rsidR="006F69DE" w:rsidRPr="006F69DE" w:rsidRDefault="006F69DE" w:rsidP="006F69DE">
                    <w:pPr>
                      <w:widowControl w:val="0"/>
                      <w:kinsoku w:val="0"/>
                      <w:overflowPunct w:val="0"/>
                      <w:autoSpaceDE w:val="0"/>
                      <w:autoSpaceDN w:val="0"/>
                      <w:adjustRightInd w:val="0"/>
                      <w:spacing w:before="19" w:after="107" w:line="350" w:lineRule="exact"/>
                      <w:jc w:val="center"/>
                      <w:textAlignment w:val="baseline"/>
                      <w:rPr>
                        <w:rFonts w:ascii="Arial" w:eastAsiaTheme="minorEastAsia" w:hAnsi="Arial" w:cs="Arial"/>
                        <w:color w:val="402026"/>
                        <w:spacing w:val="-6"/>
                        <w:sz w:val="20"/>
                        <w:szCs w:val="20"/>
                        <w:lang w:eastAsia="fr-FR"/>
                      </w:rPr>
                    </w:pPr>
                    <w:r w:rsidRPr="006F69DE">
                      <w:rPr>
                        <w:rFonts w:ascii="Arial" w:eastAsiaTheme="minorEastAsia" w:hAnsi="Arial" w:cs="Arial"/>
                        <w:color w:val="402026"/>
                        <w:spacing w:val="-6"/>
                        <w:sz w:val="20"/>
                        <w:szCs w:val="20"/>
                        <w:lang w:eastAsia="fr-FR"/>
                      </w:rPr>
                      <w:t>+Gallic acid</w:t>
                    </w:r>
                  </w:p>
                </w:tc>
                <w:tc>
                  <w:tcPr>
                    <w:tcW w:w="2258" w:type="dxa"/>
                    <w:gridSpan w:val="2"/>
                    <w:tcBorders>
                      <w:top w:val="single" w:sz="20" w:space="0" w:color="auto"/>
                      <w:left w:val="nil"/>
                      <w:bottom w:val="nil"/>
                      <w:right w:val="nil"/>
                    </w:tcBorders>
                  </w:tcPr>
                  <w:p w:rsidR="006F69DE" w:rsidRPr="006F69DE" w:rsidRDefault="006F69DE" w:rsidP="006F69DE">
                    <w:pPr>
                      <w:widowControl w:val="0"/>
                      <w:kinsoku w:val="0"/>
                      <w:overflowPunct w:val="0"/>
                      <w:autoSpaceDE w:val="0"/>
                      <w:autoSpaceDN w:val="0"/>
                      <w:adjustRightInd w:val="0"/>
                      <w:spacing w:before="19" w:after="107" w:line="350" w:lineRule="exact"/>
                      <w:jc w:val="center"/>
                      <w:textAlignment w:val="baseline"/>
                      <w:rPr>
                        <w:rFonts w:ascii="Arial" w:eastAsiaTheme="minorEastAsia" w:hAnsi="Arial" w:cs="Arial"/>
                        <w:color w:val="402026"/>
                        <w:spacing w:val="-6"/>
                        <w:sz w:val="20"/>
                        <w:szCs w:val="20"/>
                        <w:lang w:eastAsia="fr-FR"/>
                      </w:rPr>
                    </w:pPr>
                    <w:r w:rsidRPr="006F69DE">
                      <w:rPr>
                        <w:rFonts w:ascii="Arial" w:eastAsiaTheme="minorEastAsia" w:hAnsi="Arial" w:cs="Arial"/>
                        <w:color w:val="5D557F"/>
                        <w:spacing w:val="-6"/>
                        <w:sz w:val="20"/>
                        <w:szCs w:val="20"/>
                        <w:lang w:eastAsia="fr-FR"/>
                      </w:rPr>
                      <w:t>+</w:t>
                    </w:r>
                    <w:r w:rsidRPr="006F69DE">
                      <w:rPr>
                        <w:rFonts w:ascii="Arial" w:eastAsiaTheme="minorEastAsia" w:hAnsi="Arial" w:cs="Arial"/>
                        <w:color w:val="402026"/>
                        <w:spacing w:val="-6"/>
                        <w:sz w:val="20"/>
                        <w:szCs w:val="20"/>
                        <w:lang w:eastAsia="fr-FR"/>
                      </w:rPr>
                      <w:t xml:space="preserve"> Nonanoic acid</w:t>
                    </w:r>
                  </w:p>
                </w:tc>
                <w:tc>
                  <w:tcPr>
                    <w:tcW w:w="1994" w:type="dxa"/>
                    <w:tcBorders>
                      <w:top w:val="single" w:sz="20" w:space="0" w:color="auto"/>
                      <w:left w:val="nil"/>
                      <w:bottom w:val="nil"/>
                      <w:right w:val="nil"/>
                    </w:tcBorders>
                  </w:tcPr>
                  <w:p w:rsidR="006F69DE" w:rsidRPr="006F69DE" w:rsidRDefault="006F69DE" w:rsidP="006F69DE">
                    <w:pPr>
                      <w:widowControl w:val="0"/>
                      <w:kinsoku w:val="0"/>
                      <w:overflowPunct w:val="0"/>
                      <w:autoSpaceDE w:val="0"/>
                      <w:autoSpaceDN w:val="0"/>
                      <w:adjustRightInd w:val="0"/>
                      <w:spacing w:before="19" w:after="107" w:line="350" w:lineRule="exact"/>
                      <w:jc w:val="center"/>
                      <w:textAlignment w:val="baseline"/>
                      <w:rPr>
                        <w:rFonts w:ascii="Arial" w:eastAsiaTheme="minorEastAsia" w:hAnsi="Arial" w:cs="Arial"/>
                        <w:color w:val="402026"/>
                        <w:spacing w:val="-6"/>
                        <w:sz w:val="20"/>
                        <w:szCs w:val="20"/>
                        <w:lang w:eastAsia="fr-FR"/>
                      </w:rPr>
                    </w:pPr>
                    <w:r w:rsidRPr="006F69DE">
                      <w:rPr>
                        <w:rFonts w:ascii="Arial" w:eastAsiaTheme="minorEastAsia" w:hAnsi="Arial" w:cs="Arial"/>
                        <w:color w:val="402026"/>
                        <w:spacing w:val="-6"/>
                        <w:sz w:val="20"/>
                        <w:szCs w:val="20"/>
                        <w:lang w:eastAsia="fr-FR"/>
                      </w:rPr>
                      <w:t>+Gallic acid</w:t>
                    </w:r>
                    <w:r w:rsidRPr="006F69DE">
                      <w:rPr>
                        <w:rFonts w:ascii="Arial" w:eastAsiaTheme="minorEastAsia" w:hAnsi="Arial" w:cs="Arial"/>
                        <w:color w:val="5D557F"/>
                        <w:spacing w:val="-6"/>
                        <w:sz w:val="20"/>
                        <w:szCs w:val="20"/>
                        <w:lang w:eastAsia="fr-FR"/>
                      </w:rPr>
                      <w:t xml:space="preserve"> +</w:t>
                    </w:r>
                    <w:r w:rsidRPr="006F69DE">
                      <w:rPr>
                        <w:rFonts w:ascii="Arial" w:eastAsiaTheme="minorEastAsia" w:hAnsi="Arial" w:cs="Arial"/>
                        <w:color w:val="402026"/>
                        <w:spacing w:val="-6"/>
                        <w:sz w:val="20"/>
                        <w:szCs w:val="20"/>
                        <w:lang w:eastAsia="fr-FR"/>
                      </w:rPr>
                      <w:t xml:space="preserve"> nonanoic acid</w:t>
                    </w:r>
                  </w:p>
                </w:tc>
              </w:tr>
              <w:tr w:rsidR="006F69DE" w:rsidRPr="006F69DE" w:rsidTr="006F69DE">
                <w:tblPrEx>
                  <w:tblCellMar>
                    <w:top w:w="0" w:type="dxa"/>
                    <w:left w:w="0" w:type="dxa"/>
                    <w:bottom w:w="0" w:type="dxa"/>
                    <w:right w:w="0" w:type="dxa"/>
                  </w:tblCellMar>
                </w:tblPrEx>
                <w:trPr>
                  <w:trHeight w:hRule="exact" w:val="450"/>
                </w:trPr>
                <w:tc>
                  <w:tcPr>
                    <w:tcW w:w="2552"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85" w:after="0" w:line="365" w:lineRule="exact"/>
                      <w:ind w:left="285"/>
                      <w:textAlignment w:val="baseline"/>
                      <w:rPr>
                        <w:rFonts w:ascii="Arial" w:eastAsiaTheme="minorEastAsia" w:hAnsi="Arial" w:cs="Arial"/>
                        <w:sz w:val="20"/>
                        <w:szCs w:val="20"/>
                        <w:lang w:val="el-GR" w:eastAsia="el-GR"/>
                      </w:rPr>
                    </w:pPr>
                    <w:r w:rsidRPr="006F69DE">
                      <w:rPr>
                        <w:rFonts w:ascii="Arial" w:eastAsiaTheme="minorEastAsia" w:hAnsi="Arial" w:cs="Arial"/>
                        <w:sz w:val="20"/>
                        <w:szCs w:val="20"/>
                        <w:lang w:val="en-US"/>
                      </w:rPr>
                      <w:t>O</w:t>
                    </w:r>
                    <w:r w:rsidRPr="006F69DE">
                      <w:rPr>
                        <w:rFonts w:ascii="Arial" w:eastAsiaTheme="minorEastAsia" w:hAnsi="Arial" w:cs="Arial"/>
                        <w:sz w:val="20"/>
                        <w:szCs w:val="20"/>
                        <w:vertAlign w:val="subscript"/>
                        <w:lang w:val="en-US"/>
                      </w:rPr>
                      <w:t>2</w:t>
                    </w:r>
                    <w:r w:rsidRPr="006F69DE">
                      <w:rPr>
                        <w:rFonts w:ascii="Arial" w:eastAsiaTheme="minorEastAsia" w:hAnsi="Arial" w:cs="Arial"/>
                        <w:sz w:val="20"/>
                        <w:szCs w:val="20"/>
                        <w:lang w:val="el-GR" w:eastAsia="el-GR"/>
                      </w:rPr>
                      <w:t xml:space="preserve"> (m</w:t>
                    </w:r>
                    <w:r w:rsidRPr="006F69DE">
                      <w:rPr>
                        <w:rFonts w:ascii="Arial" w:eastAsiaTheme="minorEastAsia" w:hAnsi="Arial" w:cs="Arial"/>
                        <w:sz w:val="20"/>
                        <w:szCs w:val="20"/>
                        <w:lang w:eastAsia="el-GR"/>
                      </w:rPr>
                      <w:t>o</w:t>
                    </w:r>
                    <w:r w:rsidRPr="006F69DE">
                      <w:rPr>
                        <w:rFonts w:ascii="Arial" w:eastAsiaTheme="minorEastAsia" w:hAnsi="Arial" w:cs="Arial"/>
                        <w:sz w:val="20"/>
                        <w:szCs w:val="20"/>
                        <w:lang w:val="el-GR" w:eastAsia="el-GR"/>
                      </w:rPr>
                      <w:t>L</w:t>
                    </w:r>
                    <w:r w:rsidRPr="006F69DE">
                      <w:rPr>
                        <w:rFonts w:ascii="Arial" w:eastAsiaTheme="minorEastAsia" w:hAnsi="Arial" w:cs="Arial"/>
                        <w:sz w:val="20"/>
                        <w:szCs w:val="20"/>
                        <w:vertAlign w:val="superscript"/>
                        <w:lang w:eastAsia="el-GR"/>
                      </w:rPr>
                      <w:t>-1</w:t>
                    </w:r>
                    <w:r w:rsidRPr="006F69DE">
                      <w:rPr>
                        <w:rFonts w:ascii="Arial" w:eastAsiaTheme="minorEastAsia" w:hAnsi="Arial" w:cs="Arial"/>
                        <w:sz w:val="20"/>
                        <w:szCs w:val="20"/>
                        <w:lang w:val="el-GR" w:eastAsia="el-GR"/>
                      </w:rPr>
                      <w:t>)</w:t>
                    </w:r>
                  </w:p>
                </w:tc>
                <w:tc>
                  <w:tcPr>
                    <w:tcW w:w="669"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after="12" w:line="428"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Τ</w:t>
                    </w:r>
                    <w:r w:rsidRPr="006F69DE">
                      <w:rPr>
                        <w:rFonts w:ascii="Arial" w:eastAsiaTheme="minorEastAsia" w:hAnsi="Arial" w:cs="Arial"/>
                        <w:sz w:val="20"/>
                        <w:szCs w:val="20"/>
                        <w:vertAlign w:val="subscript"/>
                        <w:lang w:val="el-GR" w:eastAsia="el-GR"/>
                      </w:rPr>
                      <w:t>0</w:t>
                    </w:r>
                  </w:p>
                </w:tc>
                <w:tc>
                  <w:tcPr>
                    <w:tcW w:w="1986"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85" w:after="15" w:line="350"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9.9±0.1</w:t>
                    </w:r>
                  </w:p>
                </w:tc>
                <w:tc>
                  <w:tcPr>
                    <w:tcW w:w="1456"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87" w:after="13" w:line="350"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93±0.2</w:t>
                    </w:r>
                  </w:p>
                </w:tc>
                <w:tc>
                  <w:tcPr>
                    <w:tcW w:w="1842" w:type="dxa"/>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88" w:after="12" w:line="350"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9.8±0.3</w:t>
                    </w:r>
                  </w:p>
                </w:tc>
                <w:tc>
                  <w:tcPr>
                    <w:tcW w:w="2410" w:type="dxa"/>
                    <w:gridSpan w:val="2"/>
                    <w:tcBorders>
                      <w:top w:val="single" w:sz="20" w:space="0" w:color="auto"/>
                      <w:left w:val="nil"/>
                      <w:bottom w:val="nil"/>
                      <w:right w:val="nil"/>
                    </w:tcBorders>
                    <w:vAlign w:val="center"/>
                  </w:tcPr>
                  <w:p w:rsidR="006F69DE" w:rsidRPr="006F69DE" w:rsidRDefault="006F69DE" w:rsidP="006F69DE">
                    <w:pPr>
                      <w:widowControl w:val="0"/>
                      <w:kinsoku w:val="0"/>
                      <w:overflowPunct w:val="0"/>
                      <w:spacing w:before="55" w:after="10" w:line="385"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93±0.1</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13" w:line="350"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9" w:line="379" w:lineRule="exact"/>
                      <w:ind w:left="154"/>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9.6±0.1^</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9" w:line="379"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l-GR" w:eastAsia="el-GR"/>
                      </w:rPr>
                      <w:t>8.9±0.1α</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12" w:line="350"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9.1 ±0.1</w:t>
                    </w:r>
                    <w:r w:rsidRPr="006F69DE">
                      <w:rPr>
                        <w:rFonts w:ascii="Arial" w:eastAsiaTheme="minorEastAsia" w:hAnsi="Arial" w:cs="Arial"/>
                        <w:color w:val="402026"/>
                        <w:sz w:val="20"/>
                        <w:szCs w:val="20"/>
                        <w:vertAlign w:val="superscript"/>
                        <w:lang w:eastAsia="el-GR"/>
                      </w:rPr>
                      <w:t xml:space="preserve"> a</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9" w:line="379"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8.8±0.1</w:t>
                    </w:r>
                    <w:r w:rsidRPr="006F69DE">
                      <w:rPr>
                        <w:rFonts w:ascii="Arial" w:eastAsiaTheme="minorEastAsia" w:hAnsi="Arial" w:cs="Arial"/>
                        <w:color w:val="402026"/>
                        <w:sz w:val="20"/>
                        <w:szCs w:val="20"/>
                        <w:vertAlign w:val="superscript"/>
                        <w:lang w:eastAsia="el-GR"/>
                      </w:rPr>
                      <w:t xml:space="preserve"> a</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vAlign w:val="center"/>
                  </w:tcPr>
                  <w:p w:rsidR="006F69DE" w:rsidRPr="006F69DE" w:rsidRDefault="006F69DE" w:rsidP="006F69DE">
                    <w:pPr>
                      <w:widowControl w:val="0"/>
                      <w:kinsoku w:val="0"/>
                      <w:overflowPunct w:val="0"/>
                      <w:spacing w:after="12" w:line="350" w:lineRule="exact"/>
                      <w:ind w:left="285"/>
                      <w:textAlignment w:val="baseline"/>
                      <w:rPr>
                        <w:rFonts w:ascii="Arial" w:eastAsiaTheme="minorEastAsia" w:hAnsi="Arial" w:cs="Arial"/>
                        <w:sz w:val="20"/>
                        <w:szCs w:val="20"/>
                        <w:lang w:val="el-GR" w:eastAsia="el-GR"/>
                      </w:rPr>
                    </w:pPr>
                    <w:proofErr w:type="gramStart"/>
                    <w:r>
                      <w:rPr>
                        <w:rFonts w:ascii="Arial" w:eastAsiaTheme="minorEastAsia" w:hAnsi="Arial" w:cs="Arial"/>
                        <w:sz w:val="20"/>
                        <w:szCs w:val="20"/>
                        <w:lang w:eastAsia="el-GR"/>
                      </w:rPr>
                      <w:t>p</w:t>
                    </w:r>
                    <w:proofErr w:type="gramEnd"/>
                    <w:r w:rsidRPr="006F69DE">
                      <w:rPr>
                        <w:rFonts w:ascii="Arial" w:eastAsiaTheme="minorEastAsia" w:hAnsi="Arial" w:cs="Arial"/>
                        <w:sz w:val="20"/>
                        <w:szCs w:val="20"/>
                        <w:lang w:val="el-GR" w:eastAsia="el-GR"/>
                      </w:rPr>
                      <w:t>Η</w:t>
                    </w: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14" w:line="348"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Τ</w:t>
                    </w:r>
                    <w:r w:rsidRPr="006F69DE">
                      <w:rPr>
                        <w:rFonts w:ascii="Arial" w:eastAsiaTheme="minorEastAsia" w:hAnsi="Arial" w:cs="Arial"/>
                        <w:sz w:val="20"/>
                        <w:szCs w:val="20"/>
                        <w:vertAlign w:val="subscript"/>
                        <w:lang w:val="el-GR" w:eastAsia="el-GR"/>
                      </w:rPr>
                      <w:t>0</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8.5±0.0</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8.4±0.0</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8.6±0.0</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7" w:line="380"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8.5±0.0</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11" w:line="350"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7" w:line="379" w:lineRule="exact"/>
                      <w:ind w:left="154"/>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8.5±0.1^</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7" w:line="379" w:lineRule="exact"/>
                      <w:ind w:right="151"/>
                      <w:jc w:val="center"/>
                      <w:textAlignment w:val="baseline"/>
                      <w:rPr>
                        <w:rFonts w:ascii="Arial" w:eastAsiaTheme="minorEastAsia" w:hAnsi="Arial" w:cs="Arial"/>
                        <w:color w:val="402026"/>
                        <w:sz w:val="20"/>
                        <w:szCs w:val="20"/>
                      </w:rPr>
                    </w:pPr>
                    <w:r w:rsidRPr="006F69DE">
                      <w:rPr>
                        <w:rFonts w:ascii="Arial" w:eastAsiaTheme="minorEastAsia" w:hAnsi="Arial" w:cs="Arial"/>
                        <w:color w:val="402026"/>
                        <w:sz w:val="20"/>
                        <w:szCs w:val="20"/>
                        <w:lang w:val="el-GR" w:eastAsia="el-GR"/>
                      </w:rPr>
                      <w:t>8.3±0.0</w:t>
                    </w:r>
                    <w:r w:rsidRPr="006F69DE">
                      <w:rPr>
                        <w:rFonts w:ascii="Arial" w:eastAsiaTheme="minorEastAsia" w:hAnsi="Arial" w:cs="Arial"/>
                        <w:color w:val="402026"/>
                        <w:sz w:val="20"/>
                        <w:szCs w:val="20"/>
                        <w:vertAlign w:val="superscript"/>
                        <w:lang w:eastAsia="el-GR"/>
                      </w:rPr>
                      <w:t>a</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6" w:line="380"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83</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8" w:line="378" w:lineRule="exact"/>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8.2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w:t>
                    </w:r>
                    <w:r w:rsidRPr="006F69DE">
                      <w:rPr>
                        <w:rFonts w:ascii="Arial" w:eastAsiaTheme="minorEastAsia" w:hAnsi="Arial" w:cs="Arial"/>
                        <w:color w:val="402026"/>
                        <w:sz w:val="20"/>
                        <w:szCs w:val="20"/>
                        <w:vertAlign w:val="superscript"/>
                        <w:lang w:eastAsia="el-GR"/>
                      </w:rPr>
                      <w:t xml:space="preserve"> a</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vAlign w:val="center"/>
                  </w:tcPr>
                  <w:p w:rsidR="006F69DE" w:rsidRPr="006F69DE" w:rsidRDefault="006F69DE" w:rsidP="006F69DE">
                    <w:pPr>
                      <w:widowControl w:val="0"/>
                      <w:kinsoku w:val="0"/>
                      <w:overflowPunct w:val="0"/>
                      <w:spacing w:after="0" w:line="360" w:lineRule="exact"/>
                      <w:ind w:left="285"/>
                      <w:textAlignment w:val="baseline"/>
                      <w:rPr>
                        <w:rFonts w:ascii="Arial" w:eastAsiaTheme="minorEastAsia" w:hAnsi="Arial" w:cs="Arial"/>
                        <w:sz w:val="20"/>
                        <w:szCs w:val="20"/>
                        <w:lang w:val="el-GR" w:eastAsia="el-GR"/>
                      </w:rPr>
                    </w:pPr>
                    <w:r w:rsidRPr="006F69DE">
                      <w:rPr>
                        <w:rFonts w:ascii="Arial" w:eastAsiaTheme="minorEastAsia" w:hAnsi="Arial" w:cs="Arial"/>
                        <w:sz w:val="20"/>
                        <w:szCs w:val="20"/>
                        <w:lang w:val="en-US"/>
                      </w:rPr>
                      <w:t>Conductivity</w:t>
                    </w:r>
                    <w:r w:rsidRPr="006F69DE">
                      <w:rPr>
                        <w:rFonts w:ascii="Arial" w:eastAsiaTheme="minorEastAsia" w:hAnsi="Arial" w:cs="Arial"/>
                        <w:sz w:val="20"/>
                        <w:szCs w:val="20"/>
                        <w:lang w:val="el-GR" w:eastAsia="el-GR"/>
                      </w:rPr>
                      <w:t xml:space="preserve"> (μS</w:t>
                    </w:r>
                    <w:r w:rsidRPr="006F69DE">
                      <w:rPr>
                        <w:rFonts w:ascii="Arial" w:eastAsiaTheme="minorEastAsia" w:hAnsi="Arial" w:cs="Arial"/>
                        <w:sz w:val="20"/>
                        <w:szCs w:val="20"/>
                        <w:lang w:val="en-US"/>
                      </w:rPr>
                      <w:t xml:space="preserve"> cm</w:t>
                    </w:r>
                    <w:r w:rsidRPr="006F69DE">
                      <w:rPr>
                        <w:rFonts w:ascii="Arial" w:eastAsiaTheme="minorEastAsia" w:hAnsi="Arial" w:cs="Arial"/>
                        <w:sz w:val="20"/>
                        <w:szCs w:val="20"/>
                        <w:vertAlign w:val="superscript"/>
                        <w:lang w:val="en-US"/>
                      </w:rPr>
                      <w:t>-</w:t>
                    </w:r>
                    <w:r w:rsidRPr="006F69DE">
                      <w:rPr>
                        <w:rFonts w:ascii="Arial" w:eastAsiaTheme="minorEastAsia" w:hAnsi="Arial" w:cs="Arial"/>
                        <w:sz w:val="20"/>
                        <w:szCs w:val="20"/>
                        <w:lang w:val="en-US"/>
                      </w:rPr>
                      <w:t>')</w:t>
                    </w: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7" w:line="378"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Τ</w:t>
                    </w:r>
                    <w:r w:rsidRPr="006F69DE">
                      <w:rPr>
                        <w:rFonts w:ascii="Arial" w:eastAsiaTheme="minorEastAsia" w:hAnsi="Arial" w:cs="Arial"/>
                        <w:sz w:val="20"/>
                        <w:szCs w:val="20"/>
                        <w:vertAlign w:val="subscript"/>
                        <w:lang w:val="el-GR" w:eastAsia="el-GR"/>
                      </w:rPr>
                      <w:t>0</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1112±4</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1100±9</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10" w:line="350"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1096±13</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7" w:line="378"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1099±12</w:t>
                    </w:r>
                  </w:p>
                </w:tc>
              </w:tr>
              <w:tr w:rsidR="006F69DE" w:rsidRPr="006F69DE" w:rsidTr="006F69DE">
                <w:tblPrEx>
                  <w:tblCellMar>
                    <w:top w:w="0" w:type="dxa"/>
                    <w:left w:w="0" w:type="dxa"/>
                    <w:bottom w:w="0" w:type="dxa"/>
                    <w:right w:w="0" w:type="dxa"/>
                  </w:tblCellMar>
                </w:tblPrEx>
                <w:trPr>
                  <w:trHeight w:hRule="exact" w:val="383"/>
                </w:trPr>
                <w:tc>
                  <w:tcPr>
                    <w:tcW w:w="2552" w:type="dxa"/>
                    <w:tcBorders>
                      <w:top w:val="nil"/>
                      <w:left w:val="nil"/>
                      <w:bottom w:val="nil"/>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0" w:line="344"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0" w:line="344"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1064±7</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0" w:line="344"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1061±7</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0" w:line="344"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1060±7</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0" w:line="369"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1061±7</w:t>
                    </w:r>
                  </w:p>
                </w:tc>
              </w:tr>
              <w:tr w:rsidR="006F69DE" w:rsidRPr="006F69DE" w:rsidTr="006F69DE">
                <w:tblPrEx>
                  <w:tblCellMar>
                    <w:top w:w="0" w:type="dxa"/>
                    <w:left w:w="0" w:type="dxa"/>
                    <w:bottom w:w="0" w:type="dxa"/>
                    <w:right w:w="0" w:type="dxa"/>
                  </w:tblCellMar>
                </w:tblPrEx>
                <w:trPr>
                  <w:trHeight w:hRule="exact" w:val="382"/>
                </w:trPr>
                <w:tc>
                  <w:tcPr>
                    <w:tcW w:w="2552" w:type="dxa"/>
                    <w:tcBorders>
                      <w:top w:val="nil"/>
                      <w:left w:val="nil"/>
                      <w:bottom w:val="nil"/>
                      <w:right w:val="nil"/>
                    </w:tcBorders>
                    <w:vAlign w:val="center"/>
                  </w:tcPr>
                  <w:p w:rsidR="006F69DE" w:rsidRPr="006F69DE" w:rsidRDefault="006F69DE" w:rsidP="006F69DE">
                    <w:pPr>
                      <w:widowControl w:val="0"/>
                      <w:kinsoku w:val="0"/>
                      <w:overflowPunct w:val="0"/>
                      <w:spacing w:after="5" w:line="370" w:lineRule="exact"/>
                      <w:ind w:left="285"/>
                      <w:textAlignment w:val="baseline"/>
                      <w:rPr>
                        <w:rFonts w:ascii="Arial" w:eastAsiaTheme="minorEastAsia" w:hAnsi="Arial" w:cs="Arial"/>
                        <w:color w:val="402026"/>
                        <w:sz w:val="20"/>
                        <w:szCs w:val="20"/>
                        <w:lang w:val="en-US"/>
                      </w:rPr>
                    </w:pPr>
                    <w:r w:rsidRPr="006F69DE">
                      <w:rPr>
                        <w:rFonts w:ascii="Arial" w:eastAsiaTheme="minorEastAsia" w:hAnsi="Arial" w:cs="Arial"/>
                        <w:color w:val="513025"/>
                        <w:sz w:val="20"/>
                        <w:szCs w:val="20"/>
                        <w:lang w:val="el-GR" w:eastAsia="el-GR"/>
                      </w:rPr>
                      <w:t>ΝΗ4</w:t>
                    </w:r>
                    <w:r w:rsidRPr="006F69DE">
                      <w:rPr>
                        <w:rFonts w:ascii="Arial" w:eastAsiaTheme="minorEastAsia" w:hAnsi="Arial" w:cs="Arial"/>
                        <w:color w:val="402026"/>
                        <w:sz w:val="20"/>
                        <w:szCs w:val="20"/>
                        <w:lang w:val="el-GR" w:eastAsia="el-GR"/>
                      </w:rPr>
                      <w:t xml:space="preserve"> (mg L</w:t>
                    </w:r>
                    <w:r w:rsidRPr="006F69DE">
                      <w:rPr>
                        <w:rFonts w:ascii="Arial" w:eastAsiaTheme="minorEastAsia" w:hAnsi="Arial" w:cs="Arial"/>
                        <w:color w:val="402026"/>
                        <w:sz w:val="20"/>
                        <w:szCs w:val="20"/>
                        <w:vertAlign w:val="superscript"/>
                        <w:lang w:val="el-GR" w:eastAsia="el-GR"/>
                      </w:rPr>
                      <w:t>1</w:t>
                    </w:r>
                    <w:r w:rsidRPr="006F69DE">
                      <w:rPr>
                        <w:rFonts w:ascii="Arial" w:eastAsiaTheme="minorEastAsia" w:hAnsi="Arial" w:cs="Arial"/>
                        <w:color w:val="402026"/>
                        <w:sz w:val="20"/>
                        <w:szCs w:val="20"/>
                        <w:lang w:val="el-GR" w:eastAsia="el-GR"/>
                      </w:rPr>
                      <w:t>)</w:t>
                    </w:r>
                  </w:p>
                </w:tc>
                <w:tc>
                  <w:tcPr>
                    <w:tcW w:w="669" w:type="dxa"/>
                    <w:tcBorders>
                      <w:top w:val="nil"/>
                      <w:left w:val="nil"/>
                      <w:bottom w:val="nil"/>
                      <w:right w:val="nil"/>
                    </w:tcBorders>
                  </w:tcPr>
                  <w:p w:rsidR="006F69DE" w:rsidRPr="006F69DE" w:rsidRDefault="006F69DE" w:rsidP="006F69DE">
                    <w:pPr>
                      <w:widowControl w:val="0"/>
                      <w:kinsoku w:val="0"/>
                      <w:overflowPunct w:val="0"/>
                      <w:spacing w:after="0" w:line="240" w:lineRule="auto"/>
                      <w:ind w:left="57"/>
                      <w:textAlignment w:val="baseline"/>
                      <w:rPr>
                        <w:rFonts w:ascii="Arial" w:eastAsiaTheme="minorEastAsia" w:hAnsi="Arial" w:cs="Arial"/>
                        <w:sz w:val="20"/>
                        <w:szCs w:val="20"/>
                        <w:lang w:eastAsia="fr-FR"/>
                      </w:rPr>
                    </w:pPr>
                    <w:r w:rsidRPr="006F69DE">
                      <w:rPr>
                        <w:rFonts w:ascii="Arial" w:eastAsiaTheme="minorEastAsia" w:hAnsi="Arial" w:cs="Arial"/>
                        <w:color w:val="402026"/>
                        <w:sz w:val="20"/>
                        <w:szCs w:val="20"/>
                        <w:lang w:val="el-GR" w:eastAsia="el-GR"/>
                      </w:rPr>
                      <w:t>Τ</w:t>
                    </w:r>
                    <w:r w:rsidRPr="006F69DE">
                      <w:rPr>
                        <w:rFonts w:ascii="Arial" w:eastAsiaTheme="minorEastAsia" w:hAnsi="Arial" w:cs="Arial"/>
                        <w:color w:val="402026"/>
                        <w:sz w:val="20"/>
                        <w:szCs w:val="20"/>
                        <w:vertAlign w:val="subscript"/>
                        <w:lang w:val="el-GR" w:eastAsia="el-GR"/>
                      </w:rPr>
                      <w:t>0</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4" w:line="371"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0.18</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0.04</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4" w:line="371"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0.18</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0.03</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4" w:line="371"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0.11</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0.01</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4" w:line="371"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0.16</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0.07</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7" w:line="350"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3" w:line="379"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0.27</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0.02</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3" w:line="379"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513025"/>
                        <w:sz w:val="20"/>
                        <w:szCs w:val="20"/>
                        <w:lang w:val="en-US"/>
                      </w:rPr>
                      <w:t>0.29</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0.04</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3" w:line="379"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513025"/>
                        <w:sz w:val="20"/>
                        <w:szCs w:val="20"/>
                        <w:lang w:val="en-US"/>
                      </w:rPr>
                      <w:t>0.22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0.02</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3" w:line="379"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0.22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0.03</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vAlign w:val="center"/>
                  </w:tcPr>
                  <w:p w:rsidR="006F69DE" w:rsidRPr="006F69DE" w:rsidRDefault="006F69DE" w:rsidP="006F69DE">
                    <w:pPr>
                      <w:widowControl w:val="0"/>
                      <w:kinsoku w:val="0"/>
                      <w:overflowPunct w:val="0"/>
                      <w:spacing w:after="0" w:line="376" w:lineRule="exact"/>
                      <w:ind w:left="285"/>
                      <w:textAlignment w:val="baseline"/>
                      <w:rPr>
                        <w:rFonts w:ascii="Arial" w:eastAsiaTheme="minorEastAsia" w:hAnsi="Arial" w:cs="Arial"/>
                        <w:sz w:val="20"/>
                        <w:szCs w:val="20"/>
                        <w:lang w:val="en-US"/>
                      </w:rPr>
                    </w:pPr>
                    <w:r w:rsidRPr="006F69DE">
                      <w:rPr>
                        <w:rFonts w:ascii="Arial" w:eastAsiaTheme="minorEastAsia" w:hAnsi="Arial" w:cs="Arial"/>
                        <w:color w:val="402026"/>
                        <w:sz w:val="20"/>
                        <w:szCs w:val="20"/>
                        <w:lang w:val="el-GR" w:eastAsia="el-GR"/>
                      </w:rPr>
                      <w:t>ΝΟ3</w:t>
                    </w:r>
                    <w:r w:rsidRPr="006F69DE">
                      <w:rPr>
                        <w:rFonts w:ascii="Arial" w:eastAsiaTheme="minorEastAsia" w:hAnsi="Arial" w:cs="Arial"/>
                        <w:sz w:val="20"/>
                        <w:szCs w:val="20"/>
                        <w:lang w:val="el-GR" w:eastAsia="el-GR"/>
                      </w:rPr>
                      <w:t xml:space="preserve"> (mg ί</w:t>
                    </w:r>
                    <w:r w:rsidRPr="006F69DE">
                      <w:rPr>
                        <w:rFonts w:ascii="Arial" w:eastAsiaTheme="minorEastAsia" w:hAnsi="Arial" w:cs="Arial"/>
                        <w:sz w:val="20"/>
                        <w:szCs w:val="20"/>
                        <w:vertAlign w:val="superscript"/>
                        <w:lang w:val="el-GR" w:eastAsia="el-GR"/>
                      </w:rPr>
                      <w:t>1</w:t>
                    </w:r>
                    <w:r w:rsidRPr="006F69DE">
                      <w:rPr>
                        <w:rFonts w:ascii="Arial" w:eastAsiaTheme="minorEastAsia" w:hAnsi="Arial" w:cs="Arial"/>
                        <w:sz w:val="20"/>
                        <w:szCs w:val="20"/>
                        <w:lang w:val="el-GR" w:eastAsia="el-GR"/>
                      </w:rPr>
                      <w:t>)</w:t>
                    </w:r>
                  </w:p>
                </w:tc>
                <w:tc>
                  <w:tcPr>
                    <w:tcW w:w="669" w:type="dxa"/>
                    <w:tcBorders>
                      <w:top w:val="nil"/>
                      <w:left w:val="nil"/>
                      <w:bottom w:val="nil"/>
                      <w:right w:val="nil"/>
                    </w:tcBorders>
                  </w:tcPr>
                  <w:p w:rsidR="006F69DE" w:rsidRPr="006F69DE" w:rsidRDefault="006F69DE" w:rsidP="006F69DE">
                    <w:pPr>
                      <w:widowControl w:val="0"/>
                      <w:kinsoku w:val="0"/>
                      <w:overflowPunct w:val="0"/>
                      <w:spacing w:after="0" w:line="240" w:lineRule="auto"/>
                      <w:ind w:left="57"/>
                      <w:textAlignment w:val="baseline"/>
                      <w:rPr>
                        <w:rFonts w:ascii="Arial" w:eastAsiaTheme="minorEastAsia" w:hAnsi="Arial" w:cs="Arial"/>
                        <w:sz w:val="20"/>
                        <w:szCs w:val="20"/>
                        <w:lang w:eastAsia="fr-FR"/>
                      </w:rPr>
                    </w:pPr>
                    <w:r w:rsidRPr="006F69DE">
                      <w:rPr>
                        <w:rFonts w:ascii="Arial" w:eastAsiaTheme="minorEastAsia" w:hAnsi="Arial" w:cs="Arial"/>
                        <w:sz w:val="20"/>
                        <w:szCs w:val="20"/>
                        <w:lang w:val="el-GR" w:eastAsia="el-GR"/>
                      </w:rPr>
                      <w:t>Τ</w:t>
                    </w:r>
                    <w:r w:rsidRPr="006F69DE">
                      <w:rPr>
                        <w:rFonts w:ascii="Arial" w:eastAsiaTheme="minorEastAsia" w:hAnsi="Arial" w:cs="Arial"/>
                        <w:sz w:val="20"/>
                        <w:szCs w:val="20"/>
                        <w:vertAlign w:val="subscript"/>
                        <w:lang w:val="el-GR" w:eastAsia="el-GR"/>
                      </w:rPr>
                      <w:t>0</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3" w:line="378"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0.0</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4" w:line="350" w:lineRule="exact"/>
                      <w:ind w:right="151"/>
                      <w:jc w:val="center"/>
                      <w:textAlignment w:val="baseline"/>
                      <w:rPr>
                        <w:rFonts w:ascii="Arial" w:eastAsiaTheme="minorEastAsia" w:hAnsi="Arial" w:cs="Arial"/>
                        <w:color w:val="513025"/>
                        <w:sz w:val="20"/>
                        <w:szCs w:val="20"/>
                        <w:lang w:val="en-US"/>
                      </w:rPr>
                    </w:pPr>
                    <w:r w:rsidRPr="006F69DE">
                      <w:rPr>
                        <w:rFonts w:ascii="Arial" w:eastAsiaTheme="minorEastAsia" w:hAnsi="Arial" w:cs="Arial"/>
                        <w:color w:val="513025"/>
                        <w:sz w:val="20"/>
                        <w:szCs w:val="20"/>
                        <w:lang w:val="en-US"/>
                      </w:rPr>
                      <w:t>0.2±0.2</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3" w:line="378"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0.0</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3" w:line="378"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0.17</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0.17</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4" w:line="350"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0" w:line="379"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0.02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0.02</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0" w:line="379"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0.07</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0.04</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0" w:line="379"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0.11</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0.05</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0" w:line="379"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0.09</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0.06</w:t>
                    </w:r>
                  </w:p>
                </w:tc>
              </w:tr>
              <w:tr w:rsidR="006F69DE" w:rsidRPr="006F69DE" w:rsidTr="006F69DE">
                <w:tblPrEx>
                  <w:tblCellMar>
                    <w:top w:w="0" w:type="dxa"/>
                    <w:left w:w="0" w:type="dxa"/>
                    <w:bottom w:w="0" w:type="dxa"/>
                    <w:right w:w="0" w:type="dxa"/>
                  </w:tblCellMar>
                </w:tblPrEx>
                <w:trPr>
                  <w:trHeight w:hRule="exact" w:val="390"/>
                </w:trPr>
                <w:tc>
                  <w:tcPr>
                    <w:tcW w:w="2552" w:type="dxa"/>
                    <w:tcBorders>
                      <w:top w:val="nil"/>
                      <w:left w:val="nil"/>
                      <w:bottom w:val="nil"/>
                      <w:right w:val="nil"/>
                    </w:tcBorders>
                    <w:vAlign w:val="center"/>
                  </w:tcPr>
                  <w:p w:rsidR="006F69DE" w:rsidRPr="006F69DE" w:rsidRDefault="006F69DE" w:rsidP="006F69DE">
                    <w:pPr>
                      <w:widowControl w:val="0"/>
                      <w:kinsoku w:val="0"/>
                      <w:overflowPunct w:val="0"/>
                      <w:spacing w:after="0" w:line="378" w:lineRule="exact"/>
                      <w:ind w:left="285"/>
                      <w:textAlignment w:val="baseline"/>
                      <w:rPr>
                        <w:rFonts w:ascii="Arial" w:eastAsiaTheme="minorEastAsia" w:hAnsi="Arial" w:cs="Arial"/>
                        <w:sz w:val="20"/>
                        <w:szCs w:val="20"/>
                        <w:lang w:val="el-GR" w:eastAsia="el-GR"/>
                      </w:rPr>
                    </w:pPr>
                    <w:r w:rsidRPr="006F69DE">
                      <w:rPr>
                        <w:rFonts w:ascii="Arial" w:eastAsiaTheme="minorEastAsia" w:hAnsi="Arial" w:cs="Arial"/>
                        <w:sz w:val="20"/>
                        <w:szCs w:val="20"/>
                        <w:lang w:val="el-GR" w:eastAsia="el-GR"/>
                      </w:rPr>
                      <w:t>ΡΟ4</w:t>
                    </w:r>
                    <w:r w:rsidRPr="006F69DE">
                      <w:rPr>
                        <w:rFonts w:ascii="Arial" w:eastAsiaTheme="minorEastAsia" w:hAnsi="Arial" w:cs="Arial"/>
                        <w:sz w:val="20"/>
                        <w:szCs w:val="20"/>
                        <w:vertAlign w:val="superscript"/>
                        <w:lang w:val="el-GR" w:eastAsia="el-GR"/>
                      </w:rPr>
                      <w:t>-</w:t>
                    </w:r>
                    <w:r w:rsidRPr="006F69DE">
                      <w:rPr>
                        <w:rFonts w:ascii="Arial" w:eastAsiaTheme="minorEastAsia" w:hAnsi="Arial" w:cs="Arial"/>
                        <w:sz w:val="20"/>
                        <w:szCs w:val="20"/>
                        <w:lang w:val="el-GR" w:eastAsia="el-GR"/>
                      </w:rPr>
                      <w:t>(mgL</w:t>
                    </w:r>
                    <w:r w:rsidRPr="006F69DE">
                      <w:rPr>
                        <w:rFonts w:ascii="Arial" w:eastAsiaTheme="minorEastAsia" w:hAnsi="Arial" w:cs="Arial"/>
                        <w:sz w:val="20"/>
                        <w:szCs w:val="20"/>
                        <w:vertAlign w:val="superscript"/>
                        <w:lang w:val="el-GR" w:eastAsia="el-GR"/>
                      </w:rPr>
                      <w:t>-1</w:t>
                    </w:r>
                    <w:r w:rsidRPr="006F69DE">
                      <w:rPr>
                        <w:rFonts w:ascii="Arial" w:eastAsiaTheme="minorEastAsia" w:hAnsi="Arial" w:cs="Arial"/>
                        <w:sz w:val="20"/>
                        <w:szCs w:val="20"/>
                        <w:lang w:val="el-GR" w:eastAsia="el-GR"/>
                      </w:rPr>
                      <w:t>)</w:t>
                    </w:r>
                  </w:p>
                </w:tc>
                <w:tc>
                  <w:tcPr>
                    <w:tcW w:w="669" w:type="dxa"/>
                    <w:tcBorders>
                      <w:top w:val="nil"/>
                      <w:left w:val="nil"/>
                      <w:bottom w:val="nil"/>
                      <w:right w:val="nil"/>
                    </w:tcBorders>
                    <w:vAlign w:val="center"/>
                  </w:tcPr>
                  <w:p w:rsidR="006F69DE" w:rsidRPr="006F69DE" w:rsidRDefault="006F69DE" w:rsidP="006F69DE">
                    <w:pPr>
                      <w:widowControl w:val="0"/>
                      <w:kinsoku w:val="0"/>
                      <w:overflowPunct w:val="0"/>
                      <w:spacing w:after="0" w:line="378"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Τ</w:t>
                    </w:r>
                    <w:r w:rsidRPr="006F69DE">
                      <w:rPr>
                        <w:rFonts w:ascii="Arial" w:eastAsiaTheme="minorEastAsia" w:hAnsi="Arial" w:cs="Arial"/>
                        <w:sz w:val="20"/>
                        <w:szCs w:val="20"/>
                        <w:vertAlign w:val="subscript"/>
                        <w:lang w:val="el-GR" w:eastAsia="el-GR"/>
                      </w:rPr>
                      <w:t>0</w:t>
                    </w:r>
                  </w:p>
                </w:tc>
                <w:tc>
                  <w:tcPr>
                    <w:tcW w:w="1986" w:type="dxa"/>
                    <w:tcBorders>
                      <w:top w:val="nil"/>
                      <w:left w:val="nil"/>
                      <w:bottom w:val="nil"/>
                      <w:right w:val="nil"/>
                    </w:tcBorders>
                    <w:vAlign w:val="center"/>
                  </w:tcPr>
                  <w:p w:rsidR="006F69DE" w:rsidRPr="006F69DE" w:rsidRDefault="006F69DE" w:rsidP="006F69DE">
                    <w:pPr>
                      <w:widowControl w:val="0"/>
                      <w:kinsoku w:val="0"/>
                      <w:overflowPunct w:val="0"/>
                      <w:spacing w:after="2" w:line="350"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0.48±0.28</w:t>
                    </w:r>
                  </w:p>
                </w:tc>
                <w:tc>
                  <w:tcPr>
                    <w:tcW w:w="1456" w:type="dxa"/>
                    <w:tcBorders>
                      <w:top w:val="nil"/>
                      <w:left w:val="nil"/>
                      <w:bottom w:val="nil"/>
                      <w:right w:val="nil"/>
                    </w:tcBorders>
                    <w:vAlign w:val="center"/>
                  </w:tcPr>
                  <w:p w:rsidR="006F69DE" w:rsidRPr="006F69DE" w:rsidRDefault="006F69DE" w:rsidP="006F69DE">
                    <w:pPr>
                      <w:widowControl w:val="0"/>
                      <w:kinsoku w:val="0"/>
                      <w:overflowPunct w:val="0"/>
                      <w:spacing w:after="0" w:line="378"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0.03</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0.03</w:t>
                    </w:r>
                  </w:p>
                </w:tc>
                <w:tc>
                  <w:tcPr>
                    <w:tcW w:w="1842" w:type="dxa"/>
                    <w:tcBorders>
                      <w:top w:val="nil"/>
                      <w:left w:val="nil"/>
                      <w:bottom w:val="nil"/>
                      <w:right w:val="nil"/>
                    </w:tcBorders>
                    <w:vAlign w:val="center"/>
                  </w:tcPr>
                  <w:p w:rsidR="006F69DE" w:rsidRPr="006F69DE" w:rsidRDefault="006F69DE" w:rsidP="006F69DE">
                    <w:pPr>
                      <w:widowControl w:val="0"/>
                      <w:kinsoku w:val="0"/>
                      <w:overflowPunct w:val="0"/>
                      <w:spacing w:after="0" w:line="378"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0.1</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w:t>
                    </w:r>
                  </w:p>
                </w:tc>
                <w:tc>
                  <w:tcPr>
                    <w:tcW w:w="2410" w:type="dxa"/>
                    <w:gridSpan w:val="2"/>
                    <w:tcBorders>
                      <w:top w:val="nil"/>
                      <w:left w:val="nil"/>
                      <w:bottom w:val="nil"/>
                      <w:right w:val="nil"/>
                    </w:tcBorders>
                    <w:vAlign w:val="center"/>
                  </w:tcPr>
                  <w:p w:rsidR="006F69DE" w:rsidRPr="006F69DE" w:rsidRDefault="006F69DE" w:rsidP="006F69DE">
                    <w:pPr>
                      <w:widowControl w:val="0"/>
                      <w:kinsoku w:val="0"/>
                      <w:overflowPunct w:val="0"/>
                      <w:spacing w:after="0" w:line="378"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0.2</w:t>
                    </w:r>
                  </w:p>
                </w:tc>
              </w:tr>
              <w:tr w:rsidR="006F69DE" w:rsidRPr="006F69DE" w:rsidTr="006F69DE">
                <w:tblPrEx>
                  <w:tblCellMar>
                    <w:top w:w="0" w:type="dxa"/>
                    <w:left w:w="0" w:type="dxa"/>
                    <w:bottom w:w="0" w:type="dxa"/>
                    <w:right w:w="0" w:type="dxa"/>
                  </w:tblCellMar>
                </w:tblPrEx>
                <w:trPr>
                  <w:trHeight w:hRule="exact" w:val="465"/>
                </w:trPr>
                <w:tc>
                  <w:tcPr>
                    <w:tcW w:w="2552" w:type="dxa"/>
                    <w:tcBorders>
                      <w:top w:val="nil"/>
                      <w:left w:val="nil"/>
                      <w:bottom w:val="single" w:sz="20" w:space="0" w:color="auto"/>
                      <w:right w:val="nil"/>
                    </w:tcBorders>
                  </w:tcPr>
                  <w:p w:rsidR="006F69DE" w:rsidRPr="006F69DE" w:rsidRDefault="006F69DE" w:rsidP="006F69DE">
                    <w:pPr>
                      <w:widowControl w:val="0"/>
                      <w:kinsoku w:val="0"/>
                      <w:overflowPunct w:val="0"/>
                      <w:spacing w:after="0" w:line="240" w:lineRule="auto"/>
                      <w:textAlignment w:val="baseline"/>
                      <w:rPr>
                        <w:rFonts w:ascii="Arial" w:eastAsiaTheme="minorEastAsia" w:hAnsi="Arial" w:cs="Arial"/>
                        <w:sz w:val="20"/>
                        <w:szCs w:val="20"/>
                        <w:lang w:eastAsia="fr-FR"/>
                      </w:rPr>
                    </w:pPr>
                  </w:p>
                </w:tc>
                <w:tc>
                  <w:tcPr>
                    <w:tcW w:w="669" w:type="dxa"/>
                    <w:tcBorders>
                      <w:top w:val="nil"/>
                      <w:left w:val="nil"/>
                      <w:bottom w:val="single" w:sz="20" w:space="0" w:color="auto"/>
                      <w:right w:val="nil"/>
                    </w:tcBorders>
                    <w:vAlign w:val="center"/>
                  </w:tcPr>
                  <w:p w:rsidR="006F69DE" w:rsidRPr="006F69DE" w:rsidRDefault="006F69DE" w:rsidP="006F69DE">
                    <w:pPr>
                      <w:widowControl w:val="0"/>
                      <w:kinsoku w:val="0"/>
                      <w:overflowPunct w:val="0"/>
                      <w:spacing w:after="88" w:line="350" w:lineRule="exact"/>
                      <w:ind w:left="57"/>
                      <w:textAlignment w:val="baseline"/>
                      <w:rPr>
                        <w:rFonts w:ascii="Arial" w:eastAsiaTheme="minorEastAsia" w:hAnsi="Arial" w:cs="Arial"/>
                        <w:sz w:val="20"/>
                        <w:szCs w:val="20"/>
                        <w:lang w:val="en-US"/>
                      </w:rPr>
                    </w:pPr>
                    <w:r w:rsidRPr="006F69DE">
                      <w:rPr>
                        <w:rFonts w:ascii="Arial" w:eastAsiaTheme="minorEastAsia" w:hAnsi="Arial" w:cs="Arial"/>
                        <w:sz w:val="20"/>
                        <w:szCs w:val="20"/>
                        <w:lang w:val="el-GR" w:eastAsia="el-GR"/>
                      </w:rPr>
                      <w:t>Exp.</w:t>
                    </w:r>
                  </w:p>
                </w:tc>
                <w:tc>
                  <w:tcPr>
                    <w:tcW w:w="1986" w:type="dxa"/>
                    <w:tcBorders>
                      <w:top w:val="nil"/>
                      <w:left w:val="nil"/>
                      <w:bottom w:val="single" w:sz="20" w:space="0" w:color="auto"/>
                      <w:right w:val="nil"/>
                    </w:tcBorders>
                    <w:vAlign w:val="center"/>
                  </w:tcPr>
                  <w:p w:rsidR="006F69DE" w:rsidRPr="006F69DE" w:rsidRDefault="006F69DE" w:rsidP="006F69DE">
                    <w:pPr>
                      <w:widowControl w:val="0"/>
                      <w:kinsoku w:val="0"/>
                      <w:overflowPunct w:val="0"/>
                      <w:spacing w:after="85" w:line="378" w:lineRule="exact"/>
                      <w:ind w:left="154"/>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0.77</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0.13</w:t>
                    </w:r>
                  </w:p>
                </w:tc>
                <w:tc>
                  <w:tcPr>
                    <w:tcW w:w="1456" w:type="dxa"/>
                    <w:tcBorders>
                      <w:top w:val="nil"/>
                      <w:left w:val="nil"/>
                      <w:bottom w:val="single" w:sz="20" w:space="0" w:color="auto"/>
                      <w:right w:val="nil"/>
                    </w:tcBorders>
                    <w:vAlign w:val="center"/>
                  </w:tcPr>
                  <w:p w:rsidR="006F69DE" w:rsidRPr="006F69DE" w:rsidRDefault="006F69DE" w:rsidP="006F69DE">
                    <w:pPr>
                      <w:widowControl w:val="0"/>
                      <w:kinsoku w:val="0"/>
                      <w:overflowPunct w:val="0"/>
                      <w:spacing w:after="85" w:line="378" w:lineRule="exact"/>
                      <w:ind w:right="151"/>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0.52</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w:t>
                    </w:r>
                  </w:p>
                </w:tc>
                <w:tc>
                  <w:tcPr>
                    <w:tcW w:w="1842" w:type="dxa"/>
                    <w:tcBorders>
                      <w:top w:val="nil"/>
                      <w:left w:val="nil"/>
                      <w:bottom w:val="single" w:sz="20" w:space="0" w:color="auto"/>
                      <w:right w:val="nil"/>
                    </w:tcBorders>
                    <w:vAlign w:val="center"/>
                  </w:tcPr>
                  <w:p w:rsidR="006F69DE" w:rsidRPr="006F69DE" w:rsidRDefault="006F69DE" w:rsidP="006F69DE">
                    <w:pPr>
                      <w:widowControl w:val="0"/>
                      <w:kinsoku w:val="0"/>
                      <w:overflowPunct w:val="0"/>
                      <w:spacing w:after="85" w:line="378" w:lineRule="exact"/>
                      <w:ind w:left="150"/>
                      <w:jc w:val="center"/>
                      <w:textAlignment w:val="baseline"/>
                      <w:rPr>
                        <w:rFonts w:ascii="Arial" w:eastAsiaTheme="minorEastAsia" w:hAnsi="Arial" w:cs="Arial"/>
                        <w:color w:val="402026"/>
                        <w:sz w:val="20"/>
                        <w:szCs w:val="20"/>
                        <w:lang w:val="en-US"/>
                      </w:rPr>
                    </w:pPr>
                    <w:r w:rsidRPr="006F69DE">
                      <w:rPr>
                        <w:rFonts w:ascii="Arial" w:eastAsiaTheme="minorEastAsia" w:hAnsi="Arial" w:cs="Arial"/>
                        <w:color w:val="402026"/>
                        <w:sz w:val="20"/>
                        <w:szCs w:val="20"/>
                        <w:lang w:val="en-US"/>
                      </w:rPr>
                      <w:t>0.93</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0.18</w:t>
                    </w:r>
                  </w:p>
                </w:tc>
                <w:tc>
                  <w:tcPr>
                    <w:tcW w:w="2410" w:type="dxa"/>
                    <w:gridSpan w:val="2"/>
                    <w:tcBorders>
                      <w:top w:val="nil"/>
                      <w:left w:val="nil"/>
                      <w:bottom w:val="single" w:sz="20" w:space="0" w:color="auto"/>
                      <w:right w:val="nil"/>
                    </w:tcBorders>
                    <w:vAlign w:val="center"/>
                  </w:tcPr>
                  <w:p w:rsidR="006F69DE" w:rsidRPr="006F69DE" w:rsidRDefault="006F69DE" w:rsidP="006F69DE">
                    <w:pPr>
                      <w:widowControl w:val="0"/>
                      <w:kinsoku w:val="0"/>
                      <w:overflowPunct w:val="0"/>
                      <w:spacing w:after="85" w:line="378" w:lineRule="exact"/>
                      <w:jc w:val="center"/>
                      <w:textAlignment w:val="baseline"/>
                      <w:rPr>
                        <w:rFonts w:ascii="Arial" w:eastAsiaTheme="minorEastAsia" w:hAnsi="Arial" w:cs="Arial"/>
                        <w:color w:val="402026"/>
                        <w:sz w:val="20"/>
                        <w:szCs w:val="20"/>
                        <w:lang w:val="el-GR" w:eastAsia="el-GR"/>
                      </w:rPr>
                    </w:pPr>
                    <w:r w:rsidRPr="006F69DE">
                      <w:rPr>
                        <w:rFonts w:ascii="Arial" w:eastAsiaTheme="minorEastAsia" w:hAnsi="Arial" w:cs="Arial"/>
                        <w:color w:val="402026"/>
                        <w:sz w:val="20"/>
                        <w:szCs w:val="20"/>
                        <w:lang w:val="en-US"/>
                      </w:rPr>
                      <w:t>0.54</w:t>
                    </w:r>
                    <w:r w:rsidRPr="006F69DE">
                      <w:rPr>
                        <w:rFonts w:ascii="Arial" w:eastAsiaTheme="minorEastAsia" w:hAnsi="Arial" w:cs="Arial"/>
                        <w:color w:val="5E4934"/>
                        <w:sz w:val="20"/>
                        <w:szCs w:val="20"/>
                        <w:lang w:val="el-GR" w:eastAsia="el-GR"/>
                      </w:rPr>
                      <w:t xml:space="preserve"> ±</w:t>
                    </w:r>
                    <w:r w:rsidRPr="006F69DE">
                      <w:rPr>
                        <w:rFonts w:ascii="Arial" w:eastAsiaTheme="minorEastAsia" w:hAnsi="Arial" w:cs="Arial"/>
                        <w:color w:val="402026"/>
                        <w:sz w:val="20"/>
                        <w:szCs w:val="20"/>
                        <w:lang w:val="en-US"/>
                      </w:rPr>
                      <w:t xml:space="preserve"> 0.1</w:t>
                    </w:r>
                  </w:p>
                </w:tc>
              </w:tr>
            </w:tbl>
            <w:p w:rsidR="006F69DE" w:rsidRPr="006F69DE" w:rsidRDefault="006F69DE" w:rsidP="001D1B80">
              <w:pPr>
                <w:jc w:val="both"/>
                <w:rPr>
                  <w:rFonts w:ascii="Arial" w:hAnsi="Arial" w:cs="Arial"/>
                  <w:lang w:val="ca-ES" w:eastAsia="ca-ES"/>
                </w:rPr>
              </w:pPr>
              <w:r w:rsidRPr="001D1B80">
                <w:rPr>
                  <w:rFonts w:ascii="Arial" w:hAnsi="Arial" w:cs="Arial"/>
                  <w:lang w:val="da-DK" w:eastAsia="da-DK"/>
                </w:rPr>
                <w:t>Control:</w:t>
              </w:r>
              <w:r w:rsidRPr="001D1B80">
                <w:rPr>
                  <w:rFonts w:ascii="Arial" w:hAnsi="Arial" w:cs="Arial"/>
                  <w:lang w:val="en-US"/>
                </w:rPr>
                <w:t xml:space="preserve"> non-allelochemically treated mesocosms; +Gallic acid: mesocosms treated with gallic acid solely; +Nonanoic acid: mesocosms treated with nonanoic acid solely; +Gallic acid + nonanoic acid: mesocosms treated with the combination of gallic</w:t>
              </w:r>
              <w:r w:rsidRPr="001D1B80">
                <w:rPr>
                  <w:rFonts w:ascii="Arial" w:hAnsi="Arial" w:cs="Arial"/>
                  <w:lang w:val="da-DK" w:eastAsia="da-DK"/>
                </w:rPr>
                <w:t xml:space="preserve"> and</w:t>
              </w:r>
              <w:r w:rsidRPr="001D1B80">
                <w:rPr>
                  <w:rFonts w:ascii="Arial" w:hAnsi="Arial" w:cs="Arial"/>
                  <w:lang w:val="en-US"/>
                </w:rPr>
                <w:t xml:space="preserve"> nonanoic acids.</w:t>
              </w:r>
              <w:r w:rsidRPr="001D1B80">
                <w:rPr>
                  <w:rFonts w:ascii="Arial" w:hAnsi="Arial" w:cs="Arial"/>
                  <w:lang w:val="pt-BR" w:eastAsia="pt-BR"/>
                </w:rPr>
                <w:t xml:space="preserve"> Data</w:t>
              </w:r>
              <w:r w:rsidRPr="001D1B80">
                <w:rPr>
                  <w:rFonts w:ascii="Arial" w:hAnsi="Arial" w:cs="Arial"/>
                  <w:lang w:val="sl-SI" w:eastAsia="sl-SI"/>
                </w:rPr>
                <w:t xml:space="preserve"> are</w:t>
              </w:r>
              <w:r w:rsidRPr="001D1B80">
                <w:rPr>
                  <w:rFonts w:ascii="Arial" w:hAnsi="Arial" w:cs="Arial"/>
                  <w:lang w:val="en-US"/>
                </w:rPr>
                <w:t xml:space="preserve"> expressed</w:t>
              </w:r>
              <w:r w:rsidRPr="001D1B80">
                <w:rPr>
                  <w:rFonts w:ascii="Arial" w:hAnsi="Arial" w:cs="Arial"/>
                  <w:lang w:val="sl-SI" w:eastAsia="sl-SI"/>
                </w:rPr>
                <w:t xml:space="preserve"> as</w:t>
              </w:r>
              <w:r w:rsidRPr="001D1B80">
                <w:rPr>
                  <w:rFonts w:ascii="Arial" w:hAnsi="Arial" w:cs="Arial"/>
                  <w:lang w:val="en-US"/>
                </w:rPr>
                <w:t xml:space="preserve"> mean ±</w:t>
              </w:r>
              <w:r w:rsidRPr="001D1B80">
                <w:rPr>
                  <w:rFonts w:ascii="Arial" w:hAnsi="Arial" w:cs="Arial"/>
                  <w:lang w:val="sl-SI" w:eastAsia="sl-SI"/>
                </w:rPr>
                <w:t xml:space="preserve"> SE</w:t>
              </w:r>
              <w:r w:rsidRPr="001D1B80">
                <w:rPr>
                  <w:rFonts w:ascii="Arial" w:hAnsi="Arial" w:cs="Arial"/>
                  <w:lang w:val="en-US"/>
                </w:rPr>
                <w:t xml:space="preserve"> (average</w:t>
              </w:r>
              <w:r w:rsidRPr="001D1B80">
                <w:rPr>
                  <w:rFonts w:ascii="Arial" w:hAnsi="Arial" w:cs="Arial"/>
                  <w:lang w:val="pt-BR" w:eastAsia="pt-BR"/>
                </w:rPr>
                <w:t xml:space="preserve"> for</w:t>
              </w:r>
              <w:r w:rsidRPr="001D1B80">
                <w:rPr>
                  <w:rFonts w:ascii="Arial" w:hAnsi="Arial" w:cs="Arial"/>
                  <w:lang w:val="da-DK" w:eastAsia="da-DK"/>
                </w:rPr>
                <w:t xml:space="preserve"> all</w:t>
              </w:r>
              <w:r w:rsidRPr="001D1B80">
                <w:rPr>
                  <w:rFonts w:ascii="Arial" w:hAnsi="Arial" w:cs="Arial"/>
                  <w:lang w:val="en-US"/>
                </w:rPr>
                <w:t xml:space="preserve"> parameters</w:t>
              </w:r>
              <w:r w:rsidRPr="001D1B80">
                <w:rPr>
                  <w:rFonts w:ascii="Arial" w:hAnsi="Arial" w:cs="Arial"/>
                  <w:lang w:val="da-DK" w:eastAsia="da-DK"/>
                </w:rPr>
                <w:t xml:space="preserve"> at all</w:t>
              </w:r>
              <w:r w:rsidRPr="001D1B80">
                <w:rPr>
                  <w:rFonts w:ascii="Arial" w:hAnsi="Arial" w:cs="Arial"/>
                  <w:lang w:val="pt-BR" w:eastAsia="pt-BR"/>
                </w:rPr>
                <w:t xml:space="preserve"> time</w:t>
              </w:r>
              <w:r w:rsidRPr="001D1B80">
                <w:rPr>
                  <w:rFonts w:ascii="Arial" w:hAnsi="Arial" w:cs="Arial"/>
                  <w:lang w:val="da-DK" w:eastAsia="da-DK"/>
                </w:rPr>
                <w:t xml:space="preserve"> points).</w:t>
              </w:r>
              <w:r w:rsidRPr="001D1B80">
                <w:rPr>
                  <w:rFonts w:ascii="Arial" w:hAnsi="Arial" w:cs="Arial"/>
                  <w:lang w:val="en-US"/>
                </w:rPr>
                <w:t xml:space="preserve"> Significant differences between groups</w:t>
              </w:r>
              <w:r w:rsidRPr="001D1B80">
                <w:rPr>
                  <w:rFonts w:ascii="Arial" w:hAnsi="Arial" w:cs="Arial"/>
                  <w:lang w:val="sl-SI" w:eastAsia="sl-SI"/>
                </w:rPr>
                <w:t xml:space="preserve"> are</w:t>
              </w:r>
              <w:r w:rsidRPr="001D1B80">
                <w:rPr>
                  <w:rFonts w:ascii="Arial" w:hAnsi="Arial" w:cs="Arial"/>
                  <w:lang w:val="en-US"/>
                </w:rPr>
                <w:t xml:space="preserve"> indicated</w:t>
              </w:r>
              <w:r w:rsidRPr="001D1B80">
                <w:rPr>
                  <w:rFonts w:ascii="Arial" w:hAnsi="Arial" w:cs="Arial"/>
                  <w:lang w:val="cs-CZ" w:eastAsia="cs-CZ"/>
                </w:rPr>
                <w:t xml:space="preserve"> by</w:t>
              </w:r>
              <w:r w:rsidRPr="001D1B80">
                <w:rPr>
                  <w:rFonts w:ascii="Arial" w:hAnsi="Arial" w:cs="Arial"/>
                  <w:lang w:val="en-US"/>
                </w:rPr>
                <w:t xml:space="preserve"> capital</w:t>
              </w:r>
              <w:r w:rsidRPr="001D1B80">
                <w:rPr>
                  <w:rFonts w:ascii="Arial" w:hAnsi="Arial" w:cs="Arial"/>
                  <w:lang w:val="da-DK" w:eastAsia="da-DK"/>
                </w:rPr>
                <w:t xml:space="preserve"> letters</w:t>
              </w:r>
              <w:r w:rsidRPr="001D1B80">
                <w:rPr>
                  <w:rFonts w:ascii="Arial" w:hAnsi="Arial" w:cs="Arial"/>
                  <w:lang w:val="en-US"/>
                </w:rPr>
                <w:t xml:space="preserve"> against lower</w:t>
              </w:r>
              <w:r w:rsidRPr="001D1B80">
                <w:rPr>
                  <w:rFonts w:ascii="Arial" w:hAnsi="Arial" w:cs="Arial"/>
                  <w:lang w:val="pt-BR" w:eastAsia="pt-BR"/>
                </w:rPr>
                <w:t xml:space="preserve"> case</w:t>
              </w:r>
              <w:r w:rsidRPr="001D1B80">
                <w:rPr>
                  <w:rFonts w:ascii="Arial" w:hAnsi="Arial" w:cs="Arial"/>
                  <w:lang w:val="en-US"/>
                </w:rPr>
                <w:t xml:space="preserve"> ones</w:t>
              </w:r>
              <w:r w:rsidRPr="001D1B80">
                <w:rPr>
                  <w:rFonts w:ascii="Arial" w:hAnsi="Arial" w:cs="Arial"/>
                  <w:lang w:val="da-DK" w:eastAsia="da-DK"/>
                </w:rPr>
                <w:t xml:space="preserve"> (p</w:t>
              </w:r>
              <w:r w:rsidRPr="001D1B80">
                <w:rPr>
                  <w:rFonts w:ascii="Arial" w:hAnsi="Arial" w:cs="Arial"/>
                  <w:lang w:val="en-US"/>
                </w:rPr>
                <w:t xml:space="preserve"> &lt;</w:t>
              </w:r>
              <w:r w:rsidRPr="001D1B80">
                <w:rPr>
                  <w:rFonts w:ascii="Arial" w:hAnsi="Arial" w:cs="Arial"/>
                  <w:lang w:val="ca-ES" w:eastAsia="ca-ES"/>
                </w:rPr>
                <w:t xml:space="preserve"> 0.05).</w:t>
              </w:r>
            </w:p>
            <w:p w:rsidR="007B5EDC" w:rsidRPr="006F69DE" w:rsidRDefault="007B5EDC" w:rsidP="001D1B80">
              <w:pPr>
                <w:pStyle w:val="Legend"/>
                <w:jc w:val="both"/>
              </w:pPr>
            </w:p>
            <w:p w:rsidR="007B5EDC" w:rsidRPr="006F69DE" w:rsidRDefault="007B5EDC" w:rsidP="001D1B80">
              <w:pPr>
                <w:jc w:val="both"/>
                <w:rPr>
                  <w:rFonts w:ascii="Arial" w:hAnsi="Arial" w:cs="Arial"/>
                  <w:lang w:val="en-US"/>
                </w:rPr>
                <w:sectPr w:rsidR="007B5EDC" w:rsidRPr="006F69DE" w:rsidSect="003179A0">
                  <w:type w:val="continuous"/>
                  <w:pgSz w:w="11906" w:h="16838"/>
                  <w:pgMar w:top="851" w:right="424" w:bottom="567" w:left="426" w:header="426" w:footer="397" w:gutter="0"/>
                  <w:cols w:space="141"/>
                  <w:formProt w:val="0"/>
                  <w:docGrid w:linePitch="360"/>
                </w:sectPr>
              </w:pPr>
            </w:p>
            <w:p w:rsidR="007B5EDC" w:rsidRPr="001D1B80" w:rsidRDefault="00D27E5B" w:rsidP="001D1B80">
              <w:pPr>
                <w:jc w:val="both"/>
                <w:rPr>
                  <w:rFonts w:ascii="Arial" w:hAnsi="Arial" w:cs="Arial"/>
                </w:rPr>
              </w:pPr>
            </w:p>
          </w:sdtContent>
        </w:sdt>
      </w:sdtContent>
    </w:sdt>
    <w:p w:rsidR="00B97F8E" w:rsidRPr="001D1B80" w:rsidRDefault="00604122" w:rsidP="001D1B80">
      <w:pPr>
        <w:jc w:val="both"/>
        <w:rPr>
          <w:rFonts w:ascii="Arial" w:hAnsi="Arial" w:cs="Arial"/>
        </w:rPr>
        <w:sectPr w:rsidR="00B97F8E" w:rsidRPr="001D1B80" w:rsidSect="001F1029">
          <w:type w:val="continuous"/>
          <w:pgSz w:w="11906" w:h="16838"/>
          <w:pgMar w:top="851" w:right="425" w:bottom="567" w:left="425" w:header="425" w:footer="397" w:gutter="0"/>
          <w:cols w:num="2" w:space="141"/>
          <w:formProt w:val="0"/>
          <w:docGrid w:linePitch="360"/>
        </w:sectPr>
      </w:pPr>
      <w:r w:rsidRPr="001D1B80">
        <w:rPr>
          <w:rFonts w:ascii="Arial" w:hAnsi="Arial" w:cs="Arial"/>
        </w:rPr>
        <w:br w:type="column"/>
      </w:r>
    </w:p>
    <w:sdt>
      <w:sdtPr>
        <w:rPr>
          <w:rFonts w:ascii="Arial" w:hAnsi="Arial" w:cs="Arial"/>
        </w:rPr>
        <w:id w:val="-1328200010"/>
        <w15:repeatingSection/>
      </w:sdtPr>
      <w:sdtEndPr/>
      <w:sdtContent>
        <w:sdt>
          <w:sdtPr>
            <w:rPr>
              <w:rFonts w:ascii="Arial" w:hAnsi="Arial" w:cs="Arial"/>
              <w:sz w:val="14"/>
              <w:szCs w:val="20"/>
              <w:shd w:val="clear" w:color="auto" w:fill="FFFFFF"/>
              <w:lang w:val="en-US"/>
            </w:rPr>
            <w:id w:val="414050836"/>
            <w:placeholder>
              <w:docPart w:val="45AA0CC022BC4DE383A244FAB7066BCB"/>
            </w:placeholder>
            <w15:repeatingSectionItem/>
          </w:sdtPr>
          <w:sdtEndPr/>
          <w:sdtContent>
            <w:p w:rsidR="00604122" w:rsidRPr="001D1B80" w:rsidRDefault="007B5EDC" w:rsidP="001D1B80">
              <w:pPr>
                <w:jc w:val="both"/>
                <w:rPr>
                  <w:rFonts w:ascii="Arial" w:hAnsi="Arial" w:cs="Arial"/>
                </w:rPr>
                <w:sectPr w:rsidR="00604122" w:rsidRPr="001D1B80" w:rsidSect="00604122">
                  <w:type w:val="continuous"/>
                  <w:pgSz w:w="11906" w:h="16838"/>
                  <w:pgMar w:top="851" w:right="424" w:bottom="567" w:left="426" w:header="426" w:footer="397" w:gutter="0"/>
                  <w:cols w:space="141"/>
                  <w:formProt w:val="0"/>
                  <w:docGrid w:linePitch="360"/>
                </w:sectPr>
              </w:pPr>
              <w:r w:rsidRPr="001D1B80">
                <w:rPr>
                  <w:rFonts w:ascii="Arial" w:hAnsi="Arial" w:cs="Arial"/>
                  <w:noProof/>
                </w:rPr>
                <w:drawing>
                  <wp:inline distT="0" distB="0" distL="0" distR="0" wp14:anchorId="398CF234">
                    <wp:extent cx="5781040" cy="803783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040" cy="8037830"/>
                            </a:xfrm>
                            <a:prstGeom prst="rect">
                              <a:avLst/>
                            </a:prstGeom>
                            <a:noFill/>
                          </pic:spPr>
                        </pic:pic>
                      </a:graphicData>
                    </a:graphic>
                  </wp:inline>
                </w:drawing>
              </w:r>
            </w:p>
            <w:p w:rsidR="001F26C4" w:rsidRPr="001D1B80" w:rsidRDefault="00D12BD2" w:rsidP="001D1B80">
              <w:pPr>
                <w:pStyle w:val="Legende"/>
                <w:jc w:val="both"/>
                <w:rPr>
                  <w:lang w:val="en-US"/>
                </w:rPr>
              </w:pPr>
              <w:r w:rsidRPr="001D1B80">
                <w:rPr>
                  <w:lang w:val="en-US"/>
                </w:rPr>
                <w:t xml:space="preserve">Figure </w:t>
              </w:r>
              <w:r w:rsidR="001F26C4" w:rsidRPr="001D1B80">
                <w:rPr>
                  <w:lang w:val="en-US"/>
                </w:rPr>
                <w:t>1</w:t>
              </w:r>
              <w:r w:rsidRPr="001D1B80">
                <w:rPr>
                  <w:lang w:val="en-US"/>
                </w:rPr>
                <w:t xml:space="preserve">. </w:t>
              </w:r>
            </w:p>
            <w:p w:rsidR="001F26C4" w:rsidRPr="001D1B80" w:rsidRDefault="00D27E5B" w:rsidP="001D1B80">
              <w:pPr>
                <w:pStyle w:val="Legend"/>
                <w:jc w:val="both"/>
              </w:pPr>
              <w:sdt>
                <w:sdtPr>
                  <w:id w:val="-905758432"/>
                  <w:placeholder>
                    <w:docPart w:val="413FA4AAF8EE4AB78D540114174B2E96"/>
                  </w:placeholder>
                </w:sdtPr>
                <w:sdtEndPr/>
                <w:sdtContent>
                  <w:r w:rsidR="007B5EDC" w:rsidRPr="001D1B80">
                    <w:t>Variations of</w:t>
                  </w:r>
                  <w:r w:rsidR="007B5EDC" w:rsidRPr="001D1B80">
                    <w:rPr>
                      <w:lang w:val="sl-SI"/>
                    </w:rPr>
                    <w:t xml:space="preserve"> (A)</w:t>
                  </w:r>
                  <w:r w:rsidR="007B5EDC" w:rsidRPr="001D1B80">
                    <w:t xml:space="preserve"> temperature</w:t>
                  </w:r>
                  <w:r w:rsidR="007B5EDC" w:rsidRPr="001D1B80">
                    <w:rPr>
                      <w:lang w:val="da-DK"/>
                    </w:rPr>
                    <w:t xml:space="preserve"> and B)</w:t>
                  </w:r>
                  <w:r w:rsidR="007B5EDC" w:rsidRPr="001D1B80">
                    <w:t xml:space="preserve"> cyanobacteria,</w:t>
                  </w:r>
                  <w:r w:rsidR="007B5EDC" w:rsidRPr="001D1B80">
                    <w:rPr>
                      <w:lang w:val="sl-SI"/>
                    </w:rPr>
                    <w:t xml:space="preserve"> C)</w:t>
                  </w:r>
                  <w:r w:rsidR="007B5EDC" w:rsidRPr="001D1B80">
                    <w:rPr>
                      <w:lang w:val="da-DK"/>
                    </w:rPr>
                    <w:t xml:space="preserve"> green</w:t>
                  </w:r>
                  <w:r w:rsidR="007B5EDC" w:rsidRPr="001D1B80">
                    <w:t xml:space="preserve"> algae,</w:t>
                  </w:r>
                  <w:r w:rsidR="007B5EDC" w:rsidRPr="001D1B80">
                    <w:rPr>
                      <w:lang w:val="sl-SI"/>
                    </w:rPr>
                    <w:t xml:space="preserve"> D)</w:t>
                  </w:r>
                  <w:r w:rsidR="007B5EDC" w:rsidRPr="001D1B80">
                    <w:t xml:space="preserve"> brown algae,</w:t>
                  </w:r>
                  <w:r w:rsidR="007B5EDC" w:rsidRPr="001D1B80">
                    <w:rPr>
                      <w:lang w:val="pt-BR"/>
                    </w:rPr>
                    <w:t xml:space="preserve"> E)</w:t>
                  </w:r>
                  <w:r w:rsidR="007B5EDC" w:rsidRPr="001D1B80">
                    <w:t xml:space="preserve"> cryptophyceae biomass concentration (expressed</w:t>
                  </w:r>
                  <w:r w:rsidR="007B5EDC" w:rsidRPr="001D1B80">
                    <w:rPr>
                      <w:lang w:val="sl-SI"/>
                    </w:rPr>
                    <w:t xml:space="preserve"> in</w:t>
                  </w:r>
                  <w:r w:rsidR="007B5EDC" w:rsidRPr="001D1B80">
                    <w:t xml:space="preserve"> </w:t>
                  </w:r>
                  <w:r w:rsidR="007B5EDC" w:rsidRPr="001D1B80">
                    <w:rPr>
                      <w:lang w:val="fr-FR"/>
                    </w:rPr>
                    <w:t>μ</w:t>
                  </w:r>
                  <w:r w:rsidR="007B5EDC" w:rsidRPr="001D1B80">
                    <w:t>g chlorophyll</w:t>
                  </w:r>
                  <w:r w:rsidR="007B5EDC" w:rsidRPr="001D1B80">
                    <w:rPr>
                      <w:lang w:val="sl-SI"/>
                    </w:rPr>
                    <w:t xml:space="preserve"> a</w:t>
                  </w:r>
                  <w:r w:rsidR="007B5EDC" w:rsidRPr="001D1B80">
                    <w:t xml:space="preserve"> L</w:t>
                  </w:r>
                  <w:r w:rsidR="007B5EDC" w:rsidRPr="001D1B80">
                    <w:rPr>
                      <w:lang w:val="fr-FR"/>
                    </w:rPr>
                    <w:sym w:font="Symbol" w:char="F02D"/>
                  </w:r>
                  <w:r w:rsidR="007B5EDC" w:rsidRPr="001D1B80">
                    <w:t>1)</w:t>
                  </w:r>
                  <w:r w:rsidR="007B5EDC" w:rsidRPr="001D1B80">
                    <w:rPr>
                      <w:lang w:val="sl-SI"/>
                    </w:rPr>
                    <w:t xml:space="preserve"> in</w:t>
                  </w:r>
                  <w:r w:rsidR="007B5EDC" w:rsidRPr="001D1B80">
                    <w:t xml:space="preserve"> control</w:t>
                  </w:r>
                  <w:r w:rsidR="007B5EDC" w:rsidRPr="001D1B80">
                    <w:rPr>
                      <w:lang w:val="da-DK"/>
                    </w:rPr>
                    <w:t xml:space="preserve"> and</w:t>
                  </w:r>
                  <w:r w:rsidR="007B5EDC" w:rsidRPr="001D1B80">
                    <w:t xml:space="preserve"> allelochemically treated mesocosms. Allelopathic treatments</w:t>
                  </w:r>
                  <w:r w:rsidR="007B5EDC" w:rsidRPr="001D1B80">
                    <w:rPr>
                      <w:lang w:val="ca-ES"/>
                    </w:rPr>
                    <w:t xml:space="preserve"> (A1, A2, A3)</w:t>
                  </w:r>
                  <w:r w:rsidR="007B5EDC" w:rsidRPr="001D1B80">
                    <w:rPr>
                      <w:lang w:val="sl-SI"/>
                    </w:rPr>
                    <w:t xml:space="preserve"> are</w:t>
                  </w:r>
                  <w:r w:rsidR="007B5EDC" w:rsidRPr="001D1B80">
                    <w:t xml:space="preserve"> indicated</w:t>
                  </w:r>
                  <w:r w:rsidR="007B5EDC" w:rsidRPr="001D1B80">
                    <w:rPr>
                      <w:lang w:val="cs-CZ"/>
                    </w:rPr>
                    <w:t xml:space="preserve"> by</w:t>
                  </w:r>
                  <w:r w:rsidR="007B5EDC" w:rsidRPr="001D1B80">
                    <w:rPr>
                      <w:lang w:val="sl-SI"/>
                    </w:rPr>
                    <w:t xml:space="preserve"> red</w:t>
                  </w:r>
                  <w:r w:rsidR="007B5EDC" w:rsidRPr="001D1B80">
                    <w:t xml:space="preserve"> arrows.</w:t>
                  </w:r>
                  <w:r w:rsidR="007B5EDC" w:rsidRPr="001D1B80">
                    <w:rPr>
                      <w:lang w:val="pt-BR"/>
                    </w:rPr>
                    <w:t xml:space="preserve"> Data</w:t>
                  </w:r>
                  <w:r w:rsidR="007B5EDC" w:rsidRPr="001D1B80">
                    <w:rPr>
                      <w:lang w:val="sl-SI"/>
                    </w:rPr>
                    <w:t xml:space="preserve"> are</w:t>
                  </w:r>
                  <w:r w:rsidR="007B5EDC" w:rsidRPr="001D1B80">
                    <w:t xml:space="preserve"> expressed</w:t>
                  </w:r>
                  <w:r w:rsidR="007B5EDC" w:rsidRPr="001D1B80">
                    <w:rPr>
                      <w:lang w:val="sl-SI"/>
                    </w:rPr>
                    <w:t xml:space="preserve"> as</w:t>
                  </w:r>
                  <w:r w:rsidR="007B5EDC" w:rsidRPr="001D1B80">
                    <w:t xml:space="preserve"> mean ±</w:t>
                  </w:r>
                  <w:r w:rsidR="007B5EDC" w:rsidRPr="001D1B80">
                    <w:rPr>
                      <w:lang w:val="sl-SI"/>
                    </w:rPr>
                    <w:t xml:space="preserve"> SE.</w:t>
                  </w:r>
                  <w:r w:rsidR="007B5EDC" w:rsidRPr="001D1B80">
                    <w:t xml:space="preserve"> Groups marked</w:t>
                  </w:r>
                  <w:r w:rsidR="007B5EDC" w:rsidRPr="001D1B80">
                    <w:rPr>
                      <w:lang w:val="cs-CZ"/>
                    </w:rPr>
                    <w:t xml:space="preserve"> by</w:t>
                  </w:r>
                  <w:r w:rsidR="007B5EDC" w:rsidRPr="001D1B80">
                    <w:t xml:space="preserve"> capital</w:t>
                  </w:r>
                  <w:r w:rsidR="007B5EDC" w:rsidRPr="001D1B80">
                    <w:rPr>
                      <w:lang w:val="da-DK"/>
                    </w:rPr>
                    <w:t xml:space="preserve"> letters</w:t>
                  </w:r>
                  <w:r w:rsidR="007B5EDC" w:rsidRPr="001D1B80">
                    <w:rPr>
                      <w:lang w:val="sl-SI"/>
                    </w:rPr>
                    <w:t xml:space="preserve"> are</w:t>
                  </w:r>
                  <w:r w:rsidR="007B5EDC" w:rsidRPr="001D1B80">
                    <w:t xml:space="preserve"> significantly different from those marked</w:t>
                  </w:r>
                  <w:r w:rsidR="007B5EDC" w:rsidRPr="001D1B80">
                    <w:rPr>
                      <w:lang w:val="cs-CZ"/>
                    </w:rPr>
                    <w:t xml:space="preserve"> by</w:t>
                  </w:r>
                  <w:r w:rsidR="007B5EDC" w:rsidRPr="001D1B80">
                    <w:t xml:space="preserve"> lower</w:t>
                  </w:r>
                  <w:r w:rsidR="007B5EDC" w:rsidRPr="001D1B80">
                    <w:rPr>
                      <w:lang w:val="pt-BR"/>
                    </w:rPr>
                    <w:t xml:space="preserve"> case</w:t>
                  </w:r>
                  <w:r w:rsidR="007B5EDC" w:rsidRPr="001D1B80">
                    <w:t xml:space="preserve"> ones</w:t>
                  </w:r>
                  <w:r w:rsidR="007B5EDC" w:rsidRPr="001D1B80">
                    <w:rPr>
                      <w:lang w:val="da-DK"/>
                    </w:rPr>
                    <w:t xml:space="preserve"> (p b</w:t>
                  </w:r>
                  <w:r w:rsidR="007B5EDC" w:rsidRPr="001D1B80">
                    <w:rPr>
                      <w:lang w:val="ca-ES"/>
                    </w:rPr>
                    <w:t xml:space="preserve"> 0.05).</w:t>
                  </w:r>
                  <w:r w:rsidR="007B5EDC" w:rsidRPr="001D1B80">
                    <w:rPr>
                      <w:lang w:val="pt-BR"/>
                    </w:rPr>
                    <w:t xml:space="preserve"> (For</w:t>
                  </w:r>
                  <w:r w:rsidR="007B5EDC" w:rsidRPr="001D1B80">
                    <w:t xml:space="preserve"> interpretation of the references</w:t>
                  </w:r>
                  <w:r w:rsidR="007B5EDC" w:rsidRPr="001D1B80">
                    <w:rPr>
                      <w:lang w:val="sl-SI"/>
                    </w:rPr>
                    <w:t xml:space="preserve"> to</w:t>
                  </w:r>
                  <w:r w:rsidR="007B5EDC" w:rsidRPr="001D1B80">
                    <w:t xml:space="preserve"> color</w:t>
                  </w:r>
                  <w:r w:rsidR="007B5EDC" w:rsidRPr="001D1B80">
                    <w:rPr>
                      <w:lang w:val="sl-SI"/>
                    </w:rPr>
                    <w:t xml:space="preserve"> in</w:t>
                  </w:r>
                  <w:r w:rsidR="007B5EDC" w:rsidRPr="001D1B80">
                    <w:t xml:space="preserve"> this</w:t>
                  </w:r>
                  <w:r w:rsidR="007B5EDC" w:rsidRPr="001D1B80">
                    <w:rPr>
                      <w:lang w:val="sl-SI"/>
                    </w:rPr>
                    <w:t xml:space="preserve"> figure legend,</w:t>
                  </w:r>
                  <w:r w:rsidR="007B5EDC" w:rsidRPr="001D1B80">
                    <w:t xml:space="preserve"> the reader</w:t>
                  </w:r>
                  <w:r w:rsidR="007B5EDC" w:rsidRPr="001D1B80">
                    <w:rPr>
                      <w:lang w:val="pt-BR"/>
                    </w:rPr>
                    <w:t xml:space="preserve"> is</w:t>
                  </w:r>
                  <w:r w:rsidR="007B5EDC" w:rsidRPr="001D1B80">
                    <w:t xml:space="preserve"> referred</w:t>
                  </w:r>
                  <w:r w:rsidR="007B5EDC" w:rsidRPr="001D1B80">
                    <w:rPr>
                      <w:lang w:val="sl-SI"/>
                    </w:rPr>
                    <w:t xml:space="preserve"> to</w:t>
                  </w:r>
                  <w:r w:rsidR="007B5EDC" w:rsidRPr="001D1B80">
                    <w:t xml:space="preserve"> the web version of this article)</w:t>
                  </w:r>
                  <w:r w:rsidR="00D12BD2" w:rsidRPr="001D1B80">
                    <w:t xml:space="preserve">. </w:t>
                  </w:r>
                </w:sdtContent>
              </w:sdt>
              <w:r w:rsidR="00E741C0" w:rsidRPr="001D1B80">
                <w:br w:type="page"/>
              </w:r>
            </w:p>
          </w:sdtContent>
        </w:sdt>
        <w:sdt>
          <w:sdtPr>
            <w:rPr>
              <w:rFonts w:ascii="Arial" w:hAnsi="Arial" w:cs="Arial"/>
            </w:rPr>
            <w:id w:val="-696389711"/>
            <w:placeholder>
              <w:docPart w:val="A632CB8224A84FAE8D87EFB70BE891A0"/>
            </w:placeholder>
            <w15:repeatingSectionItem/>
          </w:sdtPr>
          <w:sdtEndPr/>
          <w:sdtContent>
            <w:bookmarkStart w:id="1" w:name="_GoBack" w:displacedByCustomXml="prev"/>
            <w:p w:rsidR="00505C9C" w:rsidRPr="001D1B80" w:rsidRDefault="00505C9C" w:rsidP="004F4794">
              <w:pPr>
                <w:jc w:val="center"/>
                <w:rPr>
                  <w:rFonts w:ascii="Arial" w:hAnsi="Arial" w:cs="Arial"/>
                </w:rPr>
                <w:sectPr w:rsidR="00505C9C" w:rsidRPr="001D1B80" w:rsidSect="00604122">
                  <w:type w:val="continuous"/>
                  <w:pgSz w:w="11906" w:h="16838"/>
                  <w:pgMar w:top="851" w:right="424" w:bottom="567" w:left="426" w:header="426" w:footer="397" w:gutter="0"/>
                  <w:cols w:space="141"/>
                  <w:formProt w:val="0"/>
                  <w:docGrid w:linePitch="360"/>
                </w:sectPr>
              </w:pPr>
              <w:r w:rsidRPr="001D1B80">
                <w:rPr>
                  <w:rFonts w:ascii="Arial" w:hAnsi="Arial" w:cs="Arial"/>
                  <w:noProof/>
                </w:rPr>
                <w:drawing>
                  <wp:inline distT="0" distB="0" distL="0" distR="0" wp14:anchorId="23AC9171">
                    <wp:extent cx="5409565" cy="578104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9565" cy="5781040"/>
                            </a:xfrm>
                            <a:prstGeom prst="rect">
                              <a:avLst/>
                            </a:prstGeom>
                            <a:noFill/>
                          </pic:spPr>
                        </pic:pic>
                      </a:graphicData>
                    </a:graphic>
                  </wp:inline>
                </w:drawing>
              </w:r>
              <w:bookmarkEnd w:id="1"/>
            </w:p>
            <w:p w:rsidR="00505C9C" w:rsidRPr="001D1B80" w:rsidRDefault="00505C9C" w:rsidP="001D1B80">
              <w:pPr>
                <w:pStyle w:val="Legende"/>
                <w:jc w:val="both"/>
                <w:rPr>
                  <w:lang w:val="en-US"/>
                </w:rPr>
              </w:pPr>
              <w:r w:rsidRPr="001D1B80">
                <w:rPr>
                  <w:lang w:val="en-US"/>
                </w:rPr>
                <w:t xml:space="preserve">Figure </w:t>
              </w:r>
              <w:r w:rsidR="003A0641" w:rsidRPr="001D1B80">
                <w:rPr>
                  <w:lang w:val="en-US"/>
                </w:rPr>
                <w:t>2</w:t>
              </w:r>
              <w:r w:rsidRPr="001D1B80">
                <w:rPr>
                  <w:lang w:val="en-US"/>
                </w:rPr>
                <w:t xml:space="preserve">. </w:t>
              </w:r>
            </w:p>
            <w:sdt>
              <w:sdtPr>
                <w:id w:val="-1049377923"/>
                <w:placeholder>
                  <w:docPart w:val="1909598E5C0542C5B86C3C1A75DAF6BD"/>
                </w:placeholder>
              </w:sdtPr>
              <w:sdtEndPr/>
              <w:sdtContent>
                <w:p w:rsidR="00505C9C" w:rsidRPr="001D1B80" w:rsidRDefault="00505C9C" w:rsidP="001D1B80">
                  <w:pPr>
                    <w:pStyle w:val="Legend"/>
                    <w:jc w:val="both"/>
                  </w:pPr>
                  <w:r w:rsidRPr="001D1B80">
                    <w:t>LDH, GPx,</w:t>
                  </w:r>
                  <w:r w:rsidRPr="001D1B80">
                    <w:rPr>
                      <w:lang w:val="da-DK"/>
                    </w:rPr>
                    <w:t xml:space="preserve"> and</w:t>
                  </w:r>
                  <w:r w:rsidRPr="001D1B80">
                    <w:rPr>
                      <w:lang w:val="de-DE"/>
                    </w:rPr>
                    <w:t xml:space="preserve"> GST</w:t>
                  </w:r>
                  <w:r w:rsidRPr="001D1B80">
                    <w:t xml:space="preserve"> activities measurement</w:t>
                  </w:r>
                  <w:r w:rsidRPr="001D1B80">
                    <w:rPr>
                      <w:lang w:val="sl-SI"/>
                    </w:rPr>
                    <w:t xml:space="preserve"> in</w:t>
                  </w:r>
                  <w:r w:rsidRPr="001D1B80">
                    <w:t xml:space="preserve"> whole invertebrate homogenates</w:t>
                  </w:r>
                  <w:r w:rsidRPr="001D1B80">
                    <w:rPr>
                      <w:lang w:val="da-DK"/>
                    </w:rPr>
                    <w:t xml:space="preserve"> at</w:t>
                  </w:r>
                  <w:r w:rsidRPr="001D1B80">
                    <w:t xml:space="preserve"> the</w:t>
                  </w:r>
                  <w:r w:rsidRPr="001D1B80">
                    <w:rPr>
                      <w:lang w:val="da-DK"/>
                    </w:rPr>
                    <w:t xml:space="preserve"> end</w:t>
                  </w:r>
                  <w:r w:rsidRPr="001D1B80">
                    <w:t xml:space="preserve"> of allelopathic treatments</w:t>
                  </w:r>
                  <w:r w:rsidRPr="001D1B80">
                    <w:rPr>
                      <w:lang w:val="sl-SI"/>
                    </w:rPr>
                    <w:t xml:space="preserve"> (t+</w:t>
                  </w:r>
                  <w:r w:rsidRPr="001D1B80">
                    <w:rPr>
                      <w:lang w:val="ca-ES"/>
                    </w:rPr>
                    <w:t xml:space="preserve"> 28</w:t>
                  </w:r>
                  <w:r w:rsidRPr="001D1B80">
                    <w:t xml:space="preserve"> days):</w:t>
                  </w:r>
                  <w:r w:rsidRPr="001D1B80">
                    <w:rPr>
                      <w:lang w:val="sl-SI"/>
                    </w:rPr>
                    <w:t xml:space="preserve"> A,</w:t>
                  </w:r>
                  <w:r w:rsidRPr="001D1B80">
                    <w:rPr>
                      <w:lang w:val="da-DK"/>
                    </w:rPr>
                    <w:t xml:space="preserve"> B,</w:t>
                  </w:r>
                  <w:r w:rsidRPr="001D1B80">
                    <w:rPr>
                      <w:lang w:val="sl-SI"/>
                    </w:rPr>
                    <w:t xml:space="preserve"> C)</w:t>
                  </w:r>
                  <w:r w:rsidRPr="001D1B80">
                    <w:t xml:space="preserve"> Physa homogenates;</w:t>
                  </w:r>
                  <w:r w:rsidRPr="001D1B80">
                    <w:rPr>
                      <w:lang w:val="sl-SI"/>
                    </w:rPr>
                    <w:t xml:space="preserve"> D,</w:t>
                  </w:r>
                  <w:r w:rsidRPr="001D1B80">
                    <w:rPr>
                      <w:lang w:val="pt-BR"/>
                    </w:rPr>
                    <w:t xml:space="preserve"> E,</w:t>
                  </w:r>
                  <w:r w:rsidRPr="001D1B80">
                    <w:rPr>
                      <w:lang w:val="da-DK"/>
                    </w:rPr>
                    <w:t xml:space="preserve"> F)</w:t>
                  </w:r>
                  <w:r w:rsidRPr="001D1B80">
                    <w:t xml:space="preserve"> Lymnaea homogenates;</w:t>
                  </w:r>
                  <w:r w:rsidRPr="001D1B80">
                    <w:rPr>
                      <w:lang w:val="sl-SI"/>
                    </w:rPr>
                    <w:t xml:space="preserve"> G, H, I)</w:t>
                  </w:r>
                  <w:r w:rsidRPr="001D1B80">
                    <w:rPr>
                      <w:lang w:val="da-DK"/>
                    </w:rPr>
                    <w:t xml:space="preserve"> Gammarus</w:t>
                  </w:r>
                  <w:r w:rsidRPr="001D1B80">
                    <w:t xml:space="preserve"> homogenates;</w:t>
                  </w:r>
                  <w:r w:rsidRPr="001D1B80">
                    <w:rPr>
                      <w:lang w:val="sl-SI"/>
                    </w:rPr>
                    <w:t xml:space="preserve"> +GA:</w:t>
                  </w:r>
                  <w:r w:rsidRPr="001D1B80">
                    <w:t xml:space="preserve"> mesocosms treated with gallic acid solely;</w:t>
                  </w:r>
                  <w:r w:rsidRPr="001D1B80">
                    <w:rPr>
                      <w:lang w:val="sl-SI"/>
                    </w:rPr>
                    <w:t xml:space="preserve"> +NA:</w:t>
                  </w:r>
                  <w:r w:rsidRPr="001D1B80">
                    <w:t xml:space="preserve"> mesocosms treated with nonanoic acid solely;</w:t>
                  </w:r>
                  <w:r w:rsidRPr="001D1B80">
                    <w:rPr>
                      <w:lang w:val="sl-SI"/>
                    </w:rPr>
                    <w:t xml:space="preserve"> +GA</w:t>
                  </w:r>
                  <w:r w:rsidRPr="001D1B80">
                    <w:t xml:space="preserve"> +</w:t>
                  </w:r>
                  <w:r w:rsidRPr="001D1B80">
                    <w:rPr>
                      <w:lang w:val="sl-SI"/>
                    </w:rPr>
                    <w:t xml:space="preserve"> NA:</w:t>
                  </w:r>
                  <w:r w:rsidRPr="001D1B80">
                    <w:t xml:space="preserve"> mesocosms treated with the combination of gallic</w:t>
                  </w:r>
                  <w:r w:rsidRPr="001D1B80">
                    <w:rPr>
                      <w:lang w:val="da-DK"/>
                    </w:rPr>
                    <w:t xml:space="preserve"> and</w:t>
                  </w:r>
                  <w:r w:rsidRPr="001D1B80">
                    <w:t xml:space="preserve"> nonanoic acids.</w:t>
                  </w:r>
                  <w:r w:rsidRPr="001D1B80">
                    <w:rPr>
                      <w:lang w:val="pt-BR"/>
                    </w:rPr>
                    <w:t xml:space="preserve"> Data</w:t>
                  </w:r>
                  <w:r w:rsidRPr="001D1B80">
                    <w:rPr>
                      <w:lang w:val="sl-SI"/>
                    </w:rPr>
                    <w:t xml:space="preserve"> are</w:t>
                  </w:r>
                  <w:r w:rsidRPr="001D1B80">
                    <w:t xml:space="preserve"> expressed</w:t>
                  </w:r>
                  <w:r w:rsidRPr="001D1B80">
                    <w:rPr>
                      <w:lang w:val="sl-SI"/>
                    </w:rPr>
                    <w:t xml:space="preserve"> as</w:t>
                  </w:r>
                  <w:r w:rsidRPr="001D1B80">
                    <w:t xml:space="preserve"> mean ±</w:t>
                  </w:r>
                  <w:r w:rsidRPr="001D1B80">
                    <w:rPr>
                      <w:lang w:val="sl-SI"/>
                    </w:rPr>
                    <w:t xml:space="preserve"> SE.</w:t>
                  </w:r>
                  <w:r w:rsidRPr="001D1B80">
                    <w:t xml:space="preserve"> Groups marked</w:t>
                  </w:r>
                  <w:r w:rsidRPr="001D1B80">
                    <w:rPr>
                      <w:lang w:val="cs-CZ"/>
                    </w:rPr>
                    <w:t xml:space="preserve"> by</w:t>
                  </w:r>
                  <w:r w:rsidRPr="001D1B80">
                    <w:t xml:space="preserve"> capital</w:t>
                  </w:r>
                  <w:r w:rsidRPr="001D1B80">
                    <w:rPr>
                      <w:lang w:val="da-DK"/>
                    </w:rPr>
                    <w:t xml:space="preserve"> letters</w:t>
                  </w:r>
                  <w:r w:rsidRPr="001D1B80">
                    <w:rPr>
                      <w:lang w:val="sl-SI"/>
                    </w:rPr>
                    <w:t xml:space="preserve"> are</w:t>
                  </w:r>
                  <w:r w:rsidRPr="001D1B80">
                    <w:t xml:space="preserve"> significantly different from those marked</w:t>
                  </w:r>
                  <w:r w:rsidRPr="001D1B80">
                    <w:rPr>
                      <w:lang w:val="cs-CZ"/>
                    </w:rPr>
                    <w:t xml:space="preserve"> by</w:t>
                  </w:r>
                  <w:r w:rsidRPr="001D1B80">
                    <w:t xml:space="preserve"> lower</w:t>
                  </w:r>
                  <w:r w:rsidRPr="001D1B80">
                    <w:rPr>
                      <w:lang w:val="pt-BR"/>
                    </w:rPr>
                    <w:t xml:space="preserve"> case</w:t>
                  </w:r>
                  <w:r w:rsidRPr="001D1B80">
                    <w:t xml:space="preserve"> ones</w:t>
                  </w:r>
                  <w:r w:rsidRPr="001D1B80">
                    <w:rPr>
                      <w:lang w:val="da-DK"/>
                    </w:rPr>
                    <w:t xml:space="preserve"> (p b</w:t>
                  </w:r>
                  <w:r w:rsidRPr="001D1B80">
                    <w:rPr>
                      <w:lang w:val="ca-ES"/>
                    </w:rPr>
                    <w:t xml:space="preserve"> 0.05).</w:t>
                  </w:r>
                </w:p>
              </w:sdtContent>
            </w:sdt>
            <w:p w:rsidR="00505C9C" w:rsidRPr="001D1B80" w:rsidRDefault="00505C9C" w:rsidP="001D1B80">
              <w:pPr>
                <w:jc w:val="both"/>
                <w:rPr>
                  <w:rFonts w:ascii="Arial" w:hAnsi="Arial" w:cs="Arial"/>
                  <w:lang w:val="en-US"/>
                </w:rPr>
              </w:pPr>
              <w:r w:rsidRPr="001D1B80">
                <w:rPr>
                  <w:rFonts w:ascii="Arial" w:hAnsi="Arial" w:cs="Arial"/>
                  <w:lang w:val="en-US"/>
                </w:rPr>
                <w:br w:type="page"/>
              </w:r>
            </w:p>
            <w:p w:rsidR="00505C9C" w:rsidRPr="001D1B80" w:rsidRDefault="00D27E5B" w:rsidP="001D1B80">
              <w:pPr>
                <w:jc w:val="both"/>
                <w:rPr>
                  <w:rFonts w:ascii="Arial" w:hAnsi="Arial" w:cs="Arial"/>
                </w:rPr>
              </w:pPr>
            </w:p>
          </w:sdtContent>
        </w:sdt>
      </w:sdtContent>
    </w:sdt>
    <w:p w:rsidR="00D30BBA" w:rsidRPr="001D1B80" w:rsidRDefault="00D30BBA" w:rsidP="001D1B80">
      <w:pPr>
        <w:jc w:val="both"/>
        <w:rPr>
          <w:rFonts w:ascii="Arial" w:hAnsi="Arial" w:cs="Arial"/>
        </w:rPr>
        <w:sectPr w:rsidR="00D30BBA" w:rsidRPr="001D1B80" w:rsidSect="001F26C4">
          <w:type w:val="continuous"/>
          <w:pgSz w:w="11906" w:h="16838"/>
          <w:pgMar w:top="851" w:right="424" w:bottom="567" w:left="426" w:header="426" w:footer="397" w:gutter="0"/>
          <w:cols w:space="141"/>
          <w:formProt w:val="0"/>
          <w:docGrid w:linePitch="360"/>
        </w:sectPr>
      </w:pPr>
    </w:p>
    <w:p w:rsidR="00E741C0" w:rsidRPr="001D1B80" w:rsidRDefault="00575F2F" w:rsidP="001D1B80">
      <w:pPr>
        <w:pStyle w:val="TitrePartieArticle"/>
        <w:sectPr w:rsidR="00E741C0" w:rsidRPr="001D1B80" w:rsidSect="00E741C0">
          <w:type w:val="continuous"/>
          <w:pgSz w:w="11906" w:h="16838"/>
          <w:pgMar w:top="851" w:right="424" w:bottom="567" w:left="426" w:header="426" w:footer="397" w:gutter="0"/>
          <w:cols w:space="141"/>
          <w:docGrid w:linePitch="360"/>
        </w:sectPr>
      </w:pPr>
      <w:r w:rsidRPr="001D1B80">
        <w:t>References</w:t>
      </w:r>
      <w:r w:rsidR="00E741C0" w:rsidRPr="001D1B80">
        <w:tab/>
      </w:r>
    </w:p>
    <w:sdt>
      <w:sdtPr>
        <w:id w:val="-517312992"/>
        <w:placeholder>
          <w:docPart w:val="370A0177884448B4844877CB29F706BF"/>
        </w:placeholder>
      </w:sdtPr>
      <w:sdtEndPr/>
      <w:sdtContent>
        <w:p w:rsidR="001C5E4B" w:rsidRPr="001D1B80" w:rsidRDefault="00BE29C7" w:rsidP="001D1B80">
          <w:pPr>
            <w:pStyle w:val="RfrencesAcknoledgment"/>
            <w:ind w:firstLine="0"/>
          </w:pPr>
          <w:r w:rsidRPr="001D1B80">
            <w:t>Beutler,</w:t>
          </w:r>
          <w:r w:rsidRPr="001D1B80">
            <w:rPr>
              <w:lang w:val="sl-SI"/>
            </w:rPr>
            <w:t xml:space="preserve"> M.,</w:t>
          </w:r>
          <w:r w:rsidRPr="001D1B80">
            <w:t xml:space="preserve"> Wiltshire, K.H.,</w:t>
          </w:r>
          <w:r w:rsidRPr="001D1B80">
            <w:rPr>
              <w:lang w:val="cs-CZ"/>
            </w:rPr>
            <w:t xml:space="preserve"> Meyer,</w:t>
          </w:r>
          <w:r w:rsidRPr="001D1B80">
            <w:rPr>
              <w:lang w:val="da-DK"/>
            </w:rPr>
            <w:t xml:space="preserve"> B.,</w:t>
          </w:r>
          <w:r w:rsidRPr="001D1B80">
            <w:t xml:space="preserve"> Moldaenke,</w:t>
          </w:r>
          <w:r w:rsidRPr="001D1B80">
            <w:rPr>
              <w:lang w:val="sl-SI"/>
            </w:rPr>
            <w:t xml:space="preserve"> C.,</w:t>
          </w:r>
          <w:r w:rsidRPr="001D1B80">
            <w:t xml:space="preserve"> Lürig,</w:t>
          </w:r>
          <w:r w:rsidRPr="001D1B80">
            <w:rPr>
              <w:lang w:val="sl-SI"/>
            </w:rPr>
            <w:t xml:space="preserve"> C.,</w:t>
          </w:r>
          <w:r w:rsidRPr="001D1B80">
            <w:t xml:space="preserve"> Meyerhöfer,</w:t>
          </w:r>
          <w:r w:rsidRPr="001D1B80">
            <w:rPr>
              <w:lang w:val="sl-SI"/>
            </w:rPr>
            <w:t xml:space="preserve"> M.,</w:t>
          </w:r>
          <w:r w:rsidRPr="001D1B80">
            <w:t xml:space="preserve"> </w:t>
          </w:r>
        </w:p>
        <w:p w:rsidR="001C5E4B" w:rsidRPr="001D1B80" w:rsidRDefault="00BE29C7" w:rsidP="001D1B80">
          <w:pPr>
            <w:pStyle w:val="RfrencesAcknoledgment"/>
          </w:pPr>
          <w:r w:rsidRPr="001D1B80">
            <w:t>Hansen, U.P.,</w:t>
          </w:r>
          <w:r w:rsidRPr="001D1B80">
            <w:rPr>
              <w:lang w:val="nb-NO"/>
            </w:rPr>
            <w:t xml:space="preserve"> Dau,</w:t>
          </w:r>
          <w:r w:rsidRPr="001D1B80">
            <w:rPr>
              <w:lang w:val="sl-SI"/>
            </w:rPr>
            <w:t xml:space="preserve"> H.,</w:t>
          </w:r>
          <w:r w:rsidRPr="001D1B80">
            <w:rPr>
              <w:lang w:val="ca-ES"/>
            </w:rPr>
            <w:t xml:space="preserve"> 2002.</w:t>
          </w:r>
          <w:r w:rsidRPr="001D1B80">
            <w:rPr>
              <w:lang w:val="sl-SI"/>
            </w:rPr>
            <w:t xml:space="preserve"> A</w:t>
          </w:r>
          <w:r w:rsidRPr="001D1B80">
            <w:t xml:space="preserve"> fluorometric method</w:t>
          </w:r>
          <w:r w:rsidRPr="001D1B80">
            <w:rPr>
              <w:lang w:val="pt-BR"/>
            </w:rPr>
            <w:t xml:space="preserve"> for</w:t>
          </w:r>
          <w:r w:rsidRPr="001D1B80">
            <w:t xml:space="preserve"> the differentiation of algal </w:t>
          </w:r>
        </w:p>
        <w:p w:rsidR="00BE29C7" w:rsidRPr="001D1B80" w:rsidRDefault="00BE29C7" w:rsidP="001D1B80">
          <w:pPr>
            <w:pStyle w:val="RfrencesAcknoledgment"/>
          </w:pPr>
          <w:r w:rsidRPr="001D1B80">
            <w:t>populations</w:t>
          </w:r>
          <w:r w:rsidRPr="001D1B80">
            <w:rPr>
              <w:lang w:val="sl-SI"/>
            </w:rPr>
            <w:t xml:space="preserve"> in</w:t>
          </w:r>
          <w:r w:rsidRPr="001D1B80">
            <w:rPr>
              <w:lang w:val="pt-BR"/>
            </w:rPr>
            <w:t xml:space="preserve"> vivo</w:t>
          </w:r>
          <w:r w:rsidRPr="001D1B80">
            <w:rPr>
              <w:lang w:val="da-DK"/>
            </w:rPr>
            <w:t xml:space="preserve"> and</w:t>
          </w:r>
          <w:r w:rsidRPr="001D1B80">
            <w:rPr>
              <w:lang w:val="sl-SI"/>
            </w:rPr>
            <w:t xml:space="preserve"> in</w:t>
          </w:r>
          <w:r w:rsidRPr="001D1B80">
            <w:t xml:space="preserve"> situ. Photosynth.</w:t>
          </w:r>
          <w:r w:rsidRPr="001D1B80">
            <w:rPr>
              <w:lang w:val="sl-SI"/>
            </w:rPr>
            <w:t xml:space="preserve"> Res.</w:t>
          </w:r>
          <w:r w:rsidRPr="001D1B80">
            <w:rPr>
              <w:lang w:val="ca-ES"/>
            </w:rPr>
            <w:t xml:space="preserve"> 72, 39–53.</w:t>
          </w:r>
        </w:p>
        <w:p w:rsidR="001C5E4B" w:rsidRPr="001D1B80" w:rsidRDefault="00BE29C7" w:rsidP="001D1B80">
          <w:pPr>
            <w:pStyle w:val="RfrencesAcknoledgment"/>
            <w:ind w:firstLine="0"/>
          </w:pPr>
          <w:r w:rsidRPr="001D1B80">
            <w:t>Bradford,</w:t>
          </w:r>
          <w:r w:rsidRPr="001D1B80">
            <w:rPr>
              <w:lang w:val="nb-NO"/>
            </w:rPr>
            <w:t xml:space="preserve"> M.M.,</w:t>
          </w:r>
          <w:r w:rsidRPr="001D1B80">
            <w:rPr>
              <w:lang w:val="ca-ES"/>
            </w:rPr>
            <w:t xml:space="preserve"> 1976.</w:t>
          </w:r>
          <w:r w:rsidRPr="001D1B80">
            <w:rPr>
              <w:lang w:val="sl-SI"/>
            </w:rPr>
            <w:t xml:space="preserve"> A</w:t>
          </w:r>
          <w:r w:rsidRPr="001D1B80">
            <w:t xml:space="preserve"> rapid</w:t>
          </w:r>
          <w:r w:rsidRPr="001D1B80">
            <w:rPr>
              <w:lang w:val="da-DK"/>
            </w:rPr>
            <w:t xml:space="preserve"> and</w:t>
          </w:r>
          <w:r w:rsidRPr="001D1B80">
            <w:t xml:space="preserve"> sensitive method</w:t>
          </w:r>
          <w:r w:rsidRPr="001D1B80">
            <w:rPr>
              <w:lang w:val="pt-BR"/>
            </w:rPr>
            <w:t xml:space="preserve"> for</w:t>
          </w:r>
          <w:r w:rsidRPr="001D1B80">
            <w:t xml:space="preserve"> the quantitation of microgram </w:t>
          </w:r>
        </w:p>
        <w:p w:rsidR="001C5E4B" w:rsidRPr="001D1B80" w:rsidRDefault="00BE29C7" w:rsidP="001D1B80">
          <w:pPr>
            <w:pStyle w:val="RfrencesAcknoledgment"/>
            <w:rPr>
              <w:lang w:val="ca-ES"/>
            </w:rPr>
          </w:pPr>
          <w:r w:rsidRPr="001D1B80">
            <w:t>quantities of</w:t>
          </w:r>
          <w:r w:rsidRPr="001D1B80">
            <w:rPr>
              <w:lang w:val="sl-SI"/>
            </w:rPr>
            <w:t xml:space="preserve"> protein</w:t>
          </w:r>
          <w:r w:rsidRPr="001D1B80">
            <w:t xml:space="preserve"> utilizing the principle of protein–dye</w:t>
          </w:r>
          <w:r w:rsidRPr="001D1B80">
            <w:rPr>
              <w:lang w:val="da-DK"/>
            </w:rPr>
            <w:t xml:space="preserve"> binding.</w:t>
          </w:r>
          <w:r w:rsidRPr="001D1B80">
            <w:rPr>
              <w:lang w:val="pt-BR"/>
            </w:rPr>
            <w:t xml:space="preserve"> Anal.</w:t>
          </w:r>
          <w:r w:rsidRPr="001D1B80">
            <w:t xml:space="preserve"> Biochem.</w:t>
          </w:r>
          <w:r w:rsidRPr="001D1B80">
            <w:rPr>
              <w:lang w:val="ca-ES"/>
            </w:rPr>
            <w:t xml:space="preserve"> 72, </w:t>
          </w:r>
        </w:p>
        <w:p w:rsidR="00BE29C7" w:rsidRPr="001D1B80" w:rsidRDefault="00BE29C7" w:rsidP="001D1B80">
          <w:pPr>
            <w:pStyle w:val="RfrencesAcknoledgment"/>
          </w:pPr>
          <w:r w:rsidRPr="001D1B80">
            <w:rPr>
              <w:lang w:val="ca-ES"/>
            </w:rPr>
            <w:t>248–254.</w:t>
          </w:r>
        </w:p>
        <w:p w:rsidR="001C5E4B" w:rsidRPr="001D1B80" w:rsidRDefault="00BE29C7" w:rsidP="001D1B80">
          <w:pPr>
            <w:pStyle w:val="RfrencesAcknoledgment"/>
            <w:ind w:firstLine="0"/>
          </w:pPr>
          <w:r w:rsidRPr="001D1B80">
            <w:t>Caquet,</w:t>
          </w:r>
          <w:r w:rsidRPr="001D1B80">
            <w:rPr>
              <w:lang w:val="sl-SI"/>
            </w:rPr>
            <w:t xml:space="preserve"> T.,</w:t>
          </w:r>
          <w:r w:rsidRPr="001D1B80">
            <w:rPr>
              <w:lang w:val="ca-ES"/>
            </w:rPr>
            <w:t xml:space="preserve"> 1990.</w:t>
          </w:r>
          <w:r w:rsidRPr="001D1B80">
            <w:t xml:space="preserve"> Spatial distribution of four freshwater gastropod</w:t>
          </w:r>
          <w:r w:rsidRPr="001D1B80">
            <w:rPr>
              <w:lang w:val="da-DK"/>
            </w:rPr>
            <w:t xml:space="preserve"> species</w:t>
          </w:r>
          <w:r w:rsidRPr="001D1B80">
            <w:rPr>
              <w:lang w:val="sl-SI"/>
            </w:rPr>
            <w:t xml:space="preserve"> in a</w:t>
          </w:r>
          <w:r w:rsidRPr="001D1B80">
            <w:t xml:space="preserve"> ditch </w:t>
          </w:r>
        </w:p>
        <w:p w:rsidR="00BE29C7" w:rsidRPr="001D1B80" w:rsidRDefault="00BE29C7" w:rsidP="001D1B80">
          <w:pPr>
            <w:pStyle w:val="RfrencesAcknoledgment"/>
            <w:rPr>
              <w:lang w:val="pl-PL"/>
            </w:rPr>
          </w:pPr>
          <w:r w:rsidRPr="001D1B80">
            <w:t>near Orsay,</w:t>
          </w:r>
          <w:r w:rsidRPr="001D1B80">
            <w:rPr>
              <w:lang w:val="sl-SI"/>
            </w:rPr>
            <w:t xml:space="preserve"> France.</w:t>
          </w:r>
          <w:r w:rsidRPr="001D1B80">
            <w:rPr>
              <w:lang w:val="pl-PL"/>
            </w:rPr>
            <w:t xml:space="preserve"> Hydrobiologia</w:t>
          </w:r>
          <w:r w:rsidRPr="001D1B80">
            <w:rPr>
              <w:lang w:val="ca-ES"/>
            </w:rPr>
            <w:t xml:space="preserve"> 203, 83–92.</w:t>
          </w:r>
        </w:p>
        <w:p w:rsidR="001C5E4B" w:rsidRPr="001D1B80" w:rsidRDefault="00BE29C7" w:rsidP="001D1B80">
          <w:pPr>
            <w:pStyle w:val="RfrencesAcknoledgment"/>
            <w:ind w:firstLine="0"/>
            <w:rPr>
              <w:lang w:val="pl-PL"/>
            </w:rPr>
          </w:pPr>
          <w:r w:rsidRPr="001D1B80">
            <w:rPr>
              <w:lang w:val="pl-PL"/>
            </w:rPr>
            <w:t>Caquet,</w:t>
          </w:r>
          <w:r w:rsidRPr="001D1B80">
            <w:rPr>
              <w:lang w:val="sl-SI"/>
            </w:rPr>
            <w:t xml:space="preserve"> T.,</w:t>
          </w:r>
          <w:r w:rsidRPr="001D1B80">
            <w:rPr>
              <w:lang w:val="pl-PL"/>
            </w:rPr>
            <w:t xml:space="preserve"> Lagadic,</w:t>
          </w:r>
          <w:r w:rsidRPr="001D1B80">
            <w:rPr>
              <w:lang w:val="sl-SI"/>
            </w:rPr>
            <w:t xml:space="preserve"> L.,</w:t>
          </w:r>
          <w:r w:rsidRPr="001D1B80">
            <w:rPr>
              <w:lang w:val="fi-FI"/>
            </w:rPr>
            <w:t xml:space="preserve"> Jonot,</w:t>
          </w:r>
          <w:r w:rsidRPr="001D1B80">
            <w:rPr>
              <w:lang w:val="sl-SI"/>
            </w:rPr>
            <w:t xml:space="preserve"> O.,</w:t>
          </w:r>
          <w:r w:rsidRPr="001D1B80">
            <w:rPr>
              <w:lang w:val="pl-PL"/>
            </w:rPr>
            <w:t xml:space="preserve"> Baturo,</w:t>
          </w:r>
          <w:r w:rsidRPr="001D1B80">
            <w:rPr>
              <w:lang w:val="it-IT"/>
            </w:rPr>
            <w:t xml:space="preserve"> W.,</w:t>
          </w:r>
          <w:r w:rsidRPr="001D1B80">
            <w:rPr>
              <w:lang w:val="sv-SE"/>
            </w:rPr>
            <w:t xml:space="preserve"> Kilanda,</w:t>
          </w:r>
          <w:r w:rsidRPr="001D1B80">
            <w:rPr>
              <w:lang w:val="sl-SI"/>
            </w:rPr>
            <w:t xml:space="preserve"> M., Simon,</w:t>
          </w:r>
          <w:r w:rsidRPr="001D1B80">
            <w:rPr>
              <w:lang w:val="da-DK"/>
            </w:rPr>
            <w:t xml:space="preserve"> P.,</w:t>
          </w:r>
          <w:r w:rsidRPr="001D1B80">
            <w:rPr>
              <w:lang w:val="sl-SI"/>
            </w:rPr>
            <w:t xml:space="preserve"> Le Bras, S.,</w:t>
          </w:r>
          <w:r w:rsidRPr="001D1B80">
            <w:rPr>
              <w:lang w:val="pl-PL"/>
            </w:rPr>
            <w:t xml:space="preserve"> </w:t>
          </w:r>
        </w:p>
        <w:p w:rsidR="001C5E4B" w:rsidRPr="001D1B80" w:rsidRDefault="00BE29C7" w:rsidP="001D1B80">
          <w:pPr>
            <w:pStyle w:val="RfrencesAcknoledgment"/>
          </w:pPr>
          <w:r w:rsidRPr="001D1B80">
            <w:rPr>
              <w:lang w:val="pl-PL"/>
            </w:rPr>
            <w:t>Echaubard,</w:t>
          </w:r>
          <w:r w:rsidRPr="001D1B80">
            <w:rPr>
              <w:lang w:val="sl-SI"/>
            </w:rPr>
            <w:t xml:space="preserve"> M.,</w:t>
          </w:r>
          <w:r w:rsidRPr="001D1B80">
            <w:rPr>
              <w:lang w:val="sv-SE"/>
            </w:rPr>
            <w:t xml:space="preserve"> Ramade,</w:t>
          </w:r>
          <w:r w:rsidRPr="001D1B80">
            <w:rPr>
              <w:lang w:val="sl-SI"/>
            </w:rPr>
            <w:t xml:space="preserve"> M.,</w:t>
          </w:r>
          <w:r w:rsidRPr="001D1B80">
            <w:rPr>
              <w:lang w:val="ca-ES"/>
            </w:rPr>
            <w:t xml:space="preserve"> 1996.</w:t>
          </w:r>
          <w:r w:rsidRPr="001D1B80">
            <w:rPr>
              <w:lang w:val="pl-PL"/>
            </w:rPr>
            <w:t xml:space="preserve"> </w:t>
          </w:r>
          <w:r w:rsidRPr="001D1B80">
            <w:t xml:space="preserve">Outdoor experimental ponds (mesocosms) </w:t>
          </w:r>
        </w:p>
        <w:p w:rsidR="001C5E4B" w:rsidRPr="001D1B80" w:rsidRDefault="00BE29C7" w:rsidP="001D1B80">
          <w:pPr>
            <w:pStyle w:val="RfrencesAcknoledgment"/>
            <w:rPr>
              <w:lang w:val="fr-FR"/>
            </w:rPr>
          </w:pPr>
          <w:r w:rsidRPr="001D1B80">
            <w:t>designed</w:t>
          </w:r>
          <w:r w:rsidRPr="001D1B80">
            <w:rPr>
              <w:lang w:val="pt-BR"/>
            </w:rPr>
            <w:t xml:space="preserve"> for</w:t>
          </w:r>
          <w:r w:rsidRPr="001D1B80">
            <w:t xml:space="preserve"> long-term ecotoxicological</w:t>
          </w:r>
          <w:r w:rsidRPr="001D1B80">
            <w:rPr>
              <w:lang w:val="da-DK"/>
            </w:rPr>
            <w:t xml:space="preserve"> studies</w:t>
          </w:r>
          <w:r w:rsidRPr="001D1B80">
            <w:rPr>
              <w:lang w:val="sl-SI"/>
            </w:rPr>
            <w:t xml:space="preserve"> in</w:t>
          </w:r>
          <w:r w:rsidRPr="001D1B80">
            <w:t xml:space="preserve"> aquatic environment. </w:t>
          </w:r>
          <w:r w:rsidRPr="001D1B80">
            <w:rPr>
              <w:lang w:val="fr-FR"/>
            </w:rPr>
            <w:t xml:space="preserve">Ecotoxicol. </w:t>
          </w:r>
        </w:p>
        <w:p w:rsidR="00BE29C7" w:rsidRPr="001D1B80" w:rsidRDefault="00BE29C7" w:rsidP="001D1B80">
          <w:pPr>
            <w:pStyle w:val="RfrencesAcknoledgment"/>
            <w:rPr>
              <w:lang w:val="fr-FR"/>
            </w:rPr>
          </w:pPr>
          <w:r w:rsidRPr="001D1B80">
            <w:rPr>
              <w:lang w:val="fr-FR"/>
            </w:rPr>
            <w:t>Environ.</w:t>
          </w:r>
          <w:r w:rsidRPr="001D1B80">
            <w:rPr>
              <w:lang w:val="tr-TR"/>
            </w:rPr>
            <w:t xml:space="preserve"> Saf.</w:t>
          </w:r>
          <w:r w:rsidRPr="001D1B80">
            <w:rPr>
              <w:lang w:val="ca-ES"/>
            </w:rPr>
            <w:t xml:space="preserve"> 34, 125–133.</w:t>
          </w:r>
        </w:p>
        <w:p w:rsidR="001C5E4B" w:rsidRPr="001D1B80" w:rsidRDefault="00BE29C7" w:rsidP="001D1B80">
          <w:pPr>
            <w:pStyle w:val="RfrencesAcknoledgment"/>
            <w:ind w:firstLine="0"/>
          </w:pPr>
          <w:r w:rsidRPr="001D1B80">
            <w:rPr>
              <w:lang w:val="fr-FR"/>
            </w:rPr>
            <w:t>Caquet,</w:t>
          </w:r>
          <w:r w:rsidRPr="001D1B80">
            <w:rPr>
              <w:lang w:val="sl-SI"/>
            </w:rPr>
            <w:t xml:space="preserve"> T.,</w:t>
          </w:r>
          <w:r w:rsidRPr="001D1B80">
            <w:rPr>
              <w:lang w:val="fr-FR"/>
            </w:rPr>
            <w:t xml:space="preserve"> Lagadic,</w:t>
          </w:r>
          <w:r w:rsidRPr="001D1B80">
            <w:rPr>
              <w:lang w:val="sl-SI"/>
            </w:rPr>
            <w:t xml:space="preserve"> L.,</w:t>
          </w:r>
          <w:r w:rsidRPr="001D1B80">
            <w:rPr>
              <w:lang w:val="fr-FR"/>
            </w:rPr>
            <w:t xml:space="preserve"> Monod,</w:t>
          </w:r>
          <w:r w:rsidRPr="001D1B80">
            <w:rPr>
              <w:lang w:val="sl-SI"/>
            </w:rPr>
            <w:t xml:space="preserve"> G.,</w:t>
          </w:r>
          <w:r w:rsidRPr="001D1B80">
            <w:rPr>
              <w:lang w:val="fr-FR"/>
            </w:rPr>
            <w:t xml:space="preserve"> Lacaze,</w:t>
          </w:r>
          <w:r w:rsidRPr="001D1B80">
            <w:rPr>
              <w:lang w:val="pl-PL"/>
            </w:rPr>
            <w:t xml:space="preserve"> J.-C.,</w:t>
          </w:r>
          <w:r w:rsidRPr="001D1B80">
            <w:rPr>
              <w:lang w:val="pt-BR"/>
            </w:rPr>
            <w:t xml:space="preserve"> Coute,</w:t>
          </w:r>
          <w:r w:rsidRPr="001D1B80">
            <w:rPr>
              <w:lang w:val="sl-SI"/>
            </w:rPr>
            <w:t xml:space="preserve"> A.,</w:t>
          </w:r>
          <w:r w:rsidRPr="001D1B80">
            <w:rPr>
              <w:lang w:val="ca-ES"/>
            </w:rPr>
            <w:t xml:space="preserve"> 2001.</w:t>
          </w:r>
          <w:r w:rsidRPr="001D1B80">
            <w:rPr>
              <w:lang w:val="fr-FR"/>
            </w:rPr>
            <w:t xml:space="preserve"> </w:t>
          </w:r>
          <w:r w:rsidRPr="001D1B80">
            <w:t xml:space="preserve">Variability of </w:t>
          </w:r>
        </w:p>
        <w:p w:rsidR="001C5E4B" w:rsidRPr="001D1B80" w:rsidRDefault="00BE29C7" w:rsidP="001D1B80">
          <w:pPr>
            <w:pStyle w:val="RfrencesAcknoledgment"/>
          </w:pPr>
          <w:r w:rsidRPr="001D1B80">
            <w:t>physicochem</w:t>
          </w:r>
          <w:r w:rsidRPr="001D1B80">
            <w:softHyphen/>
            <w:t>ical</w:t>
          </w:r>
          <w:r w:rsidRPr="001D1B80">
            <w:rPr>
              <w:lang w:val="da-DK"/>
            </w:rPr>
            <w:t xml:space="preserve"> and</w:t>
          </w:r>
          <w:r w:rsidRPr="001D1B80">
            <w:t xml:space="preserve"> biological parameters between replicated outdoor freshwater </w:t>
          </w:r>
        </w:p>
        <w:p w:rsidR="00BE29C7" w:rsidRPr="001D1B80" w:rsidRDefault="00BE29C7" w:rsidP="001D1B80">
          <w:pPr>
            <w:pStyle w:val="RfrencesAcknoledgment"/>
          </w:pPr>
          <w:r w:rsidRPr="001D1B80">
            <w:t>lentic mesocosms. Ecotoxicology</w:t>
          </w:r>
          <w:r w:rsidRPr="001D1B80">
            <w:rPr>
              <w:lang w:val="ca-ES"/>
            </w:rPr>
            <w:t xml:space="preserve"> 10, 51–66.</w:t>
          </w:r>
        </w:p>
        <w:p w:rsidR="001C5E4B" w:rsidRPr="001D1B80" w:rsidRDefault="00BE29C7" w:rsidP="001D1B80">
          <w:pPr>
            <w:pStyle w:val="RfrencesAcknoledgment"/>
            <w:ind w:firstLine="0"/>
          </w:pPr>
          <w:r w:rsidRPr="001D1B80">
            <w:t>Caquet,</w:t>
          </w:r>
          <w:r w:rsidRPr="001D1B80">
            <w:rPr>
              <w:lang w:val="sl-SI"/>
            </w:rPr>
            <w:t xml:space="preserve"> T.,</w:t>
          </w:r>
          <w:r w:rsidRPr="001D1B80">
            <w:t xml:space="preserve"> Deydier-Stephan,</w:t>
          </w:r>
          <w:r w:rsidRPr="001D1B80">
            <w:rPr>
              <w:lang w:val="sl-SI"/>
            </w:rPr>
            <w:t xml:space="preserve"> L.,</w:t>
          </w:r>
          <w:r w:rsidRPr="001D1B80">
            <w:t xml:space="preserve"> Lacroix,</w:t>
          </w:r>
          <w:r w:rsidRPr="001D1B80">
            <w:rPr>
              <w:lang w:val="sl-SI"/>
            </w:rPr>
            <w:t xml:space="preserve"> G.,</w:t>
          </w:r>
          <w:r w:rsidRPr="001D1B80">
            <w:t xml:space="preserve"> Rouzic, B.L., Lescher-Moutoué,</w:t>
          </w:r>
          <w:r w:rsidRPr="001D1B80">
            <w:rPr>
              <w:lang w:val="da-DK"/>
            </w:rPr>
            <w:t xml:space="preserve"> F.,</w:t>
          </w:r>
          <w:r w:rsidRPr="001D1B80">
            <w:rPr>
              <w:lang w:val="ca-ES"/>
            </w:rPr>
            <w:t xml:space="preserve"> 2005.</w:t>
          </w:r>
          <w:r w:rsidRPr="001D1B80">
            <w:t xml:space="preserve"> </w:t>
          </w:r>
        </w:p>
        <w:p w:rsidR="001C5E4B" w:rsidRPr="001D1B80" w:rsidRDefault="00BE29C7" w:rsidP="001D1B80">
          <w:pPr>
            <w:pStyle w:val="RfrencesAcknoledgment"/>
          </w:pPr>
          <w:r w:rsidRPr="001D1B80">
            <w:t>Effects of fomesafen, alone</w:t>
          </w:r>
          <w:r w:rsidRPr="001D1B80">
            <w:rPr>
              <w:lang w:val="da-DK"/>
            </w:rPr>
            <w:t xml:space="preserve"> and</w:t>
          </w:r>
          <w:r w:rsidRPr="001D1B80">
            <w:rPr>
              <w:lang w:val="sl-SI"/>
            </w:rPr>
            <w:t xml:space="preserve"> in</w:t>
          </w:r>
          <w:r w:rsidRPr="001D1B80">
            <w:t xml:space="preserve"> combination with</w:t>
          </w:r>
          <w:r w:rsidRPr="001D1B80">
            <w:rPr>
              <w:lang w:val="cs-CZ"/>
            </w:rPr>
            <w:t xml:space="preserve"> an</w:t>
          </w:r>
          <w:r w:rsidRPr="001D1B80">
            <w:t xml:space="preserve"> adjuvant,</w:t>
          </w:r>
          <w:r w:rsidRPr="001D1B80">
            <w:rPr>
              <w:lang w:val="sl-SI"/>
            </w:rPr>
            <w:t xml:space="preserve"> on plankton</w:t>
          </w:r>
          <w:r w:rsidRPr="001D1B80">
            <w:t xml:space="preserve"> </w:t>
          </w:r>
        </w:p>
        <w:p w:rsidR="001C5E4B" w:rsidRPr="001D1B80" w:rsidRDefault="00BE29C7" w:rsidP="001D1B80">
          <w:pPr>
            <w:pStyle w:val="RfrencesAcknoledgment"/>
            <w:rPr>
              <w:lang w:val="ca-ES"/>
            </w:rPr>
          </w:pPr>
          <w:r w:rsidRPr="001D1B80">
            <w:t>communities</w:t>
          </w:r>
          <w:r w:rsidRPr="001D1B80">
            <w:rPr>
              <w:lang w:val="sl-SI"/>
            </w:rPr>
            <w:t xml:space="preserve"> in</w:t>
          </w:r>
          <w:r w:rsidRPr="001D1B80">
            <w:t xml:space="preserve"> freshwater outdoor</w:t>
          </w:r>
          <w:r w:rsidRPr="001D1B80">
            <w:rPr>
              <w:lang w:val="da-DK"/>
            </w:rPr>
            <w:t xml:space="preserve"> pond</w:t>
          </w:r>
          <w:r w:rsidRPr="001D1B80">
            <w:t xml:space="preserve"> mesocosms. Environ. Toxicol. Chem.</w:t>
          </w:r>
          <w:r w:rsidRPr="001D1B80">
            <w:rPr>
              <w:lang w:val="ca-ES"/>
            </w:rPr>
            <w:t xml:space="preserve"> 24, </w:t>
          </w:r>
        </w:p>
        <w:p w:rsidR="00BE29C7" w:rsidRPr="001D1B80" w:rsidRDefault="00BE29C7" w:rsidP="001D1B80">
          <w:pPr>
            <w:pStyle w:val="RfrencesAcknoledgment"/>
          </w:pPr>
          <w:r w:rsidRPr="001D1B80">
            <w:rPr>
              <w:lang w:val="ca-ES"/>
            </w:rPr>
            <w:t>1116–1124.</w:t>
          </w:r>
        </w:p>
        <w:p w:rsidR="001C5E4B" w:rsidRPr="001D1B80" w:rsidRDefault="00BE29C7" w:rsidP="001D1B80">
          <w:pPr>
            <w:pStyle w:val="RfrencesAcknoledgment"/>
            <w:ind w:firstLine="0"/>
          </w:pPr>
          <w:r w:rsidRPr="001D1B80">
            <w:t>Carpenter, S.R., Caraco, N.F., Correll, D.L., Howarth, R.W., Sharpley, A.N.,</w:t>
          </w:r>
          <w:r w:rsidRPr="001D1B80">
            <w:rPr>
              <w:lang w:val="sl-SI"/>
            </w:rPr>
            <w:t xml:space="preserve"> Smith,</w:t>
          </w:r>
          <w:r w:rsidRPr="001D1B80">
            <w:t xml:space="preserve"> </w:t>
          </w:r>
        </w:p>
        <w:p w:rsidR="00FE206C" w:rsidRPr="001D1B80" w:rsidRDefault="00BE29C7" w:rsidP="001D1B80">
          <w:pPr>
            <w:pStyle w:val="RfrencesAcknoledgment"/>
          </w:pPr>
          <w:r w:rsidRPr="001D1B80">
            <w:t>V.H.,</w:t>
          </w:r>
          <w:r w:rsidRPr="001D1B80">
            <w:rPr>
              <w:lang w:val="ca-ES"/>
            </w:rPr>
            <w:t xml:space="preserve"> 1998.</w:t>
          </w:r>
          <w:r w:rsidRPr="001D1B80">
            <w:rPr>
              <w:lang w:val="da-DK"/>
            </w:rPr>
            <w:t xml:space="preserve"> Nonpoint</w:t>
          </w:r>
          <w:r w:rsidRPr="001D1B80">
            <w:t xml:space="preserve"> pollution of surface waters with phosphorus</w:t>
          </w:r>
          <w:r w:rsidRPr="001D1B80">
            <w:rPr>
              <w:lang w:val="da-DK"/>
            </w:rPr>
            <w:t xml:space="preserve"> and</w:t>
          </w:r>
          <w:r w:rsidRPr="001D1B80">
            <w:t xml:space="preserve"> nitrogen.</w:t>
          </w:r>
        </w:p>
        <w:p w:rsidR="00BE29C7" w:rsidRPr="001D1B80" w:rsidRDefault="00BE29C7" w:rsidP="001D1B80">
          <w:pPr>
            <w:pStyle w:val="RfrencesAcknoledgment"/>
          </w:pPr>
          <w:r w:rsidRPr="001D1B80">
            <w:t>Ecol. Appl.</w:t>
          </w:r>
          <w:r w:rsidRPr="001D1B80">
            <w:rPr>
              <w:lang w:val="ca-ES"/>
            </w:rPr>
            <w:t xml:space="preserve"> 8, 559–568.</w:t>
          </w:r>
        </w:p>
        <w:p w:rsidR="001C5E4B" w:rsidRPr="001D1B80" w:rsidRDefault="00BE29C7" w:rsidP="001D1B80">
          <w:pPr>
            <w:pStyle w:val="RfrencesAcknoledgment"/>
            <w:ind w:firstLine="0"/>
          </w:pPr>
          <w:r w:rsidRPr="001D1B80">
            <w:t>Coelho,</w:t>
          </w:r>
          <w:r w:rsidRPr="001D1B80">
            <w:rPr>
              <w:lang w:val="sl-SI"/>
            </w:rPr>
            <w:t xml:space="preserve"> S.,</w:t>
          </w:r>
          <w:r w:rsidRPr="001D1B80">
            <w:t xml:space="preserve"> Oliveira,</w:t>
          </w:r>
          <w:r w:rsidRPr="001D1B80">
            <w:rPr>
              <w:lang w:val="pt-BR"/>
            </w:rPr>
            <w:t xml:space="preserve"> R.,</w:t>
          </w:r>
          <w:r w:rsidRPr="001D1B80">
            <w:t xml:space="preserve"> Pereira,</w:t>
          </w:r>
          <w:r w:rsidRPr="001D1B80">
            <w:rPr>
              <w:lang w:val="sl-SI"/>
            </w:rPr>
            <w:t xml:space="preserve"> S.,</w:t>
          </w:r>
          <w:r w:rsidRPr="001D1B80">
            <w:rPr>
              <w:lang w:val="it-IT"/>
            </w:rPr>
            <w:t xml:space="preserve"> Musso,</w:t>
          </w:r>
          <w:r w:rsidRPr="001D1B80">
            <w:rPr>
              <w:lang w:val="sl-SI"/>
            </w:rPr>
            <w:t xml:space="preserve"> C.,</w:t>
          </w:r>
          <w:r w:rsidRPr="001D1B80">
            <w:t xml:space="preserve"> Domingues,</w:t>
          </w:r>
          <w:r w:rsidRPr="001D1B80">
            <w:rPr>
              <w:lang w:val="sl-SI"/>
            </w:rPr>
            <w:t xml:space="preserve"> I.,</w:t>
          </w:r>
          <w:r w:rsidRPr="001D1B80">
            <w:t xml:space="preserve"> Bhujel, R.C.,</w:t>
          </w:r>
          <w:r w:rsidRPr="001D1B80">
            <w:rPr>
              <w:lang w:val="pt-BR"/>
            </w:rPr>
            <w:t xml:space="preserve"> Soares,</w:t>
          </w:r>
          <w:r w:rsidRPr="001D1B80">
            <w:t xml:space="preserve"> </w:t>
          </w:r>
        </w:p>
        <w:p w:rsidR="001C5E4B" w:rsidRPr="001D1B80" w:rsidRDefault="00BE29C7" w:rsidP="001D1B80">
          <w:pPr>
            <w:pStyle w:val="RfrencesAcknoledgment"/>
            <w:rPr>
              <w:lang w:val="sl-SI"/>
            </w:rPr>
          </w:pPr>
          <w:r w:rsidRPr="001D1B80">
            <w:t>A.M.V.M.,</w:t>
          </w:r>
          <w:r w:rsidRPr="001D1B80">
            <w:rPr>
              <w:lang w:val="pt-BR"/>
            </w:rPr>
            <w:t xml:space="preserve"> Nogueira,</w:t>
          </w:r>
          <w:r w:rsidRPr="001D1B80">
            <w:t xml:space="preserve"> A.J.A.,</w:t>
          </w:r>
          <w:r w:rsidRPr="001D1B80">
            <w:rPr>
              <w:lang w:val="ca-ES"/>
            </w:rPr>
            <w:t xml:space="preserve"> 2011.</w:t>
          </w:r>
          <w:r w:rsidRPr="001D1B80">
            <w:t xml:space="preserve"> Assessing lethal</w:t>
          </w:r>
          <w:r w:rsidRPr="001D1B80">
            <w:rPr>
              <w:lang w:val="da-DK"/>
            </w:rPr>
            <w:t xml:space="preserve"> and</w:t>
          </w:r>
          <w:r w:rsidRPr="001D1B80">
            <w:t xml:space="preserve"> sub-lethal effects of trichlorfon</w:t>
          </w:r>
          <w:r w:rsidRPr="001D1B80">
            <w:rPr>
              <w:lang w:val="sl-SI"/>
            </w:rPr>
            <w:t xml:space="preserve"> </w:t>
          </w:r>
        </w:p>
        <w:p w:rsidR="00BE29C7" w:rsidRPr="001D1B80" w:rsidRDefault="00BE29C7" w:rsidP="001D1B80">
          <w:pPr>
            <w:pStyle w:val="RfrencesAcknoledgment"/>
          </w:pPr>
          <w:r w:rsidRPr="001D1B80">
            <w:rPr>
              <w:lang w:val="sl-SI"/>
            </w:rPr>
            <w:t>on</w:t>
          </w:r>
          <w:r w:rsidRPr="001D1B80">
            <w:t xml:space="preserve"> differ</w:t>
          </w:r>
          <w:r w:rsidRPr="001D1B80">
            <w:softHyphen/>
            <w:t>ent trophic levels. Aquat. Toxicol.</w:t>
          </w:r>
          <w:r w:rsidRPr="001D1B80">
            <w:rPr>
              <w:lang w:val="ca-ES"/>
            </w:rPr>
            <w:t xml:space="preserve"> 103, 191–198.</w:t>
          </w:r>
        </w:p>
        <w:p w:rsidR="001C5E4B" w:rsidRPr="001D1B80" w:rsidRDefault="00BE29C7" w:rsidP="001D1B80">
          <w:pPr>
            <w:pStyle w:val="RfrencesAcknoledgment"/>
          </w:pPr>
          <w:r w:rsidRPr="001D1B80">
            <w:t>Coleman,</w:t>
          </w:r>
          <w:r w:rsidRPr="001D1B80">
            <w:rPr>
              <w:lang w:val="pt-BR"/>
            </w:rPr>
            <w:t xml:space="preserve"> R.,</w:t>
          </w:r>
          <w:r w:rsidRPr="001D1B80">
            <w:t xml:space="preserve"> Penner,</w:t>
          </w:r>
          <w:r w:rsidRPr="001D1B80">
            <w:rPr>
              <w:lang w:val="sl-SI"/>
            </w:rPr>
            <w:t xml:space="preserve"> D.,</w:t>
          </w:r>
          <w:r w:rsidRPr="001D1B80">
            <w:rPr>
              <w:lang w:val="ca-ES"/>
            </w:rPr>
            <w:t xml:space="preserve"> 2008.</w:t>
          </w:r>
          <w:r w:rsidRPr="001D1B80">
            <w:t xml:space="preserve"> Organic acid enhancement of pelargonic acid. Weed </w:t>
          </w:r>
        </w:p>
        <w:p w:rsidR="00BE29C7" w:rsidRPr="001D1B80" w:rsidRDefault="00BE29C7" w:rsidP="001D1B80">
          <w:pPr>
            <w:pStyle w:val="RfrencesAcknoledgment"/>
            <w:rPr>
              <w:lang w:val="sl-SI"/>
            </w:rPr>
          </w:pPr>
          <w:r w:rsidRPr="001D1B80">
            <w:t>Technol.</w:t>
          </w:r>
          <w:r w:rsidRPr="001D1B80">
            <w:rPr>
              <w:lang w:val="ca-ES"/>
            </w:rPr>
            <w:t xml:space="preserve"> 22, 38–41.</w:t>
          </w:r>
        </w:p>
        <w:p w:rsidR="001C5E4B" w:rsidRPr="001D1B80" w:rsidRDefault="00BE29C7" w:rsidP="001D1B80">
          <w:pPr>
            <w:pStyle w:val="RfrencesAcknoledgment"/>
            <w:ind w:firstLine="0"/>
            <w:rPr>
              <w:lang w:val="da-DK"/>
            </w:rPr>
          </w:pPr>
          <w:r w:rsidRPr="001D1B80">
            <w:rPr>
              <w:lang w:val="sl-SI"/>
            </w:rPr>
            <w:t>Davis,</w:t>
          </w:r>
          <w:r w:rsidRPr="001D1B80">
            <w:t xml:space="preserve"> T.W.,</w:t>
          </w:r>
          <w:r w:rsidRPr="001D1B80">
            <w:rPr>
              <w:lang w:val="sl-SI"/>
            </w:rPr>
            <w:t xml:space="preserve"> Berry,</w:t>
          </w:r>
          <w:r w:rsidRPr="001D1B80">
            <w:t xml:space="preserve"> D.L., Boyer, G.L., Gobler, C.J.,</w:t>
          </w:r>
          <w:r w:rsidRPr="001D1B80">
            <w:rPr>
              <w:lang w:val="ca-ES"/>
            </w:rPr>
            <w:t xml:space="preserve"> 2009.</w:t>
          </w:r>
          <w:r w:rsidRPr="001D1B80">
            <w:t xml:space="preserve"> The effects of temperature</w:t>
          </w:r>
          <w:r w:rsidRPr="001D1B80">
            <w:rPr>
              <w:lang w:val="da-DK"/>
            </w:rPr>
            <w:t xml:space="preserve"> </w:t>
          </w:r>
        </w:p>
        <w:p w:rsidR="001C5E4B" w:rsidRPr="001D1B80" w:rsidRDefault="00BE29C7" w:rsidP="001D1B80">
          <w:pPr>
            <w:pStyle w:val="RfrencesAcknoledgment"/>
          </w:pPr>
          <w:r w:rsidRPr="001D1B80">
            <w:rPr>
              <w:lang w:val="da-DK"/>
            </w:rPr>
            <w:t>and</w:t>
          </w:r>
          <w:r w:rsidRPr="001D1B80">
            <w:t xml:space="preserve"> nutri</w:t>
          </w:r>
          <w:r w:rsidRPr="001D1B80">
            <w:softHyphen/>
            <w:t>ents</w:t>
          </w:r>
          <w:r w:rsidRPr="001D1B80">
            <w:rPr>
              <w:lang w:val="sl-SI"/>
            </w:rPr>
            <w:t xml:space="preserve"> on</w:t>
          </w:r>
          <w:r w:rsidRPr="001D1B80">
            <w:t xml:space="preserve"> the growth</w:t>
          </w:r>
          <w:r w:rsidRPr="001D1B80">
            <w:rPr>
              <w:lang w:val="da-DK"/>
            </w:rPr>
            <w:t xml:space="preserve"> and</w:t>
          </w:r>
          <w:r w:rsidRPr="001D1B80">
            <w:t xml:space="preserve"> dynamics of toxic</w:t>
          </w:r>
          <w:r w:rsidRPr="001D1B80">
            <w:rPr>
              <w:lang w:val="da-DK"/>
            </w:rPr>
            <w:t xml:space="preserve"> and</w:t>
          </w:r>
          <w:r w:rsidRPr="001D1B80">
            <w:t xml:space="preserve"> non-toxic strains of Microcystis </w:t>
          </w:r>
        </w:p>
        <w:p w:rsidR="00BE29C7" w:rsidRPr="001D1B80" w:rsidRDefault="00BE29C7" w:rsidP="001D1B80">
          <w:pPr>
            <w:pStyle w:val="RfrencesAcknoledgment"/>
          </w:pPr>
          <w:r w:rsidRPr="001D1B80">
            <w:t>during cyanobacteria blooms. Harmful Algae</w:t>
          </w:r>
          <w:r w:rsidRPr="001D1B80">
            <w:rPr>
              <w:lang w:val="ca-ES"/>
            </w:rPr>
            <w:t xml:space="preserve"> 8, 715–725.</w:t>
          </w:r>
        </w:p>
        <w:p w:rsidR="001C5E4B" w:rsidRPr="001D1B80" w:rsidRDefault="00BE29C7" w:rsidP="001D1B80">
          <w:pPr>
            <w:pStyle w:val="RfrencesAcknoledgment"/>
            <w:ind w:firstLine="0"/>
            <w:rPr>
              <w:lang w:val="sl-SI"/>
            </w:rPr>
          </w:pPr>
          <w:r w:rsidRPr="001D1B80">
            <w:t>Dena,</w:t>
          </w:r>
          <w:r w:rsidRPr="001D1B80">
            <w:rPr>
              <w:lang w:val="sl-SI"/>
            </w:rPr>
            <w:t xml:space="preserve"> D.,</w:t>
          </w:r>
          <w:r w:rsidRPr="001D1B80">
            <w:t xml:space="preserve"> Mohd Zobir Bin,</w:t>
          </w:r>
          <w:r w:rsidRPr="001D1B80">
            <w:rPr>
              <w:lang w:val="sl-SI"/>
            </w:rPr>
            <w:t xml:space="preserve"> H., Aminu</w:t>
          </w:r>
          <w:r w:rsidRPr="001D1B80">
            <w:t xml:space="preserve"> Umar,</w:t>
          </w:r>
          <w:r w:rsidRPr="001D1B80">
            <w:rPr>
              <w:lang w:val="sl-SI"/>
            </w:rPr>
            <w:t xml:space="preserve"> K.,</w:t>
          </w:r>
          <w:r w:rsidRPr="001D1B80">
            <w:t xml:space="preserve"> Sharida,</w:t>
          </w:r>
          <w:r w:rsidRPr="001D1B80">
            <w:rPr>
              <w:lang w:val="da-DK"/>
            </w:rPr>
            <w:t xml:space="preserve"> F.,</w:t>
          </w:r>
          <w:r w:rsidRPr="001D1B80">
            <w:t xml:space="preserve"> Abdul</w:t>
          </w:r>
          <w:r w:rsidRPr="001D1B80">
            <w:rPr>
              <w:lang w:val="fi-FI"/>
            </w:rPr>
            <w:t xml:space="preserve"> Halim,</w:t>
          </w:r>
          <w:r w:rsidRPr="001D1B80">
            <w:rPr>
              <w:lang w:val="sl-SI"/>
            </w:rPr>
            <w:t xml:space="preserve"> S.,</w:t>
          </w:r>
          <w:r w:rsidRPr="001D1B80">
            <w:t xml:space="preserve"> Zalinah,</w:t>
          </w:r>
          <w:r w:rsidRPr="001D1B80">
            <w:rPr>
              <w:lang w:val="sl-SI"/>
            </w:rPr>
            <w:t xml:space="preserve"> </w:t>
          </w:r>
        </w:p>
        <w:p w:rsidR="001C5E4B" w:rsidRPr="001D1B80" w:rsidRDefault="00BE29C7" w:rsidP="001D1B80">
          <w:pPr>
            <w:pStyle w:val="RfrencesAcknoledgment"/>
          </w:pPr>
          <w:r w:rsidRPr="001D1B80">
            <w:rPr>
              <w:lang w:val="sl-SI"/>
            </w:rPr>
            <w:t>A.,</w:t>
          </w:r>
          <w:r w:rsidRPr="001D1B80">
            <w:rPr>
              <w:lang w:val="ca-ES"/>
            </w:rPr>
            <w:t xml:space="preserve"> 2012.</w:t>
          </w:r>
          <w:r w:rsidRPr="001D1B80">
            <w:t xml:space="preserve"> Preparation of Fe3O4 magnetic nanoparticles coated with gallic acid</w:t>
          </w:r>
          <w:r w:rsidRPr="001D1B80">
            <w:rPr>
              <w:lang w:val="pt-BR"/>
            </w:rPr>
            <w:t xml:space="preserve"> for</w:t>
          </w:r>
          <w:r w:rsidRPr="001D1B80">
            <w:rPr>
              <w:lang w:val="sl-SI"/>
            </w:rPr>
            <w:t xml:space="preserve"> drug</w:t>
          </w:r>
          <w:r w:rsidRPr="001D1B80">
            <w:t xml:space="preserve"> </w:t>
          </w:r>
        </w:p>
        <w:p w:rsidR="00BE29C7" w:rsidRPr="001D1B80" w:rsidRDefault="00BE29C7" w:rsidP="001D1B80">
          <w:pPr>
            <w:pStyle w:val="RfrencesAcknoledgment"/>
            <w:rPr>
              <w:lang w:val="pt-BR"/>
            </w:rPr>
          </w:pPr>
          <w:r w:rsidRPr="001D1B80">
            <w:t>delivery.</w:t>
          </w:r>
          <w:r w:rsidRPr="001D1B80">
            <w:rPr>
              <w:lang w:val="nl-NL"/>
            </w:rPr>
            <w:t xml:space="preserve"> Int.</w:t>
          </w:r>
          <w:r w:rsidRPr="001D1B80">
            <w:rPr>
              <w:lang w:val="da-DK"/>
            </w:rPr>
            <w:t xml:space="preserve"> J.</w:t>
          </w:r>
          <w:r w:rsidRPr="001D1B80">
            <w:t xml:space="preserve"> Nanomedicine</w:t>
          </w:r>
          <w:r w:rsidRPr="001D1B80">
            <w:rPr>
              <w:lang w:val="ca-ES"/>
            </w:rPr>
            <w:t xml:space="preserve"> 7, 5745–5756.</w:t>
          </w:r>
        </w:p>
        <w:p w:rsidR="001C5E4B" w:rsidRPr="001D1B80" w:rsidRDefault="00BE29C7" w:rsidP="001D1B80">
          <w:pPr>
            <w:pStyle w:val="RfrencesAcknoledgment"/>
            <w:ind w:firstLine="0"/>
          </w:pPr>
          <w:r w:rsidRPr="001D1B80">
            <w:rPr>
              <w:lang w:val="pt-BR"/>
            </w:rPr>
            <w:t>Diamantino,</w:t>
          </w:r>
          <w:r w:rsidRPr="001D1B80">
            <w:t xml:space="preserve"> T.C.,</w:t>
          </w:r>
          <w:r w:rsidRPr="001D1B80">
            <w:rPr>
              <w:lang w:val="pt-BR"/>
            </w:rPr>
            <w:t xml:space="preserve"> Almeida, E., Soares,</w:t>
          </w:r>
          <w:r w:rsidRPr="001D1B80">
            <w:t xml:space="preserve"> A.M.V.M., Guilhermino,</w:t>
          </w:r>
          <w:r w:rsidRPr="001D1B80">
            <w:rPr>
              <w:lang w:val="sl-SI"/>
            </w:rPr>
            <w:t xml:space="preserve"> L.,</w:t>
          </w:r>
          <w:r w:rsidRPr="001D1B80">
            <w:rPr>
              <w:lang w:val="ca-ES"/>
            </w:rPr>
            <w:t xml:space="preserve"> 2001.</w:t>
          </w:r>
          <w:r w:rsidRPr="001D1B80">
            <w:t xml:space="preserve"> Lactate </w:t>
          </w:r>
        </w:p>
        <w:p w:rsidR="001C5E4B" w:rsidRPr="001D1B80" w:rsidRDefault="00BE29C7" w:rsidP="001D1B80">
          <w:pPr>
            <w:pStyle w:val="RfrencesAcknoledgment"/>
          </w:pPr>
          <w:r w:rsidRPr="001D1B80">
            <w:t>dehydroge</w:t>
          </w:r>
          <w:r w:rsidRPr="001D1B80">
            <w:softHyphen/>
            <w:t>nase activity</w:t>
          </w:r>
          <w:r w:rsidRPr="001D1B80">
            <w:rPr>
              <w:lang w:val="sl-SI"/>
            </w:rPr>
            <w:t xml:space="preserve"> as</w:t>
          </w:r>
          <w:r w:rsidRPr="001D1B80">
            <w:rPr>
              <w:lang w:val="cs-CZ"/>
            </w:rPr>
            <w:t xml:space="preserve"> an</w:t>
          </w:r>
          <w:r w:rsidRPr="001D1B80">
            <w:t xml:space="preserve"> effect criterion</w:t>
          </w:r>
          <w:r w:rsidRPr="001D1B80">
            <w:rPr>
              <w:lang w:val="sl-SI"/>
            </w:rPr>
            <w:t xml:space="preserve"> in</w:t>
          </w:r>
          <w:r w:rsidRPr="001D1B80">
            <w:t xml:space="preserve"> toxicity</w:t>
          </w:r>
          <w:r w:rsidRPr="001D1B80">
            <w:rPr>
              <w:lang w:val="da-DK"/>
            </w:rPr>
            <w:t xml:space="preserve"> tests</w:t>
          </w:r>
          <w:r w:rsidRPr="001D1B80">
            <w:t xml:space="preserve"> with Daphnia</w:t>
          </w:r>
          <w:r w:rsidRPr="001D1B80">
            <w:rPr>
              <w:lang w:val="pt-BR"/>
            </w:rPr>
            <w:t xml:space="preserve"> magna</w:t>
          </w:r>
          <w:r w:rsidRPr="001D1B80">
            <w:t xml:space="preserve"> </w:t>
          </w:r>
        </w:p>
        <w:p w:rsidR="00BE29C7" w:rsidRPr="001D1B80" w:rsidRDefault="00BE29C7" w:rsidP="001D1B80">
          <w:pPr>
            <w:pStyle w:val="RfrencesAcknoledgment"/>
          </w:pPr>
          <w:r w:rsidRPr="001D1B80">
            <w:t>straus. Chemosphere</w:t>
          </w:r>
          <w:r w:rsidRPr="001D1B80">
            <w:rPr>
              <w:lang w:val="ca-ES"/>
            </w:rPr>
            <w:t xml:space="preserve"> 45, 553–560.</w:t>
          </w:r>
        </w:p>
        <w:p w:rsidR="001C5E4B" w:rsidRPr="001D1B80" w:rsidRDefault="00BE29C7" w:rsidP="001D1B80">
          <w:pPr>
            <w:pStyle w:val="RfrencesAcknoledgment"/>
            <w:ind w:firstLine="0"/>
          </w:pPr>
          <w:r w:rsidRPr="001D1B80">
            <w:t>Drotar,</w:t>
          </w:r>
          <w:r w:rsidRPr="001D1B80">
            <w:rPr>
              <w:lang w:val="sl-SI"/>
            </w:rPr>
            <w:t xml:space="preserve"> A.,</w:t>
          </w:r>
          <w:r w:rsidRPr="001D1B80">
            <w:t xml:space="preserve"> Phelps,</w:t>
          </w:r>
          <w:r w:rsidRPr="001D1B80">
            <w:rPr>
              <w:lang w:val="da-DK"/>
            </w:rPr>
            <w:t xml:space="preserve"> P.,</w:t>
          </w:r>
          <w:r w:rsidRPr="001D1B80">
            <w:t xml:space="preserve"> Fall,</w:t>
          </w:r>
          <w:r w:rsidRPr="001D1B80">
            <w:rPr>
              <w:lang w:val="pt-BR"/>
            </w:rPr>
            <w:t xml:space="preserve"> R.,</w:t>
          </w:r>
          <w:r w:rsidRPr="001D1B80">
            <w:rPr>
              <w:lang w:val="ca-ES"/>
            </w:rPr>
            <w:t xml:space="preserve"> 1985.</w:t>
          </w:r>
          <w:r w:rsidRPr="001D1B80">
            <w:rPr>
              <w:lang w:val="sl-SI"/>
            </w:rPr>
            <w:t xml:space="preserve"> Evidence</w:t>
          </w:r>
          <w:r w:rsidRPr="001D1B80">
            <w:rPr>
              <w:lang w:val="pt-BR"/>
            </w:rPr>
            <w:t xml:space="preserve"> for</w:t>
          </w:r>
          <w:r w:rsidRPr="001D1B80">
            <w:t xml:space="preserve"> Glutathione Peroxidase Activities</w:t>
          </w:r>
          <w:r w:rsidRPr="001D1B80">
            <w:rPr>
              <w:lang w:val="sl-SI"/>
            </w:rPr>
            <w:t xml:space="preserve"> in</w:t>
          </w:r>
          <w:r w:rsidRPr="001D1B80">
            <w:t xml:space="preserve"> </w:t>
          </w:r>
        </w:p>
        <w:p w:rsidR="00BE29C7" w:rsidRPr="001D1B80" w:rsidRDefault="00BE29C7" w:rsidP="001D1B80">
          <w:pPr>
            <w:pStyle w:val="RfrencesAcknoledgment"/>
          </w:pPr>
          <w:r w:rsidRPr="001D1B80">
            <w:t>Cul</w:t>
          </w:r>
          <w:r w:rsidRPr="001D1B80">
            <w:softHyphen/>
            <w:t>tured</w:t>
          </w:r>
          <w:r w:rsidRPr="001D1B80">
            <w:rPr>
              <w:lang w:val="da-DK"/>
            </w:rPr>
            <w:t xml:space="preserve"> Plant</w:t>
          </w:r>
          <w:r w:rsidRPr="001D1B80">
            <w:t xml:space="preserve"> Cells. Elsevier, Shannon, Ireland.</w:t>
          </w:r>
        </w:p>
        <w:p w:rsidR="001C5E4B" w:rsidRPr="001D1B80" w:rsidRDefault="00BE29C7" w:rsidP="001D1B80">
          <w:pPr>
            <w:pStyle w:val="RfrencesAcknoledgment"/>
            <w:ind w:firstLine="0"/>
          </w:pPr>
          <w:r w:rsidRPr="001D1B80">
            <w:t>Dziga,</w:t>
          </w:r>
          <w:r w:rsidRPr="001D1B80">
            <w:rPr>
              <w:lang w:val="sl-SI"/>
            </w:rPr>
            <w:t xml:space="preserve"> D.,</w:t>
          </w:r>
          <w:r w:rsidRPr="001D1B80">
            <w:t xml:space="preserve"> Suda,</w:t>
          </w:r>
          <w:r w:rsidRPr="001D1B80">
            <w:rPr>
              <w:lang w:val="sl-SI"/>
            </w:rPr>
            <w:t xml:space="preserve"> M.,</w:t>
          </w:r>
          <w:r w:rsidRPr="001D1B80">
            <w:t xml:space="preserve"> Bialczyk,</w:t>
          </w:r>
          <w:r w:rsidRPr="001D1B80">
            <w:rPr>
              <w:lang w:val="da-DK"/>
            </w:rPr>
            <w:t xml:space="preserve"> J.,</w:t>
          </w:r>
          <w:r w:rsidRPr="001D1B80">
            <w:t xml:space="preserve"> Czaja-Prokop,</w:t>
          </w:r>
          <w:r w:rsidRPr="001D1B80">
            <w:rPr>
              <w:lang w:val="cs-CZ"/>
            </w:rPr>
            <w:t xml:space="preserve"> U.,</w:t>
          </w:r>
          <w:r w:rsidRPr="001D1B80">
            <w:t xml:space="preserve"> Lechowski,</w:t>
          </w:r>
          <w:r w:rsidRPr="001D1B80">
            <w:rPr>
              <w:lang w:val="sl-SI"/>
            </w:rPr>
            <w:t xml:space="preserve"> Z.,</w:t>
          </w:r>
          <w:r w:rsidRPr="001D1B80">
            <w:rPr>
              <w:lang w:val="ca-ES"/>
            </w:rPr>
            <w:t xml:space="preserve"> 2007.</w:t>
          </w:r>
          <w:r w:rsidRPr="001D1B80">
            <w:t xml:space="preserve"> The alteration </w:t>
          </w:r>
        </w:p>
        <w:p w:rsidR="001C5E4B" w:rsidRPr="001D1B80" w:rsidRDefault="00BE29C7" w:rsidP="001D1B80">
          <w:pPr>
            <w:pStyle w:val="RfrencesAcknoledgment"/>
          </w:pPr>
          <w:r w:rsidRPr="001D1B80">
            <w:t>of Microcystis</w:t>
          </w:r>
          <w:r w:rsidRPr="001D1B80">
            <w:rPr>
              <w:lang w:val="pt-BR"/>
            </w:rPr>
            <w:t xml:space="preserve"> aeruginosa</w:t>
          </w:r>
          <w:r w:rsidRPr="001D1B80">
            <w:t xml:space="preserve"> biomass</w:t>
          </w:r>
          <w:r w:rsidRPr="001D1B80">
            <w:rPr>
              <w:lang w:val="da-DK"/>
            </w:rPr>
            <w:t xml:space="preserve"> and</w:t>
          </w:r>
          <w:r w:rsidRPr="001D1B80">
            <w:t xml:space="preserve"> dissolved microcystin-LR concentration </w:t>
          </w:r>
        </w:p>
        <w:p w:rsidR="00BE29C7" w:rsidRPr="001D1B80" w:rsidRDefault="00BE29C7" w:rsidP="001D1B80">
          <w:pPr>
            <w:pStyle w:val="RfrencesAcknoledgment"/>
            <w:rPr>
              <w:lang w:val="ca-ES"/>
            </w:rPr>
          </w:pPr>
          <w:r w:rsidRPr="001D1B80">
            <w:t>following exposure</w:t>
          </w:r>
          <w:r w:rsidRPr="001D1B80">
            <w:rPr>
              <w:lang w:val="sl-SI"/>
            </w:rPr>
            <w:t xml:space="preserve"> to</w:t>
          </w:r>
          <w:r w:rsidRPr="001D1B80">
            <w:rPr>
              <w:lang w:val="da-DK"/>
            </w:rPr>
            <w:t xml:space="preserve"> plant</w:t>
          </w:r>
          <w:r w:rsidRPr="001D1B80">
            <w:t xml:space="preserve">-producing phenols. </w:t>
          </w:r>
          <w:r w:rsidRPr="001D1B80">
            <w:rPr>
              <w:lang w:val="fr-FR"/>
            </w:rPr>
            <w:t>Environ. Toxicol.</w:t>
          </w:r>
          <w:r w:rsidRPr="001D1B80">
            <w:rPr>
              <w:lang w:val="ca-ES"/>
            </w:rPr>
            <w:t xml:space="preserve"> 22, 341–346.</w:t>
          </w:r>
        </w:p>
        <w:p w:rsidR="001C5E4B" w:rsidRPr="001D1B80" w:rsidRDefault="001C5E4B" w:rsidP="001D1B80">
          <w:pPr>
            <w:pStyle w:val="RfrencesAcknoledgment"/>
            <w:ind w:firstLine="0"/>
          </w:pPr>
          <w:r w:rsidRPr="001D1B80">
            <w:rPr>
              <w:lang w:val="fr-FR"/>
            </w:rPr>
            <w:t>Galati,</w:t>
          </w:r>
          <w:r w:rsidRPr="001D1B80">
            <w:rPr>
              <w:lang w:val="sl-SI"/>
            </w:rPr>
            <w:t xml:space="preserve"> G.,</w:t>
          </w:r>
          <w:r w:rsidRPr="001D1B80">
            <w:rPr>
              <w:lang w:val="fr-FR"/>
            </w:rPr>
            <w:t xml:space="preserve"> O'Brien, P.J.,</w:t>
          </w:r>
          <w:r w:rsidRPr="001D1B80">
            <w:rPr>
              <w:lang w:val="ca-ES"/>
            </w:rPr>
            <w:t xml:space="preserve"> 2004.</w:t>
          </w:r>
          <w:r w:rsidRPr="001D1B80">
            <w:rPr>
              <w:lang w:val="fr-FR"/>
            </w:rPr>
            <w:t xml:space="preserve"> </w:t>
          </w:r>
          <w:r w:rsidRPr="001D1B80">
            <w:t>Potential toxicity of flavonoids</w:t>
          </w:r>
          <w:r w:rsidRPr="001D1B80">
            <w:rPr>
              <w:lang w:val="da-DK"/>
            </w:rPr>
            <w:t xml:space="preserve"> and</w:t>
          </w:r>
          <w:r w:rsidRPr="001D1B80">
            <w:t xml:space="preserve"> other dietary </w:t>
          </w:r>
        </w:p>
        <w:p w:rsidR="001C5E4B" w:rsidRPr="001D1B80" w:rsidRDefault="001C5E4B" w:rsidP="001D1B80">
          <w:pPr>
            <w:pStyle w:val="RfrencesAcknoledgment"/>
          </w:pPr>
          <w:r w:rsidRPr="001D1B80">
            <w:t>phenolics: significance</w:t>
          </w:r>
          <w:r w:rsidRPr="001D1B80">
            <w:rPr>
              <w:lang w:val="pt-BR"/>
            </w:rPr>
            <w:t xml:space="preserve"> for</w:t>
          </w:r>
          <w:r w:rsidRPr="001D1B80">
            <w:t xml:space="preserve"> their chemopreventive</w:t>
          </w:r>
          <w:r w:rsidRPr="001D1B80">
            <w:rPr>
              <w:lang w:val="da-DK"/>
            </w:rPr>
            <w:t xml:space="preserve"> and</w:t>
          </w:r>
          <w:r w:rsidRPr="001D1B80">
            <w:t xml:space="preserve"> anticancer properties. Free </w:t>
          </w:r>
        </w:p>
        <w:p w:rsidR="001C5E4B" w:rsidRPr="001D1B80" w:rsidRDefault="001C5E4B" w:rsidP="001D1B80">
          <w:pPr>
            <w:pStyle w:val="RfrencesAcknoledgment"/>
          </w:pPr>
          <w:r w:rsidRPr="001D1B80">
            <w:t>Radic.</w:t>
          </w:r>
          <w:r w:rsidRPr="001D1B80">
            <w:rPr>
              <w:lang w:val="sl-SI"/>
            </w:rPr>
            <w:t xml:space="preserve"> Biol. Med.</w:t>
          </w:r>
          <w:r w:rsidRPr="001D1B80">
            <w:rPr>
              <w:lang w:val="ca-ES"/>
            </w:rPr>
            <w:t xml:space="preserve"> 37, 287–303.</w:t>
          </w:r>
        </w:p>
        <w:p w:rsidR="001C5E4B" w:rsidRPr="001D1B80" w:rsidRDefault="001C5E4B" w:rsidP="001D1B80">
          <w:pPr>
            <w:pStyle w:val="RfrencesAcknoledgment"/>
            <w:ind w:firstLine="0"/>
          </w:pPr>
          <w:r w:rsidRPr="001D1B80">
            <w:t>Georgieva,</w:t>
          </w:r>
          <w:r w:rsidRPr="001D1B80">
            <w:rPr>
              <w:lang w:val="pt-BR"/>
            </w:rPr>
            <w:t xml:space="preserve"> E.,</w:t>
          </w:r>
          <w:r w:rsidRPr="001D1B80">
            <w:t xml:space="preserve"> Stoyanova,</w:t>
          </w:r>
          <w:r w:rsidRPr="001D1B80">
            <w:rPr>
              <w:lang w:val="sl-SI"/>
            </w:rPr>
            <w:t xml:space="preserve"> S.,</w:t>
          </w:r>
          <w:r w:rsidRPr="001D1B80">
            <w:t xml:space="preserve"> Velcheva,</w:t>
          </w:r>
          <w:r w:rsidRPr="001D1B80">
            <w:rPr>
              <w:lang w:val="sl-SI"/>
            </w:rPr>
            <w:t xml:space="preserve"> I.,</w:t>
          </w:r>
          <w:r w:rsidRPr="001D1B80">
            <w:t xml:space="preserve"> Vasileva,</w:t>
          </w:r>
          <w:r w:rsidRPr="001D1B80">
            <w:rPr>
              <w:lang w:val="sl-SI"/>
            </w:rPr>
            <w:t xml:space="preserve"> T.,</w:t>
          </w:r>
          <w:r w:rsidRPr="001D1B80">
            <w:t xml:space="preserve"> Bivolarski,</w:t>
          </w:r>
          <w:r w:rsidRPr="001D1B80">
            <w:rPr>
              <w:lang w:val="sl-SI"/>
            </w:rPr>
            <w:t xml:space="preserve"> V.,</w:t>
          </w:r>
          <w:r w:rsidRPr="001D1B80">
            <w:t xml:space="preserve"> Iliev,</w:t>
          </w:r>
          <w:r w:rsidRPr="001D1B80">
            <w:rPr>
              <w:lang w:val="sl-SI"/>
            </w:rPr>
            <w:t xml:space="preserve"> I.,</w:t>
          </w:r>
          <w:r w:rsidRPr="001D1B80">
            <w:t xml:space="preserve"> </w:t>
          </w:r>
        </w:p>
        <w:p w:rsidR="001C5E4B" w:rsidRPr="001D1B80" w:rsidRDefault="001C5E4B" w:rsidP="001D1B80">
          <w:pPr>
            <w:pStyle w:val="RfrencesAcknoledgment"/>
          </w:pPr>
          <w:r w:rsidRPr="001D1B80">
            <w:t>Yancheva,</w:t>
          </w:r>
          <w:r w:rsidRPr="001D1B80">
            <w:rPr>
              <w:lang w:val="sl-SI"/>
            </w:rPr>
            <w:t xml:space="preserve"> V.,</w:t>
          </w:r>
          <w:r w:rsidRPr="001D1B80">
            <w:rPr>
              <w:lang w:val="ca-ES"/>
            </w:rPr>
            <w:t xml:space="preserve"> 2014.</w:t>
          </w:r>
          <w:r w:rsidRPr="001D1B80">
            <w:rPr>
              <w:lang w:val="sl-SI"/>
            </w:rPr>
            <w:t xml:space="preserve"> Metal</w:t>
          </w:r>
          <w:r w:rsidRPr="001D1B80">
            <w:t xml:space="preserve"> effects</w:t>
          </w:r>
          <w:r w:rsidRPr="001D1B80">
            <w:rPr>
              <w:lang w:val="sl-SI"/>
            </w:rPr>
            <w:t xml:space="preserve"> on</w:t>
          </w:r>
          <w:r w:rsidRPr="001D1B80">
            <w:t xml:space="preserve"> histological</w:t>
          </w:r>
          <w:r w:rsidRPr="001D1B80">
            <w:rPr>
              <w:lang w:val="da-DK"/>
            </w:rPr>
            <w:t xml:space="preserve"> and</w:t>
          </w:r>
          <w:r w:rsidRPr="001D1B80">
            <w:t xml:space="preserve"> biochemical parameters of </w:t>
          </w:r>
        </w:p>
        <w:p w:rsidR="001C5E4B" w:rsidRPr="001D1B80" w:rsidRDefault="001C5E4B" w:rsidP="001D1B80">
          <w:pPr>
            <w:pStyle w:val="RfrencesAcknoledgment"/>
          </w:pPr>
          <w:r w:rsidRPr="001D1B80">
            <w:t>common</w:t>
          </w:r>
          <w:r w:rsidRPr="001D1B80">
            <w:rPr>
              <w:lang w:val="nb-NO"/>
            </w:rPr>
            <w:t xml:space="preserve"> rudd</w:t>
          </w:r>
          <w:r w:rsidRPr="001D1B80">
            <w:t xml:space="preserve"> (Scardinius erythrophthalmus</w:t>
          </w:r>
          <w:r w:rsidRPr="001D1B80">
            <w:rPr>
              <w:lang w:val="sl-SI"/>
            </w:rPr>
            <w:t xml:space="preserve"> L.).</w:t>
          </w:r>
          <w:r w:rsidRPr="001D1B80">
            <w:t xml:space="preserve"> Arch.</w:t>
          </w:r>
          <w:r w:rsidRPr="001D1B80">
            <w:rPr>
              <w:lang w:val="sl-SI"/>
            </w:rPr>
            <w:t xml:space="preserve"> Pol.</w:t>
          </w:r>
          <w:r w:rsidRPr="001D1B80">
            <w:t xml:space="preserve"> Fish.</w:t>
          </w:r>
          <w:r w:rsidRPr="001D1B80">
            <w:rPr>
              <w:lang w:val="ca-ES"/>
            </w:rPr>
            <w:t xml:space="preserve"> 197.</w:t>
          </w:r>
        </w:p>
        <w:p w:rsidR="001C5E4B" w:rsidRPr="001D1B80" w:rsidRDefault="001C5E4B" w:rsidP="001D1B80">
          <w:pPr>
            <w:pStyle w:val="RfrencesAcknoledgment"/>
            <w:ind w:firstLine="0"/>
            <w:rPr>
              <w:lang w:val="da-DK"/>
            </w:rPr>
          </w:pPr>
          <w:r w:rsidRPr="001D1B80">
            <w:t>Gerhardt,</w:t>
          </w:r>
          <w:r w:rsidRPr="001D1B80">
            <w:rPr>
              <w:lang w:val="sl-SI"/>
            </w:rPr>
            <w:t xml:space="preserve"> A.,</w:t>
          </w:r>
          <w:r w:rsidRPr="001D1B80">
            <w:t xml:space="preserve"> Bloor,</w:t>
          </w:r>
          <w:r w:rsidRPr="001D1B80">
            <w:rPr>
              <w:lang w:val="sl-SI"/>
            </w:rPr>
            <w:t xml:space="preserve"> M.,</w:t>
          </w:r>
          <w:r w:rsidRPr="001D1B80">
            <w:t xml:space="preserve"> Mills, C.L.,</w:t>
          </w:r>
          <w:r w:rsidRPr="001D1B80">
            <w:rPr>
              <w:lang w:val="ca-ES"/>
            </w:rPr>
            <w:t xml:space="preserve"> 2011.</w:t>
          </w:r>
          <w:r w:rsidRPr="001D1B80">
            <w:rPr>
              <w:lang w:val="da-DK"/>
            </w:rPr>
            <w:t xml:space="preserve"> Gammarus:</w:t>
          </w:r>
          <w:r w:rsidRPr="001D1B80">
            <w:t xml:space="preserve"> important</w:t>
          </w:r>
          <w:r w:rsidRPr="001D1B80">
            <w:rPr>
              <w:lang w:val="nl-NL"/>
            </w:rPr>
            <w:t xml:space="preserve"> taxon</w:t>
          </w:r>
          <w:r w:rsidRPr="001D1B80">
            <w:rPr>
              <w:lang w:val="sl-SI"/>
            </w:rPr>
            <w:t xml:space="preserve"> in</w:t>
          </w:r>
          <w:r w:rsidRPr="001D1B80">
            <w:t xml:space="preserve"> freshwater</w:t>
          </w:r>
          <w:r w:rsidRPr="001D1B80">
            <w:rPr>
              <w:lang w:val="da-DK"/>
            </w:rPr>
            <w:t xml:space="preserve"> </w:t>
          </w:r>
        </w:p>
        <w:p w:rsidR="001C5E4B" w:rsidRPr="001D1B80" w:rsidRDefault="001C5E4B" w:rsidP="001D1B80">
          <w:pPr>
            <w:pStyle w:val="RfrencesAcknoledgment"/>
            <w:rPr>
              <w:lang w:val="nl-NL"/>
            </w:rPr>
          </w:pPr>
          <w:r w:rsidRPr="001D1B80">
            <w:rPr>
              <w:lang w:val="da-DK"/>
            </w:rPr>
            <w:t>and</w:t>
          </w:r>
          <w:r w:rsidRPr="001D1B80">
            <w:rPr>
              <w:lang w:val="sl-SI"/>
            </w:rPr>
            <w:t xml:space="preserve"> marine</w:t>
          </w:r>
          <w:r w:rsidRPr="001D1B80">
            <w:t xml:space="preserve"> changing environments.</w:t>
          </w:r>
          <w:r w:rsidRPr="001D1B80">
            <w:rPr>
              <w:lang w:val="nl-NL"/>
            </w:rPr>
            <w:t xml:space="preserve"> Int.</w:t>
          </w:r>
          <w:r w:rsidRPr="001D1B80">
            <w:rPr>
              <w:lang w:val="da-DK"/>
            </w:rPr>
            <w:t xml:space="preserve"> J.</w:t>
          </w:r>
          <w:r w:rsidRPr="001D1B80">
            <w:rPr>
              <w:lang w:val="nl-NL"/>
            </w:rPr>
            <w:t xml:space="preserve"> Zool.</w:t>
          </w:r>
        </w:p>
        <w:p w:rsidR="001C5E4B" w:rsidRPr="001D1B80" w:rsidRDefault="00D27E5B" w:rsidP="001D1B80">
          <w:pPr>
            <w:pStyle w:val="RfrencesAcknoledgment"/>
            <w:rPr>
              <w:lang w:val="sl-SI"/>
            </w:rPr>
          </w:pPr>
          <w:hyperlink r:id="rId15" w:history="1">
            <w:r w:rsidR="001C5E4B" w:rsidRPr="001D1B80">
              <w:rPr>
                <w:rStyle w:val="Lienhypertexte"/>
                <w:lang w:val="fr-FR"/>
              </w:rPr>
              <w:t>http://dx.doi.org/10.1155/2011/524276</w:t>
            </w:r>
          </w:hyperlink>
          <w:r w:rsidR="001C5E4B" w:rsidRPr="001D1B80">
            <w:rPr>
              <w:lang w:val="ca-ES"/>
            </w:rPr>
            <w:t xml:space="preserve"> (2</w:t>
          </w:r>
          <w:r w:rsidR="001C5E4B" w:rsidRPr="001D1B80">
            <w:rPr>
              <w:lang w:val="fr-FR"/>
            </w:rPr>
            <w:t xml:space="preserve"> pp.).</w:t>
          </w:r>
        </w:p>
        <w:p w:rsidR="001C5E4B" w:rsidRPr="001D1B80" w:rsidRDefault="001C5E4B" w:rsidP="001D1B80">
          <w:pPr>
            <w:pStyle w:val="RfrencesAcknoledgment"/>
            <w:ind w:firstLine="0"/>
          </w:pPr>
          <w:r w:rsidRPr="001D1B80">
            <w:rPr>
              <w:lang w:val="sl-SI"/>
            </w:rPr>
            <w:t>Gross,</w:t>
          </w:r>
          <w:r w:rsidRPr="001D1B80">
            <w:t xml:space="preserve"> E.M.,</w:t>
          </w:r>
          <w:r w:rsidRPr="001D1B80">
            <w:rPr>
              <w:lang w:val="ca-ES"/>
            </w:rPr>
            <w:t xml:space="preserve"> 1999.</w:t>
          </w:r>
          <w:r w:rsidRPr="001D1B80">
            <w:t xml:space="preserve"> Allelopathy</w:t>
          </w:r>
          <w:r w:rsidRPr="001D1B80">
            <w:rPr>
              <w:lang w:val="sl-SI"/>
            </w:rPr>
            <w:t xml:space="preserve"> in</w:t>
          </w:r>
          <w:r w:rsidRPr="001D1B80">
            <w:t xml:space="preserve"> benthic</w:t>
          </w:r>
          <w:r w:rsidRPr="001D1B80">
            <w:rPr>
              <w:lang w:val="da-DK"/>
            </w:rPr>
            <w:t xml:space="preserve"> and</w:t>
          </w:r>
          <w:r w:rsidRPr="001D1B80">
            <w:t xml:space="preserve"> littoral areas:</w:t>
          </w:r>
          <w:r w:rsidRPr="001D1B80">
            <w:rPr>
              <w:lang w:val="pt-BR"/>
            </w:rPr>
            <w:t xml:space="preserve"> case</w:t>
          </w:r>
          <w:r w:rsidRPr="001D1B80">
            <w:rPr>
              <w:lang w:val="da-DK"/>
            </w:rPr>
            <w:t xml:space="preserve"> studies</w:t>
          </w:r>
          <w:r w:rsidRPr="001D1B80">
            <w:rPr>
              <w:lang w:val="sl-SI"/>
            </w:rPr>
            <w:t xml:space="preserve"> on</w:t>
          </w:r>
          <w:r w:rsidRPr="001D1B80">
            <w:t xml:space="preserve"> </w:t>
          </w:r>
        </w:p>
        <w:p w:rsidR="001C5E4B" w:rsidRPr="001D1B80" w:rsidRDefault="001C5E4B" w:rsidP="001D1B80">
          <w:pPr>
            <w:pStyle w:val="RfrencesAcknoledgment"/>
          </w:pPr>
          <w:r w:rsidRPr="001D1B80">
            <w:t>allelochemicals from benthic cyanobacteria</w:t>
          </w:r>
          <w:r w:rsidRPr="001D1B80">
            <w:rPr>
              <w:lang w:val="da-DK"/>
            </w:rPr>
            <w:t xml:space="preserve"> and</w:t>
          </w:r>
          <w:r w:rsidRPr="001D1B80">
            <w:t xml:space="preserve"> submersed macrophytes.</w:t>
          </w:r>
          <w:r w:rsidRPr="001D1B80">
            <w:rPr>
              <w:lang w:val="sl-SI"/>
            </w:rPr>
            <w:t xml:space="preserve"> In:</w:t>
          </w:r>
          <w:r w:rsidRPr="001D1B80">
            <w:t xml:space="preserve"> Inderjit, </w:t>
          </w:r>
        </w:p>
        <w:p w:rsidR="001C5E4B" w:rsidRPr="001D1B80" w:rsidRDefault="001C5E4B" w:rsidP="001D1B80">
          <w:pPr>
            <w:pStyle w:val="RfrencesAcknoledgment"/>
          </w:pPr>
          <w:r w:rsidRPr="001D1B80">
            <w:t>Dakshini, K.M.M., Foy, C.L.</w:t>
          </w:r>
          <w:r w:rsidRPr="001D1B80">
            <w:rPr>
              <w:lang w:val="da-DK"/>
            </w:rPr>
            <w:t xml:space="preserve"> (Eds.),</w:t>
          </w:r>
          <w:r w:rsidRPr="001D1B80">
            <w:t xml:space="preserve"> Principles</w:t>
          </w:r>
          <w:r w:rsidRPr="001D1B80">
            <w:rPr>
              <w:lang w:val="da-DK"/>
            </w:rPr>
            <w:t xml:space="preserve"> und</w:t>
          </w:r>
          <w:r w:rsidRPr="001D1B80">
            <w:t xml:space="preserve"> Practices</w:t>
          </w:r>
          <w:r w:rsidRPr="001D1B80">
            <w:rPr>
              <w:lang w:val="sl-SI"/>
            </w:rPr>
            <w:t xml:space="preserve"> in</w:t>
          </w:r>
          <w:r w:rsidRPr="001D1B80">
            <w:rPr>
              <w:lang w:val="da-DK"/>
            </w:rPr>
            <w:t xml:space="preserve"> Plant</w:t>
          </w:r>
          <w:r w:rsidRPr="001D1B80">
            <w:t xml:space="preserve"> Ecology: </w:t>
          </w:r>
        </w:p>
        <w:p w:rsidR="001C5E4B" w:rsidRPr="001D1B80" w:rsidRDefault="001C5E4B" w:rsidP="001D1B80">
          <w:pPr>
            <w:pStyle w:val="RfrencesAcknoledgment"/>
            <w:rPr>
              <w:lang w:val="sl-SI"/>
            </w:rPr>
          </w:pPr>
          <w:r w:rsidRPr="001D1B80">
            <w:t>Allelochemical In</w:t>
          </w:r>
          <w:r w:rsidRPr="001D1B80">
            <w:softHyphen/>
            <w:t>teractions. CRC Press, Boca Raton, pp.</w:t>
          </w:r>
          <w:r w:rsidRPr="001D1B80">
            <w:rPr>
              <w:lang w:val="ca-ES"/>
            </w:rPr>
            <w:t xml:space="preserve"> 179–199.</w:t>
          </w:r>
        </w:p>
        <w:p w:rsidR="001C5E4B" w:rsidRPr="001D1B80" w:rsidRDefault="001C5E4B" w:rsidP="001D1B80">
          <w:pPr>
            <w:pStyle w:val="RfrencesAcknoledgment"/>
            <w:ind w:firstLine="0"/>
            <w:rPr>
              <w:lang w:val="ca-ES"/>
            </w:rPr>
          </w:pPr>
          <w:r w:rsidRPr="001D1B80">
            <w:rPr>
              <w:lang w:val="sl-SI"/>
            </w:rPr>
            <w:t>Gross,</w:t>
          </w:r>
          <w:r w:rsidRPr="001D1B80">
            <w:t xml:space="preserve"> E.M.,</w:t>
          </w:r>
          <w:r w:rsidRPr="001D1B80">
            <w:rPr>
              <w:lang w:val="ca-ES"/>
            </w:rPr>
            <w:t xml:space="preserve"> 2003.</w:t>
          </w:r>
          <w:r w:rsidRPr="001D1B80">
            <w:t xml:space="preserve"> Allelopathy of aquatic autotrophs. Crit.</w:t>
          </w:r>
          <w:r w:rsidRPr="001D1B80">
            <w:rPr>
              <w:lang w:val="sl-SI"/>
            </w:rPr>
            <w:t xml:space="preserve"> Rev.</w:t>
          </w:r>
          <w:r w:rsidRPr="001D1B80">
            <w:rPr>
              <w:lang w:val="da-DK"/>
            </w:rPr>
            <w:t xml:space="preserve"> Plant</w:t>
          </w:r>
          <w:r w:rsidRPr="001D1B80">
            <w:rPr>
              <w:lang w:val="it-IT"/>
            </w:rPr>
            <w:t xml:space="preserve"> Sci.</w:t>
          </w:r>
          <w:r w:rsidRPr="001D1B80">
            <w:rPr>
              <w:lang w:val="ca-ES"/>
            </w:rPr>
            <w:t xml:space="preserve"> 22, 313–</w:t>
          </w:r>
        </w:p>
        <w:p w:rsidR="001C5E4B" w:rsidRPr="001D1B80" w:rsidRDefault="001C5E4B" w:rsidP="001D1B80">
          <w:pPr>
            <w:pStyle w:val="RfrencesAcknoledgment"/>
          </w:pPr>
          <w:r w:rsidRPr="001D1B80">
            <w:rPr>
              <w:lang w:val="ca-ES"/>
            </w:rPr>
            <w:t>339.</w:t>
          </w:r>
          <w:r w:rsidRPr="001D1B80">
            <w:rPr>
              <w:lang w:val="sl-SI"/>
            </w:rPr>
            <w:t xml:space="preserve"> Gross,</w:t>
          </w:r>
          <w:r w:rsidRPr="001D1B80">
            <w:t xml:space="preserve"> E.M.,</w:t>
          </w:r>
          <w:r w:rsidRPr="001D1B80">
            <w:rPr>
              <w:lang w:val="cs-CZ"/>
            </w:rPr>
            <w:t xml:space="preserve"> Meyer,</w:t>
          </w:r>
          <w:r w:rsidRPr="001D1B80">
            <w:rPr>
              <w:lang w:val="sl-SI"/>
            </w:rPr>
            <w:t xml:space="preserve"> H.,</w:t>
          </w:r>
          <w:r w:rsidRPr="001D1B80">
            <w:rPr>
              <w:lang w:val="da-DK"/>
            </w:rPr>
            <w:t xml:space="preserve"> Schilling,</w:t>
          </w:r>
          <w:r w:rsidRPr="001D1B80">
            <w:rPr>
              <w:lang w:val="sl-SI"/>
            </w:rPr>
            <w:t xml:space="preserve"> G.,</w:t>
          </w:r>
          <w:r w:rsidRPr="001D1B80">
            <w:rPr>
              <w:lang w:val="ca-ES"/>
            </w:rPr>
            <w:t xml:space="preserve"> 1996.</w:t>
          </w:r>
          <w:r w:rsidRPr="001D1B80">
            <w:rPr>
              <w:lang w:val="da-DK"/>
            </w:rPr>
            <w:t xml:space="preserve"> Release and</w:t>
          </w:r>
          <w:r w:rsidRPr="001D1B80">
            <w:t xml:space="preserve"> ecological impact of </w:t>
          </w:r>
        </w:p>
        <w:p w:rsidR="00FE206C" w:rsidRPr="001D1B80" w:rsidRDefault="001C5E4B" w:rsidP="001D1B80">
          <w:pPr>
            <w:pStyle w:val="RfrencesAcknoledgment"/>
          </w:pPr>
          <w:r w:rsidRPr="001D1B80">
            <w:t>algicidal hydro</w:t>
          </w:r>
          <w:r w:rsidRPr="001D1B80">
            <w:softHyphen/>
            <w:t>lysable polyphenols</w:t>
          </w:r>
          <w:r w:rsidRPr="001D1B80">
            <w:rPr>
              <w:lang w:val="sl-SI"/>
            </w:rPr>
            <w:t xml:space="preserve"> in</w:t>
          </w:r>
          <w:r w:rsidRPr="001D1B80">
            <w:t xml:space="preserve"> Myńophyllum spicatum. </w:t>
          </w:r>
        </w:p>
        <w:p w:rsidR="001C5E4B" w:rsidRPr="001D1B80" w:rsidRDefault="001C5E4B" w:rsidP="001D1B80">
          <w:pPr>
            <w:pStyle w:val="RfrencesAcknoledgment"/>
          </w:pPr>
          <w:r w:rsidRPr="001D1B80">
            <w:t>Phytochemistry</w:t>
          </w:r>
          <w:r w:rsidRPr="001D1B80">
            <w:rPr>
              <w:lang w:val="ca-ES"/>
            </w:rPr>
            <w:t xml:space="preserve"> 41, 133–138.</w:t>
          </w:r>
        </w:p>
        <w:p w:rsidR="001C5E4B" w:rsidRPr="001D1B80" w:rsidRDefault="001C5E4B" w:rsidP="001D1B80">
          <w:pPr>
            <w:pStyle w:val="RfrencesAcknoledgment"/>
            <w:ind w:firstLine="0"/>
          </w:pPr>
          <w:r w:rsidRPr="001D1B80">
            <w:t>Habig, W.H.,</w:t>
          </w:r>
          <w:r w:rsidRPr="001D1B80">
            <w:rPr>
              <w:lang w:val="cs-CZ"/>
            </w:rPr>
            <w:t xml:space="preserve"> Jakoby,</w:t>
          </w:r>
          <w:r w:rsidRPr="001D1B80">
            <w:t xml:space="preserve"> W.B.,</w:t>
          </w:r>
          <w:r w:rsidRPr="001D1B80">
            <w:rPr>
              <w:lang w:val="ca-ES"/>
            </w:rPr>
            <w:t xml:space="preserve"> 1981.</w:t>
          </w:r>
          <w:r w:rsidRPr="001D1B80">
            <w:t xml:space="preserve"> Assays</w:t>
          </w:r>
          <w:r w:rsidRPr="001D1B80">
            <w:rPr>
              <w:lang w:val="pt-BR"/>
            </w:rPr>
            <w:t xml:space="preserve"> for</w:t>
          </w:r>
          <w:r w:rsidRPr="001D1B80">
            <w:t xml:space="preserve"> differentiation of glutathione</w:t>
          </w:r>
          <w:r w:rsidRPr="001D1B80">
            <w:rPr>
              <w:lang w:val="sl-SI"/>
            </w:rPr>
            <w:t xml:space="preserve"> S</w:t>
          </w:r>
          <w:r w:rsidRPr="001D1B80">
            <w:t>-</w:t>
          </w:r>
        </w:p>
        <w:p w:rsidR="001C5E4B" w:rsidRPr="001D1B80" w:rsidRDefault="001C5E4B" w:rsidP="001D1B80">
          <w:pPr>
            <w:pStyle w:val="RfrencesAcknoledgment"/>
            <w:rPr>
              <w:lang w:val="sl-SI"/>
            </w:rPr>
          </w:pPr>
          <w:r w:rsidRPr="001D1B80">
            <w:t>transferases. Methods Enzymol.</w:t>
          </w:r>
          <w:r w:rsidRPr="001D1B80">
            <w:rPr>
              <w:lang w:val="ca-ES"/>
            </w:rPr>
            <w:t xml:space="preserve"> 77, 398–405.</w:t>
          </w:r>
        </w:p>
        <w:p w:rsidR="001C5E4B" w:rsidRPr="001D1B80" w:rsidRDefault="001C5E4B" w:rsidP="001D1B80">
          <w:pPr>
            <w:pStyle w:val="RfrencesAcknoledgment"/>
            <w:ind w:firstLine="0"/>
            <w:rPr>
              <w:lang w:val="da-DK"/>
            </w:rPr>
          </w:pPr>
          <w:r w:rsidRPr="001D1B80">
            <w:rPr>
              <w:lang w:val="sl-SI"/>
            </w:rPr>
            <w:t>Hermes-Lima, M.,</w:t>
          </w:r>
          <w:r w:rsidRPr="001D1B80">
            <w:rPr>
              <w:lang w:val="ca-ES"/>
            </w:rPr>
            <w:t xml:space="preserve"> 2004.</w:t>
          </w:r>
          <w:r w:rsidRPr="001D1B80">
            <w:t xml:space="preserve"> Oxygen</w:t>
          </w:r>
          <w:r w:rsidRPr="001D1B80">
            <w:rPr>
              <w:lang w:val="sl-SI"/>
            </w:rPr>
            <w:t xml:space="preserve"> in</w:t>
          </w:r>
          <w:r w:rsidRPr="001D1B80">
            <w:t xml:space="preserve"> biology</w:t>
          </w:r>
          <w:r w:rsidRPr="001D1B80">
            <w:rPr>
              <w:lang w:val="da-DK"/>
            </w:rPr>
            <w:t xml:space="preserve"> and</w:t>
          </w:r>
          <w:r w:rsidRPr="001D1B80">
            <w:t xml:space="preserve"> biochemistry:</w:t>
          </w:r>
          <w:r w:rsidRPr="001D1B80">
            <w:rPr>
              <w:lang w:val="sl-SI"/>
            </w:rPr>
            <w:t xml:space="preserve"> role</w:t>
          </w:r>
          <w:r w:rsidRPr="001D1B80">
            <w:t xml:space="preserve"> of free radicals.</w:t>
          </w:r>
          <w:r w:rsidRPr="001D1B80">
            <w:rPr>
              <w:lang w:val="sl-SI"/>
            </w:rPr>
            <w:t xml:space="preserve"> In:</w:t>
          </w:r>
          <w:r w:rsidRPr="001D1B80">
            <w:rPr>
              <w:lang w:val="da-DK"/>
            </w:rPr>
            <w:t xml:space="preserve"> </w:t>
          </w:r>
        </w:p>
        <w:p w:rsidR="001C5E4B" w:rsidRPr="001D1B80" w:rsidRDefault="001C5E4B" w:rsidP="001D1B80">
          <w:pPr>
            <w:pStyle w:val="RfrencesAcknoledgment"/>
          </w:pPr>
          <w:r w:rsidRPr="001D1B80">
            <w:rPr>
              <w:lang w:val="da-DK"/>
            </w:rPr>
            <w:t>KB,</w:t>
          </w:r>
          <w:r w:rsidRPr="001D1B80">
            <w:rPr>
              <w:lang w:val="sl-SI"/>
            </w:rPr>
            <w:t xml:space="preserve"> S. (Ed.),</w:t>
          </w:r>
          <w:r w:rsidRPr="001D1B80">
            <w:t xml:space="preserve"> Functional Metabolism: Regulation</w:t>
          </w:r>
          <w:r w:rsidRPr="001D1B80">
            <w:rPr>
              <w:lang w:val="da-DK"/>
            </w:rPr>
            <w:t xml:space="preserve"> and</w:t>
          </w:r>
          <w:r w:rsidRPr="001D1B80">
            <w:t xml:space="preserve"> Adaptation.</w:t>
          </w:r>
          <w:r w:rsidRPr="001D1B80">
            <w:rPr>
              <w:lang w:val="sl-SI"/>
            </w:rPr>
            <w:t xml:space="preserve"> John</w:t>
          </w:r>
          <w:r w:rsidRPr="001D1B80">
            <w:t xml:space="preserve"> Wiley &amp; Sons, </w:t>
          </w:r>
        </w:p>
        <w:p w:rsidR="001C5E4B" w:rsidRPr="001D1B80" w:rsidRDefault="001C5E4B" w:rsidP="001D1B80">
          <w:pPr>
            <w:pStyle w:val="RfrencesAcknoledgment"/>
            <w:rPr>
              <w:lang w:val="da-DK"/>
            </w:rPr>
          </w:pPr>
          <w:r w:rsidRPr="001D1B80">
            <w:t xml:space="preserve">Inc, Hoboken </w:t>
          </w:r>
          <w:hyperlink r:id="rId16" w:history="1">
            <w:r w:rsidRPr="001D1B80">
              <w:rPr>
                <w:rStyle w:val="Lienhypertexte"/>
              </w:rPr>
              <w:t>http://dx.doi.org/10.1002/047167558X.ch12.</w:t>
            </w:r>
          </w:hyperlink>
        </w:p>
        <w:p w:rsidR="001C5E4B" w:rsidRPr="001D1B80" w:rsidRDefault="001C5E4B" w:rsidP="001D1B80">
          <w:pPr>
            <w:pStyle w:val="RfrencesAcknoledgment"/>
            <w:ind w:firstLine="0"/>
          </w:pPr>
          <w:r w:rsidRPr="001D1B80">
            <w:rPr>
              <w:lang w:val="da-DK"/>
            </w:rPr>
            <w:t>Hoppe,</w:t>
          </w:r>
          <w:r w:rsidRPr="001D1B80">
            <w:rPr>
              <w:lang w:val="sl-SI"/>
            </w:rPr>
            <w:t xml:space="preserve"> H.,</w:t>
          </w:r>
          <w:r w:rsidRPr="001D1B80">
            <w:rPr>
              <w:lang w:val="ca-ES"/>
            </w:rPr>
            <w:t xml:space="preserve"> 2003.</w:t>
          </w:r>
          <w:r w:rsidRPr="001D1B80">
            <w:t xml:space="preserve"> Phosphatase activity</w:t>
          </w:r>
          <w:r w:rsidRPr="001D1B80">
            <w:rPr>
              <w:lang w:val="sl-SI"/>
            </w:rPr>
            <w:t xml:space="preserve"> in</w:t>
          </w:r>
          <w:r w:rsidRPr="001D1B80">
            <w:t xml:space="preserve"> the sea.</w:t>
          </w:r>
          <w:r w:rsidRPr="001D1B80">
            <w:rPr>
              <w:lang w:val="pl-PL"/>
            </w:rPr>
            <w:t xml:space="preserve"> Hydrobiologia</w:t>
          </w:r>
          <w:r w:rsidRPr="001D1B80">
            <w:rPr>
              <w:lang w:val="ca-ES"/>
            </w:rPr>
            <w:t xml:space="preserve"> 493, 187–200.</w:t>
          </w:r>
        </w:p>
        <w:p w:rsidR="001C5E4B" w:rsidRPr="001D1B80" w:rsidRDefault="001C5E4B" w:rsidP="001D1B80">
          <w:pPr>
            <w:pStyle w:val="RfrencesAcknoledgment"/>
            <w:ind w:firstLine="0"/>
          </w:pPr>
          <w:r w:rsidRPr="001D1B80">
            <w:t>Jančula,</w:t>
          </w:r>
          <w:r w:rsidRPr="001D1B80">
            <w:rPr>
              <w:lang w:val="sl-SI"/>
            </w:rPr>
            <w:t xml:space="preserve"> D.,</w:t>
          </w:r>
          <w:r w:rsidRPr="001D1B80">
            <w:rPr>
              <w:lang w:val="cs-CZ"/>
            </w:rPr>
            <w:t xml:space="preserve"> Maršálek,</w:t>
          </w:r>
          <w:r w:rsidRPr="001D1B80">
            <w:rPr>
              <w:lang w:val="da-DK"/>
            </w:rPr>
            <w:t xml:space="preserve"> B.,</w:t>
          </w:r>
          <w:r w:rsidRPr="001D1B80">
            <w:rPr>
              <w:lang w:val="ca-ES"/>
            </w:rPr>
            <w:t xml:space="preserve"> 2011.</w:t>
          </w:r>
          <w:r w:rsidRPr="001D1B80">
            <w:t xml:space="preserve"> Critical review of actually available chemical </w:t>
          </w:r>
        </w:p>
        <w:p w:rsidR="001C5E4B" w:rsidRPr="001D1B80" w:rsidRDefault="001C5E4B" w:rsidP="001D1B80">
          <w:pPr>
            <w:pStyle w:val="RfrencesAcknoledgment"/>
            <w:rPr>
              <w:lang w:val="ca-ES"/>
            </w:rPr>
          </w:pPr>
          <w:r w:rsidRPr="001D1B80">
            <w:t>compounds</w:t>
          </w:r>
          <w:r w:rsidRPr="001D1B80">
            <w:rPr>
              <w:lang w:val="pt-BR"/>
            </w:rPr>
            <w:t xml:space="preserve"> for</w:t>
          </w:r>
          <w:r w:rsidRPr="001D1B80">
            <w:t xml:space="preserve"> prevention</w:t>
          </w:r>
          <w:r w:rsidRPr="001D1B80">
            <w:rPr>
              <w:lang w:val="da-DK"/>
            </w:rPr>
            <w:t xml:space="preserve"> and management</w:t>
          </w:r>
          <w:r w:rsidRPr="001D1B80">
            <w:t xml:space="preserve"> of cyanobacterial blooms. Chemosphere</w:t>
          </w:r>
          <w:r w:rsidRPr="001D1B80">
            <w:rPr>
              <w:lang w:val="ca-ES"/>
            </w:rPr>
            <w:t xml:space="preserve"> </w:t>
          </w:r>
        </w:p>
        <w:p w:rsidR="001C5E4B" w:rsidRPr="001D1B80" w:rsidRDefault="001C5E4B" w:rsidP="001D1B80">
          <w:pPr>
            <w:pStyle w:val="RfrencesAcknoledgment"/>
            <w:rPr>
              <w:lang w:val="pt-BR"/>
            </w:rPr>
          </w:pPr>
          <w:r w:rsidRPr="001D1B80">
            <w:rPr>
              <w:lang w:val="ca-ES"/>
            </w:rPr>
            <w:t>85, 1415–1422.</w:t>
          </w:r>
        </w:p>
        <w:p w:rsidR="001C5E4B" w:rsidRPr="001D1B80" w:rsidRDefault="001C5E4B" w:rsidP="001D1B80">
          <w:pPr>
            <w:pStyle w:val="RfrencesAcknoledgment"/>
            <w:ind w:firstLine="0"/>
          </w:pPr>
          <w:r w:rsidRPr="001D1B80">
            <w:rPr>
              <w:lang w:val="pt-BR"/>
            </w:rPr>
            <w:t>Jesus,</w:t>
          </w:r>
          <w:r w:rsidRPr="001D1B80">
            <w:rPr>
              <w:lang w:val="da-DK"/>
            </w:rPr>
            <w:t xml:space="preserve"> F.,</w:t>
          </w:r>
          <w:r w:rsidRPr="001D1B80">
            <w:t xml:space="preserve"> Oliveira,</w:t>
          </w:r>
          <w:r w:rsidRPr="001D1B80">
            <w:rPr>
              <w:lang w:val="pt-BR"/>
            </w:rPr>
            <w:t xml:space="preserve"> R.,</w:t>
          </w:r>
          <w:r w:rsidRPr="001D1B80">
            <w:rPr>
              <w:lang w:val="sl-SI"/>
            </w:rPr>
            <w:t xml:space="preserve"> Silva, A.,</w:t>
          </w:r>
          <w:r w:rsidRPr="001D1B80">
            <w:t xml:space="preserve"> Catarino,</w:t>
          </w:r>
          <w:r w:rsidRPr="001D1B80">
            <w:rPr>
              <w:lang w:val="sl-SI"/>
            </w:rPr>
            <w:t xml:space="preserve"> A.,</w:t>
          </w:r>
          <w:r w:rsidRPr="001D1B80">
            <w:rPr>
              <w:lang w:val="pt-BR"/>
            </w:rPr>
            <w:t xml:space="preserve"> Soares,</w:t>
          </w:r>
          <w:r w:rsidRPr="001D1B80">
            <w:t xml:space="preserve"> A.V.M.,</w:t>
          </w:r>
          <w:r w:rsidRPr="001D1B80">
            <w:rPr>
              <w:lang w:val="pt-BR"/>
            </w:rPr>
            <w:t xml:space="preserve"> Nogueira,</w:t>
          </w:r>
          <w:r w:rsidRPr="001D1B80">
            <w:t xml:space="preserve"> A.A., </w:t>
          </w:r>
        </w:p>
        <w:p w:rsidR="001C5E4B" w:rsidRPr="001D1B80" w:rsidRDefault="001C5E4B" w:rsidP="001D1B80">
          <w:pPr>
            <w:pStyle w:val="RfrencesAcknoledgment"/>
          </w:pPr>
          <w:r w:rsidRPr="001D1B80">
            <w:t>Domingues,</w:t>
          </w:r>
          <w:r w:rsidRPr="001D1B80">
            <w:rPr>
              <w:lang w:val="sl-SI"/>
            </w:rPr>
            <w:t xml:space="preserve"> I.,</w:t>
          </w:r>
          <w:r w:rsidRPr="001D1B80">
            <w:rPr>
              <w:lang w:val="ca-ES"/>
            </w:rPr>
            <w:t xml:space="preserve"> 2013.</w:t>
          </w:r>
          <w:r w:rsidRPr="001D1B80">
            <w:t xml:space="preserve"> Lethal</w:t>
          </w:r>
          <w:r w:rsidRPr="001D1B80">
            <w:rPr>
              <w:lang w:val="da-DK"/>
            </w:rPr>
            <w:t xml:space="preserve"> and</w:t>
          </w:r>
          <w:r w:rsidRPr="001D1B80">
            <w:t xml:space="preserve"> sub lethal effects of the biocide chlorhexidine</w:t>
          </w:r>
          <w:r w:rsidRPr="001D1B80">
            <w:rPr>
              <w:lang w:val="sl-SI"/>
            </w:rPr>
            <w:t xml:space="preserve"> on</w:t>
          </w:r>
          <w:r w:rsidRPr="001D1B80">
            <w:t xml:space="preserve"> </w:t>
          </w:r>
        </w:p>
        <w:p w:rsidR="001C5E4B" w:rsidRPr="001D1B80" w:rsidRDefault="001C5E4B" w:rsidP="001D1B80">
          <w:pPr>
            <w:pStyle w:val="RfrencesAcknoledgment"/>
          </w:pPr>
          <w:r w:rsidRPr="001D1B80">
            <w:t>aquatic organisms. Ecotoxicology</w:t>
          </w:r>
          <w:r w:rsidRPr="001D1B80">
            <w:rPr>
              <w:lang w:val="ca-ES"/>
            </w:rPr>
            <w:t xml:space="preserve"> 22, 1348–1358.</w:t>
          </w:r>
        </w:p>
        <w:p w:rsidR="001C5E4B" w:rsidRPr="001D1B80" w:rsidRDefault="001C5E4B" w:rsidP="001D1B80">
          <w:pPr>
            <w:pStyle w:val="RfrencesAcknoledgment"/>
            <w:ind w:firstLine="0"/>
            <w:rPr>
              <w:lang w:val="ca-ES"/>
            </w:rPr>
          </w:pPr>
          <w:r w:rsidRPr="001D1B80">
            <w:t>Jöhnk, K.D.,</w:t>
          </w:r>
          <w:r w:rsidRPr="001D1B80">
            <w:rPr>
              <w:lang w:val="nl-NL"/>
            </w:rPr>
            <w:t xml:space="preserve"> Huisman,</w:t>
          </w:r>
          <w:r w:rsidRPr="001D1B80">
            <w:rPr>
              <w:lang w:val="da-DK"/>
            </w:rPr>
            <w:t xml:space="preserve"> J.,</w:t>
          </w:r>
          <w:r w:rsidRPr="001D1B80">
            <w:t xml:space="preserve"> Sharples,</w:t>
          </w:r>
          <w:r w:rsidRPr="001D1B80">
            <w:rPr>
              <w:lang w:val="da-DK"/>
            </w:rPr>
            <w:t xml:space="preserve"> J.,</w:t>
          </w:r>
          <w:r w:rsidRPr="001D1B80">
            <w:t xml:space="preserve"> Sommeijer,</w:t>
          </w:r>
          <w:r w:rsidRPr="001D1B80">
            <w:rPr>
              <w:lang w:val="da-DK"/>
            </w:rPr>
            <w:t xml:space="preserve"> B., Visser,</w:t>
          </w:r>
          <w:r w:rsidRPr="001D1B80">
            <w:t xml:space="preserve"> P.M.,</w:t>
          </w:r>
          <w:r w:rsidRPr="001D1B80">
            <w:rPr>
              <w:lang w:val="nl-NL"/>
            </w:rPr>
            <w:t xml:space="preserve"> Stroom,</w:t>
          </w:r>
          <w:r w:rsidRPr="001D1B80">
            <w:t xml:space="preserve"> J.M.,</w:t>
          </w:r>
          <w:r w:rsidRPr="001D1B80">
            <w:rPr>
              <w:lang w:val="ca-ES"/>
            </w:rPr>
            <w:t xml:space="preserve"> </w:t>
          </w:r>
        </w:p>
        <w:p w:rsidR="001C5E4B" w:rsidRPr="001D1B80" w:rsidRDefault="001C5E4B" w:rsidP="001D1B80">
          <w:pPr>
            <w:pStyle w:val="RfrencesAcknoledgment"/>
            <w:rPr>
              <w:lang w:val="sl-SI"/>
            </w:rPr>
          </w:pPr>
          <w:r w:rsidRPr="001D1B80">
            <w:rPr>
              <w:lang w:val="ca-ES"/>
            </w:rPr>
            <w:t>2008.</w:t>
          </w:r>
          <w:r w:rsidRPr="001D1B80">
            <w:t xml:space="preserve"> Sum</w:t>
          </w:r>
          <w:r w:rsidRPr="001D1B80">
            <w:softHyphen/>
            <w:t>mer heatwaves promote blooms of harmful cyanobacteria. Glob. Chang.</w:t>
          </w:r>
          <w:r w:rsidRPr="001D1B80">
            <w:rPr>
              <w:lang w:val="sl-SI"/>
            </w:rPr>
            <w:t xml:space="preserve"> </w:t>
          </w:r>
        </w:p>
        <w:p w:rsidR="001C5E4B" w:rsidRPr="001D1B80" w:rsidRDefault="001C5E4B" w:rsidP="001D1B80">
          <w:pPr>
            <w:pStyle w:val="RfrencesAcknoledgment"/>
          </w:pPr>
          <w:r w:rsidRPr="001D1B80">
            <w:rPr>
              <w:lang w:val="sl-SI"/>
            </w:rPr>
            <w:t>Biol.</w:t>
          </w:r>
          <w:r w:rsidRPr="001D1B80">
            <w:rPr>
              <w:lang w:val="ca-ES"/>
            </w:rPr>
            <w:t xml:space="preserve"> 14, 495–512.</w:t>
          </w:r>
        </w:p>
        <w:p w:rsidR="001C5E4B" w:rsidRPr="001D1B80" w:rsidRDefault="001C5E4B" w:rsidP="001D1B80">
          <w:pPr>
            <w:pStyle w:val="RfrencesAcknoledgment"/>
            <w:ind w:firstLine="0"/>
          </w:pPr>
          <w:r w:rsidRPr="001D1B80">
            <w:t>Kamaya,</w:t>
          </w:r>
          <w:r w:rsidRPr="001D1B80">
            <w:rPr>
              <w:lang w:val="da-DK"/>
            </w:rPr>
            <w:t xml:space="preserve"> Y.,</w:t>
          </w:r>
          <w:r w:rsidRPr="001D1B80">
            <w:t xml:space="preserve"> Fukaya,</w:t>
          </w:r>
          <w:r w:rsidRPr="001D1B80">
            <w:rPr>
              <w:lang w:val="da-DK"/>
            </w:rPr>
            <w:t xml:space="preserve"> Y.,</w:t>
          </w:r>
          <w:r w:rsidRPr="001D1B80">
            <w:t xml:space="preserve"> Suzuki,</w:t>
          </w:r>
          <w:r w:rsidRPr="001D1B80">
            <w:rPr>
              <w:lang w:val="sl-SI"/>
            </w:rPr>
            <w:t xml:space="preserve"> K.,</w:t>
          </w:r>
          <w:r w:rsidRPr="001D1B80">
            <w:rPr>
              <w:lang w:val="ca-ES"/>
            </w:rPr>
            <w:t xml:space="preserve"> 2005.</w:t>
          </w:r>
          <w:r w:rsidRPr="001D1B80">
            <w:t xml:space="preserve"> Acute toxicity of benzoic acids</w:t>
          </w:r>
          <w:r w:rsidRPr="001D1B80">
            <w:rPr>
              <w:lang w:val="sl-SI"/>
            </w:rPr>
            <w:t xml:space="preserve"> to</w:t>
          </w:r>
          <w:r w:rsidRPr="001D1B80">
            <w:t xml:space="preserve"> the </w:t>
          </w:r>
        </w:p>
        <w:p w:rsidR="001C5E4B" w:rsidRPr="001D1B80" w:rsidRDefault="001C5E4B" w:rsidP="001D1B80">
          <w:pPr>
            <w:pStyle w:val="RfrencesAcknoledgment"/>
          </w:pPr>
          <w:r w:rsidRPr="001D1B80">
            <w:t>crustacean Daphnia</w:t>
          </w:r>
          <w:r w:rsidRPr="001D1B80">
            <w:rPr>
              <w:lang w:val="pt-BR"/>
            </w:rPr>
            <w:t xml:space="preserve"> magna.</w:t>
          </w:r>
          <w:r w:rsidRPr="001D1B80">
            <w:t xml:space="preserve"> Chemosphere</w:t>
          </w:r>
          <w:r w:rsidRPr="001D1B80">
            <w:rPr>
              <w:lang w:val="ca-ES"/>
            </w:rPr>
            <w:t xml:space="preserve"> 59, 255–261.</w:t>
          </w:r>
        </w:p>
        <w:p w:rsidR="001C5E4B" w:rsidRPr="001D1B80" w:rsidRDefault="001C5E4B" w:rsidP="001D1B80">
          <w:pPr>
            <w:pStyle w:val="RfrencesAcknoledgment"/>
            <w:ind w:firstLine="0"/>
          </w:pPr>
          <w:r w:rsidRPr="001D1B80">
            <w:t>Laue,</w:t>
          </w:r>
          <w:r w:rsidRPr="001D1B80">
            <w:rPr>
              <w:lang w:val="da-DK"/>
            </w:rPr>
            <w:t xml:space="preserve"> P.,</w:t>
          </w:r>
          <w:r w:rsidRPr="001D1B80">
            <w:t xml:space="preserve"> Bährs,</w:t>
          </w:r>
          <w:r w:rsidRPr="001D1B80">
            <w:rPr>
              <w:lang w:val="sl-SI"/>
            </w:rPr>
            <w:t xml:space="preserve"> H.,</w:t>
          </w:r>
          <w:r w:rsidRPr="001D1B80">
            <w:t xml:space="preserve"> Chakrabarti,</w:t>
          </w:r>
          <w:r w:rsidRPr="001D1B80">
            <w:rPr>
              <w:lang w:val="sl-SI"/>
            </w:rPr>
            <w:t xml:space="preserve"> S.,</w:t>
          </w:r>
          <w:r w:rsidRPr="001D1B80">
            <w:t xml:space="preserve"> Steinberg, C.E.W.,</w:t>
          </w:r>
          <w:r w:rsidRPr="001D1B80">
            <w:rPr>
              <w:lang w:val="ca-ES"/>
            </w:rPr>
            <w:t xml:space="preserve"> 2014.</w:t>
          </w:r>
          <w:r w:rsidRPr="001D1B80">
            <w:t xml:space="preserve"> Natural xenobiotics</w:t>
          </w:r>
          <w:r w:rsidRPr="001D1B80">
            <w:rPr>
              <w:lang w:val="sl-SI"/>
            </w:rPr>
            <w:t xml:space="preserve"> to</w:t>
          </w:r>
          <w:r w:rsidRPr="001D1B80">
            <w:t xml:space="preserve"> </w:t>
          </w:r>
        </w:p>
        <w:p w:rsidR="001C5E4B" w:rsidRPr="001D1B80" w:rsidRDefault="001C5E4B" w:rsidP="001D1B80">
          <w:pPr>
            <w:pStyle w:val="RfrencesAcknoledgment"/>
          </w:pPr>
          <w:r w:rsidRPr="001D1B80">
            <w:t>prevent cyanobacterial</w:t>
          </w:r>
          <w:r w:rsidRPr="001D1B80">
            <w:rPr>
              <w:lang w:val="da-DK"/>
            </w:rPr>
            <w:t xml:space="preserve"> and</w:t>
          </w:r>
          <w:r w:rsidRPr="001D1B80">
            <w:t xml:space="preserve"> algal growth</w:t>
          </w:r>
          <w:r w:rsidRPr="001D1B80">
            <w:rPr>
              <w:lang w:val="sl-SI"/>
            </w:rPr>
            <w:t xml:space="preserve"> in</w:t>
          </w:r>
          <w:r w:rsidRPr="001D1B80">
            <w:t xml:space="preserve"> freshwater: contrasting efficacy of tannic </w:t>
          </w:r>
        </w:p>
        <w:p w:rsidR="001C5E4B" w:rsidRPr="001D1B80" w:rsidRDefault="001C5E4B" w:rsidP="001D1B80">
          <w:pPr>
            <w:pStyle w:val="RfrencesAcknoledgment"/>
            <w:rPr>
              <w:lang w:val="sl-SI"/>
            </w:rPr>
          </w:pPr>
          <w:r w:rsidRPr="001D1B80">
            <w:t>acid,</w:t>
          </w:r>
          <w:r w:rsidRPr="001D1B80">
            <w:rPr>
              <w:lang w:val="pl-PL"/>
            </w:rPr>
            <w:t xml:space="preserve"> gal-lic</w:t>
          </w:r>
          <w:r w:rsidRPr="001D1B80">
            <w:t xml:space="preserve"> acid,</w:t>
          </w:r>
          <w:r w:rsidRPr="001D1B80">
            <w:rPr>
              <w:lang w:val="da-DK"/>
            </w:rPr>
            <w:t xml:space="preserve"> and</w:t>
          </w:r>
          <w:r w:rsidRPr="001D1B80">
            <w:rPr>
              <w:lang w:val="nb-NO"/>
            </w:rPr>
            <w:t xml:space="preserve"> gramine.</w:t>
          </w:r>
          <w:r w:rsidRPr="001D1B80">
            <w:t xml:space="preserve"> Chemosphere</w:t>
          </w:r>
          <w:r w:rsidRPr="001D1B80">
            <w:rPr>
              <w:lang w:val="ca-ES"/>
            </w:rPr>
            <w:t xml:space="preserve"> 104, 212–220.</w:t>
          </w:r>
        </w:p>
        <w:p w:rsidR="001C5E4B" w:rsidRPr="001D1B80" w:rsidRDefault="001C5E4B" w:rsidP="001D1B80">
          <w:pPr>
            <w:pStyle w:val="RfrencesAcknoledgment"/>
            <w:ind w:firstLine="0"/>
          </w:pPr>
          <w:r w:rsidRPr="001D1B80">
            <w:rPr>
              <w:lang w:val="sl-SI"/>
            </w:rPr>
            <w:t>Lederer,</w:t>
          </w:r>
          <w:r w:rsidRPr="001D1B80">
            <w:rPr>
              <w:lang w:val="da-DK"/>
            </w:rPr>
            <w:t xml:space="preserve"> B.,</w:t>
          </w:r>
          <w:r w:rsidRPr="001D1B80">
            <w:rPr>
              <w:lang w:val="es-ES"/>
            </w:rPr>
            <w:t xml:space="preserve"> Fujimori,</w:t>
          </w:r>
          <w:r w:rsidRPr="001D1B80">
            <w:rPr>
              <w:lang w:val="sl-SI"/>
            </w:rPr>
            <w:t xml:space="preserve"> T.,</w:t>
          </w:r>
          <w:r w:rsidRPr="001D1B80">
            <w:t xml:space="preserve"> Tsujino,</w:t>
          </w:r>
          <w:r w:rsidRPr="001D1B80">
            <w:rPr>
              <w:lang w:val="da-DK"/>
            </w:rPr>
            <w:t xml:space="preserve"> Y.,</w:t>
          </w:r>
          <w:r w:rsidRPr="001D1B80">
            <w:t xml:space="preserve"> Wakabayashi,</w:t>
          </w:r>
          <w:r w:rsidRPr="001D1B80">
            <w:rPr>
              <w:lang w:val="sl-SI"/>
            </w:rPr>
            <w:t xml:space="preserve"> K.,</w:t>
          </w:r>
          <w:r w:rsidRPr="001D1B80">
            <w:t xml:space="preserve"> Böger,</w:t>
          </w:r>
          <w:r w:rsidRPr="001D1B80">
            <w:rPr>
              <w:lang w:val="da-DK"/>
            </w:rPr>
            <w:t xml:space="preserve"> P.,</w:t>
          </w:r>
          <w:r w:rsidRPr="001D1B80">
            <w:rPr>
              <w:lang w:val="ca-ES"/>
            </w:rPr>
            <w:t xml:space="preserve"> 2004.</w:t>
          </w:r>
          <w:r w:rsidRPr="001D1B80">
            <w:t xml:space="preserve"> Phytotoxic </w:t>
          </w:r>
        </w:p>
        <w:p w:rsidR="001C5E4B" w:rsidRPr="001D1B80" w:rsidRDefault="001C5E4B" w:rsidP="001D1B80">
          <w:pPr>
            <w:pStyle w:val="RfrencesAcknoledgment"/>
          </w:pPr>
          <w:r w:rsidRPr="001D1B80">
            <w:t>activity of middle-chain fatty acids</w:t>
          </w:r>
          <w:r w:rsidRPr="001D1B80">
            <w:rPr>
              <w:lang w:val="sl-SI"/>
            </w:rPr>
            <w:t xml:space="preserve"> II:</w:t>
          </w:r>
          <w:r w:rsidRPr="001D1B80">
            <w:t xml:space="preserve"> peroxidation</w:t>
          </w:r>
          <w:r w:rsidRPr="001D1B80">
            <w:rPr>
              <w:lang w:val="da-DK"/>
            </w:rPr>
            <w:t xml:space="preserve"> and</w:t>
          </w:r>
          <w:r w:rsidRPr="001D1B80">
            <w:t xml:space="preserve"> membrane effects. Pestic. </w:t>
          </w:r>
        </w:p>
        <w:p w:rsidR="001C5E4B" w:rsidRPr="001D1B80" w:rsidRDefault="001C5E4B" w:rsidP="001D1B80">
          <w:pPr>
            <w:pStyle w:val="RfrencesAcknoledgment"/>
            <w:rPr>
              <w:lang w:val="sl-SI"/>
            </w:rPr>
          </w:pPr>
          <w:r w:rsidRPr="001D1B80">
            <w:t>Biochem. Physiol.</w:t>
          </w:r>
          <w:r w:rsidRPr="001D1B80">
            <w:rPr>
              <w:lang w:val="ca-ES"/>
            </w:rPr>
            <w:t xml:space="preserve"> 80, 151–156.</w:t>
          </w:r>
        </w:p>
        <w:p w:rsidR="001C5E4B" w:rsidRPr="001D1B80" w:rsidRDefault="001C5E4B" w:rsidP="001D1B80">
          <w:pPr>
            <w:pStyle w:val="RfrencesAcknoledgment"/>
            <w:ind w:firstLine="0"/>
          </w:pPr>
          <w:r w:rsidRPr="001D1B80">
            <w:rPr>
              <w:lang w:val="sl-SI"/>
            </w:rPr>
            <w:t>Leu,</w:t>
          </w:r>
          <w:r w:rsidRPr="001D1B80">
            <w:rPr>
              <w:lang w:val="pt-BR"/>
            </w:rPr>
            <w:t xml:space="preserve"> E.,</w:t>
          </w:r>
          <w:r w:rsidRPr="001D1B80">
            <w:t xml:space="preserve"> Krieger-Liszkay,</w:t>
          </w:r>
          <w:r w:rsidRPr="001D1B80">
            <w:rPr>
              <w:lang w:val="sl-SI"/>
            </w:rPr>
            <w:t xml:space="preserve"> A.,</w:t>
          </w:r>
          <w:r w:rsidRPr="001D1B80">
            <w:t xml:space="preserve"> Goussias,</w:t>
          </w:r>
          <w:r w:rsidRPr="001D1B80">
            <w:rPr>
              <w:lang w:val="sl-SI"/>
            </w:rPr>
            <w:t xml:space="preserve"> C., Gross,</w:t>
          </w:r>
          <w:r w:rsidRPr="001D1B80">
            <w:t xml:space="preserve"> E.M.,</w:t>
          </w:r>
          <w:r w:rsidRPr="001D1B80">
            <w:rPr>
              <w:lang w:val="ca-ES"/>
            </w:rPr>
            <w:t xml:space="preserve"> 2002.</w:t>
          </w:r>
          <w:r w:rsidRPr="001D1B80">
            <w:t xml:space="preserve"> Polyphenolic </w:t>
          </w:r>
        </w:p>
        <w:p w:rsidR="001C5E4B" w:rsidRPr="001D1B80" w:rsidRDefault="001C5E4B" w:rsidP="001D1B80">
          <w:pPr>
            <w:pStyle w:val="RfrencesAcknoledgment"/>
          </w:pPr>
          <w:r w:rsidRPr="001D1B80">
            <w:t xml:space="preserve">allelochemicals from the aquatic angiosperm Myńophyllum spicatum inhibit </w:t>
          </w:r>
        </w:p>
        <w:p w:rsidR="001C5E4B" w:rsidRPr="001D1B80" w:rsidRDefault="001C5E4B" w:rsidP="001D1B80">
          <w:pPr>
            <w:pStyle w:val="RfrencesAcknoledgment"/>
          </w:pPr>
          <w:r w:rsidRPr="001D1B80">
            <w:t>photosystem</w:t>
          </w:r>
          <w:r w:rsidRPr="001D1B80">
            <w:rPr>
              <w:lang w:val="sl-SI"/>
            </w:rPr>
            <w:t xml:space="preserve"> II.</w:t>
          </w:r>
          <w:r w:rsidRPr="001D1B80">
            <w:rPr>
              <w:lang w:val="da-DK"/>
            </w:rPr>
            <w:t xml:space="preserve"> Plant</w:t>
          </w:r>
          <w:r w:rsidRPr="001D1B80">
            <w:t xml:space="preserve"> Physiol.</w:t>
          </w:r>
          <w:r w:rsidRPr="001D1B80">
            <w:rPr>
              <w:lang w:val="ca-ES"/>
            </w:rPr>
            <w:t xml:space="preserve"> 130, 2011–2018.</w:t>
          </w:r>
        </w:p>
        <w:p w:rsidR="001C5E4B" w:rsidRPr="001D1B80" w:rsidRDefault="001C5E4B" w:rsidP="001D1B80">
          <w:pPr>
            <w:pStyle w:val="RfrencesAcknoledgment"/>
            <w:ind w:firstLine="0"/>
            <w:rPr>
              <w:lang w:val="sl-SI"/>
            </w:rPr>
          </w:pPr>
          <w:r w:rsidRPr="001D1B80">
            <w:t>Molisch,</w:t>
          </w:r>
          <w:r w:rsidRPr="001D1B80">
            <w:rPr>
              <w:lang w:val="sl-SI"/>
            </w:rPr>
            <w:t xml:space="preserve"> H.,</w:t>
          </w:r>
          <w:r w:rsidRPr="001D1B80">
            <w:rPr>
              <w:lang w:val="ca-ES"/>
            </w:rPr>
            <w:t xml:space="preserve"> 1937.</w:t>
          </w:r>
          <w:r w:rsidRPr="001D1B80">
            <w:rPr>
              <w:lang w:val="pt-BR"/>
            </w:rPr>
            <w:t xml:space="preserve"> Der</w:t>
          </w:r>
          <w:r w:rsidRPr="001D1B80">
            <w:rPr>
              <w:lang w:val="de-DE"/>
            </w:rPr>
            <w:t xml:space="preserve"> Einfluss einer Pflanze auf</w:t>
          </w:r>
          <w:r w:rsidRPr="001D1B80">
            <w:rPr>
              <w:lang w:val="da-DK"/>
            </w:rPr>
            <w:t xml:space="preserve"> die</w:t>
          </w:r>
          <w:r w:rsidRPr="001D1B80">
            <w:rPr>
              <w:lang w:val="nl-NL"/>
            </w:rPr>
            <w:t xml:space="preserve"> andere</w:t>
          </w:r>
          <w:r w:rsidRPr="001D1B80">
            <w:rPr>
              <w:lang w:val="pt-BR"/>
            </w:rPr>
            <w:t xml:space="preserve"> - Allelopathie.</w:t>
          </w:r>
          <w:r w:rsidRPr="001D1B80">
            <w:rPr>
              <w:lang w:val="sl-SI"/>
            </w:rPr>
            <w:t xml:space="preserve"> Fischer, </w:t>
          </w:r>
        </w:p>
        <w:p w:rsidR="00FE206C" w:rsidRPr="001D1B80" w:rsidRDefault="001C5E4B" w:rsidP="001D1B80">
          <w:pPr>
            <w:pStyle w:val="RfrencesAcknoledgment"/>
            <w:rPr>
              <w:lang w:val="sl-SI"/>
            </w:rPr>
          </w:pPr>
          <w:r w:rsidRPr="001D1B80">
            <w:rPr>
              <w:lang w:val="sl-SI"/>
            </w:rPr>
            <w:t xml:space="preserve">Jena. </w:t>
          </w:r>
        </w:p>
        <w:p w:rsidR="001C5E4B" w:rsidRPr="001D1B80" w:rsidRDefault="001C5E4B" w:rsidP="001D1B80">
          <w:pPr>
            <w:pStyle w:val="RfrencesAcknoledgment"/>
            <w:ind w:firstLine="0"/>
          </w:pPr>
          <w:r w:rsidRPr="001D1B80">
            <w:rPr>
              <w:lang w:val="sl-SI"/>
            </w:rPr>
            <w:t>Morski</w:t>
          </w:r>
          <w:r w:rsidRPr="001D1B80">
            <w:rPr>
              <w:lang w:val="pl-PL"/>
            </w:rPr>
            <w:t xml:space="preserve"> Instytut Rybacki</w:t>
          </w:r>
          <w:r w:rsidRPr="001D1B80">
            <w:rPr>
              <w:lang w:val="pt-BR"/>
            </w:rPr>
            <w:t xml:space="preserve"> -</w:t>
          </w:r>
          <w:r w:rsidRPr="001D1B80">
            <w:rPr>
              <w:lang w:val="pl-PL"/>
            </w:rPr>
            <w:t xml:space="preserve"> Państwowy Instytut Badawczy,</w:t>
          </w:r>
          <w:r w:rsidRPr="001D1B80">
            <w:rPr>
              <w:lang w:val="pt-BR"/>
            </w:rPr>
            <w:t xml:space="preserve"> Poland,</w:t>
          </w:r>
          <w:r w:rsidRPr="001D1B80">
            <w:rPr>
              <w:lang w:val="ca-ES"/>
            </w:rPr>
            <w:t xml:space="preserve"> 2011.</w:t>
          </w:r>
          <w:r w:rsidRPr="001D1B80">
            <w:rPr>
              <w:lang w:val="pt-BR"/>
            </w:rPr>
            <w:t xml:space="preserve"> </w:t>
          </w:r>
          <w:r w:rsidRPr="001D1B80">
            <w:t>Sea Fisheries</w:t>
          </w:r>
        </w:p>
        <w:p w:rsidR="001C5E4B" w:rsidRPr="001D1B80" w:rsidRDefault="001C5E4B" w:rsidP="001D1B80">
          <w:pPr>
            <w:pStyle w:val="RfrencesAcknoledgment"/>
            <w:rPr>
              <w:lang w:val="sl-SI"/>
            </w:rPr>
          </w:pPr>
          <w:r w:rsidRPr="001D1B80">
            <w:t>Institute</w:t>
          </w:r>
          <w:r w:rsidRPr="001D1B80">
            <w:rPr>
              <w:lang w:val="sl-SI"/>
            </w:rPr>
            <w:t xml:space="preserve"> in</w:t>
          </w:r>
          <w:r w:rsidRPr="001D1B80">
            <w:t xml:space="preserve"> Gdynia. (</w:t>
          </w:r>
          <w:hyperlink r:id="rId17" w:history="1">
            <w:r w:rsidRPr="001D1B80">
              <w:rPr>
                <w:rStyle w:val="Lienhypertexte"/>
              </w:rPr>
              <w:t>http://www.mir.gdynia.pl/no/documents/atlas_2_sec.pdf)</w:t>
            </w:r>
          </w:hyperlink>
          <w:r w:rsidRPr="001D1B80">
            <w:t>. Nakai,</w:t>
          </w:r>
          <w:r w:rsidRPr="001D1B80">
            <w:rPr>
              <w:lang w:val="sl-SI"/>
            </w:rPr>
            <w:t xml:space="preserve"> </w:t>
          </w:r>
        </w:p>
        <w:p w:rsidR="001C5E4B" w:rsidRPr="001D1B80" w:rsidRDefault="001C5E4B" w:rsidP="001D1B80">
          <w:pPr>
            <w:pStyle w:val="RfrencesAcknoledgment"/>
            <w:ind w:firstLine="0"/>
          </w:pPr>
          <w:r w:rsidRPr="001D1B80">
            <w:rPr>
              <w:lang w:val="sl-SI"/>
            </w:rPr>
            <w:t>S.,</w:t>
          </w:r>
          <w:r w:rsidRPr="001D1B80">
            <w:t xml:space="preserve"> Inoue,</w:t>
          </w:r>
          <w:r w:rsidRPr="001D1B80">
            <w:rPr>
              <w:lang w:val="da-DK"/>
            </w:rPr>
            <w:t xml:space="preserve"> Y.,</w:t>
          </w:r>
          <w:r w:rsidRPr="001D1B80">
            <w:t xml:space="preserve"> Hosomi,</w:t>
          </w:r>
          <w:r w:rsidRPr="001D1B80">
            <w:rPr>
              <w:lang w:val="sl-SI"/>
            </w:rPr>
            <w:t xml:space="preserve"> M.,</w:t>
          </w:r>
          <w:r w:rsidRPr="001D1B80">
            <w:t xml:space="preserve"> Murakami,</w:t>
          </w:r>
          <w:r w:rsidRPr="001D1B80">
            <w:rPr>
              <w:lang w:val="sl-SI"/>
            </w:rPr>
            <w:t xml:space="preserve"> A.,</w:t>
          </w:r>
          <w:r w:rsidRPr="001D1B80">
            <w:rPr>
              <w:lang w:val="ca-ES"/>
            </w:rPr>
            <w:t xml:space="preserve"> 2000.</w:t>
          </w:r>
          <w:r w:rsidRPr="001D1B80">
            <w:t xml:space="preserve"> Myńophyllum spicatum-released alle</w:t>
          </w:r>
          <w:r w:rsidRPr="001D1B80">
            <w:noBreakHyphen/>
          </w:r>
        </w:p>
        <w:p w:rsidR="001C5E4B" w:rsidRPr="001D1B80" w:rsidRDefault="001C5E4B" w:rsidP="001D1B80">
          <w:pPr>
            <w:pStyle w:val="RfrencesAcknoledgment"/>
          </w:pPr>
          <w:r w:rsidRPr="001D1B80">
            <w:t>lopathic polyphenols inhibiting growth of blue-green algae Microcystis</w:t>
          </w:r>
          <w:r w:rsidRPr="001D1B80">
            <w:rPr>
              <w:lang w:val="pt-BR"/>
            </w:rPr>
            <w:t xml:space="preserve"> aeruginosa.</w:t>
          </w:r>
        </w:p>
        <w:p w:rsidR="001C5E4B" w:rsidRPr="001D1B80" w:rsidRDefault="001C5E4B" w:rsidP="001D1B80">
          <w:pPr>
            <w:pStyle w:val="RfrencesAcknoledgment"/>
          </w:pPr>
          <w:r w:rsidRPr="001D1B80">
            <w:t>Water</w:t>
          </w:r>
          <w:r w:rsidRPr="001D1B80">
            <w:rPr>
              <w:lang w:val="sl-SI"/>
            </w:rPr>
            <w:t xml:space="preserve"> Res.</w:t>
          </w:r>
          <w:r w:rsidRPr="001D1B80">
            <w:rPr>
              <w:lang w:val="ca-ES"/>
            </w:rPr>
            <w:t xml:space="preserve"> 34, 3026–3032.</w:t>
          </w:r>
        </w:p>
        <w:p w:rsidR="001C5E4B" w:rsidRPr="001D1B80" w:rsidRDefault="001C5E4B" w:rsidP="001D1B80">
          <w:pPr>
            <w:pStyle w:val="RfrencesAcknoledgment"/>
            <w:ind w:firstLine="0"/>
          </w:pPr>
          <w:r w:rsidRPr="001D1B80">
            <w:t>Nakai,</w:t>
          </w:r>
          <w:r w:rsidRPr="001D1B80">
            <w:rPr>
              <w:lang w:val="sl-SI"/>
            </w:rPr>
            <w:t xml:space="preserve"> S.,</w:t>
          </w:r>
          <w:r w:rsidRPr="001D1B80">
            <w:t xml:space="preserve"> Yamada,</w:t>
          </w:r>
          <w:r w:rsidRPr="001D1B80">
            <w:rPr>
              <w:lang w:val="sl-SI"/>
            </w:rPr>
            <w:t xml:space="preserve"> S.,</w:t>
          </w:r>
          <w:r w:rsidRPr="001D1B80">
            <w:t xml:space="preserve"> Hosomi,</w:t>
          </w:r>
          <w:r w:rsidRPr="001D1B80">
            <w:rPr>
              <w:lang w:val="sl-SI"/>
            </w:rPr>
            <w:t xml:space="preserve"> M.,</w:t>
          </w:r>
          <w:r w:rsidRPr="001D1B80">
            <w:rPr>
              <w:lang w:val="ca-ES"/>
            </w:rPr>
            <w:t xml:space="preserve"> 2005.</w:t>
          </w:r>
          <w:r w:rsidRPr="001D1B80">
            <w:t xml:space="preserve"> Anti-cyanobacterial fatty acids released from </w:t>
          </w:r>
        </w:p>
        <w:p w:rsidR="001C5E4B" w:rsidRPr="001D1B80" w:rsidRDefault="001C5E4B" w:rsidP="001D1B80">
          <w:pPr>
            <w:pStyle w:val="RfrencesAcknoledgment"/>
            <w:rPr>
              <w:lang w:val="nb-NO"/>
            </w:rPr>
          </w:pPr>
          <w:r w:rsidRPr="001D1B80">
            <w:t>Myńophyllum spicatum.</w:t>
          </w:r>
          <w:r w:rsidRPr="001D1B80">
            <w:rPr>
              <w:lang w:val="pl-PL"/>
            </w:rPr>
            <w:t xml:space="preserve"> Hydrobiologia</w:t>
          </w:r>
          <w:r w:rsidRPr="001D1B80">
            <w:rPr>
              <w:lang w:val="ca-ES"/>
            </w:rPr>
            <w:t xml:space="preserve"> 543, 71–78.</w:t>
          </w:r>
        </w:p>
        <w:p w:rsidR="001C5E4B" w:rsidRPr="001D1B80" w:rsidRDefault="001C5E4B" w:rsidP="001D1B80">
          <w:pPr>
            <w:pStyle w:val="RfrencesAcknoledgment"/>
            <w:ind w:firstLine="0"/>
            <w:rPr>
              <w:lang w:val="sl-SI"/>
            </w:rPr>
          </w:pPr>
          <w:r w:rsidRPr="001D1B80">
            <w:rPr>
              <w:lang w:val="nb-NO"/>
            </w:rPr>
            <w:t>Niho,</w:t>
          </w:r>
          <w:r w:rsidRPr="001D1B80">
            <w:rPr>
              <w:lang w:val="da-DK"/>
            </w:rPr>
            <w:t xml:space="preserve"> N.,</w:t>
          </w:r>
          <w:r w:rsidRPr="001D1B80">
            <w:rPr>
              <w:lang w:val="pl-PL"/>
            </w:rPr>
            <w:t xml:space="preserve"> Shibutani,</w:t>
          </w:r>
          <w:r w:rsidRPr="001D1B80">
            <w:rPr>
              <w:lang w:val="sl-SI"/>
            </w:rPr>
            <w:t xml:space="preserve"> M.,</w:t>
          </w:r>
          <w:r w:rsidRPr="001D1B80">
            <w:rPr>
              <w:lang w:val="pl-PL"/>
            </w:rPr>
            <w:t xml:space="preserve"> Tamura,</w:t>
          </w:r>
          <w:r w:rsidRPr="001D1B80">
            <w:rPr>
              <w:lang w:val="sl-SI"/>
            </w:rPr>
            <w:t xml:space="preserve"> T.,</w:t>
          </w:r>
          <w:r w:rsidRPr="001D1B80">
            <w:rPr>
              <w:lang w:val="pl-PL"/>
            </w:rPr>
            <w:t xml:space="preserve"> Toyoda,</w:t>
          </w:r>
          <w:r w:rsidRPr="001D1B80">
            <w:rPr>
              <w:lang w:val="sl-SI"/>
            </w:rPr>
            <w:t xml:space="preserve"> K.,</w:t>
          </w:r>
          <w:r w:rsidRPr="001D1B80">
            <w:rPr>
              <w:lang w:val="pl-PL"/>
            </w:rPr>
            <w:t xml:space="preserve"> Uneyama,</w:t>
          </w:r>
          <w:r w:rsidRPr="001D1B80">
            <w:rPr>
              <w:lang w:val="sl-SI"/>
            </w:rPr>
            <w:t xml:space="preserve"> C.,</w:t>
          </w:r>
          <w:r w:rsidRPr="001D1B80">
            <w:rPr>
              <w:lang w:val="pl-PL"/>
            </w:rPr>
            <w:t xml:space="preserve"> Takahashi,</w:t>
          </w:r>
          <w:r w:rsidRPr="001D1B80">
            <w:rPr>
              <w:lang w:val="da-DK"/>
            </w:rPr>
            <w:t xml:space="preserve"> N.,</w:t>
          </w:r>
          <w:r w:rsidRPr="001D1B80">
            <w:rPr>
              <w:lang w:val="pl-PL"/>
            </w:rPr>
            <w:t xml:space="preserve"> Hirose,</w:t>
          </w:r>
          <w:r w:rsidRPr="001D1B80">
            <w:rPr>
              <w:lang w:val="sl-SI"/>
            </w:rPr>
            <w:t xml:space="preserve"> </w:t>
          </w:r>
        </w:p>
        <w:p w:rsidR="001C5E4B" w:rsidRPr="001D1B80" w:rsidRDefault="001C5E4B" w:rsidP="001D1B80">
          <w:pPr>
            <w:pStyle w:val="RfrencesAcknoledgment"/>
          </w:pPr>
          <w:r w:rsidRPr="001D1B80">
            <w:rPr>
              <w:lang w:val="sl-SI"/>
            </w:rPr>
            <w:t>M.,</w:t>
          </w:r>
          <w:r w:rsidRPr="001D1B80">
            <w:rPr>
              <w:lang w:val="ca-ES"/>
            </w:rPr>
            <w:t xml:space="preserve"> 2001.</w:t>
          </w:r>
          <w:r w:rsidRPr="001D1B80">
            <w:rPr>
              <w:lang w:val="pl-PL"/>
            </w:rPr>
            <w:t xml:space="preserve"> </w:t>
          </w:r>
          <w:r w:rsidRPr="001D1B80">
            <w:t>Subchronic toxicity study of gallic acid</w:t>
          </w:r>
          <w:r w:rsidRPr="001D1B80">
            <w:rPr>
              <w:lang w:val="cs-CZ"/>
            </w:rPr>
            <w:t xml:space="preserve"> by</w:t>
          </w:r>
          <w:r w:rsidRPr="001D1B80">
            <w:rPr>
              <w:lang w:val="sl-SI"/>
            </w:rPr>
            <w:t xml:space="preserve"> oral</w:t>
          </w:r>
          <w:r w:rsidRPr="001D1B80">
            <w:t xml:space="preserve"> administration</w:t>
          </w:r>
          <w:r w:rsidRPr="001D1B80">
            <w:rPr>
              <w:lang w:val="sl-SI"/>
            </w:rPr>
            <w:t xml:space="preserve"> in</w:t>
          </w:r>
          <w:r w:rsidRPr="001D1B80">
            <w:rPr>
              <w:lang w:val="ca-ES"/>
            </w:rPr>
            <w:t xml:space="preserve"> F344</w:t>
          </w:r>
          <w:r w:rsidRPr="001D1B80">
            <w:rPr>
              <w:lang w:val="da-DK"/>
            </w:rPr>
            <w:t xml:space="preserve"> rats.</w:t>
          </w:r>
          <w:r w:rsidRPr="001D1B80">
            <w:t xml:space="preserve"> </w:t>
          </w:r>
        </w:p>
        <w:p w:rsidR="001C5E4B" w:rsidRPr="001D1B80" w:rsidRDefault="001C5E4B" w:rsidP="001D1B80">
          <w:pPr>
            <w:pStyle w:val="RfrencesAcknoledgment"/>
          </w:pPr>
          <w:r w:rsidRPr="001D1B80">
            <w:t>Food Chem. Toxicol.</w:t>
          </w:r>
          <w:r w:rsidRPr="001D1B80">
            <w:rPr>
              <w:lang w:val="ca-ES"/>
            </w:rPr>
            <w:t xml:space="preserve"> 39, 1063–1070.</w:t>
          </w:r>
        </w:p>
        <w:p w:rsidR="001C5E4B" w:rsidRPr="001D1B80" w:rsidRDefault="001C5E4B" w:rsidP="001D1B80">
          <w:pPr>
            <w:pStyle w:val="RfrencesAcknoledgment"/>
            <w:ind w:firstLine="0"/>
          </w:pPr>
          <w:r w:rsidRPr="001D1B80">
            <w:t>Orellana,</w:t>
          </w:r>
          <w:r w:rsidRPr="001D1B80">
            <w:rPr>
              <w:lang w:val="sl-SI"/>
            </w:rPr>
            <w:t xml:space="preserve"> G.,</w:t>
          </w:r>
          <w:r w:rsidRPr="001D1B80">
            <w:rPr>
              <w:lang w:val="pt-BR"/>
            </w:rPr>
            <w:t xml:space="preserve"> Cano</w:t>
          </w:r>
          <w:r w:rsidRPr="001D1B80">
            <w:t>-Raya,</w:t>
          </w:r>
          <w:r w:rsidRPr="001D1B80">
            <w:rPr>
              <w:lang w:val="sl-SI"/>
            </w:rPr>
            <w:t xml:space="preserve"> C.,</w:t>
          </w:r>
          <w:r w:rsidRPr="001D1B80">
            <w:t xml:space="preserve"> López-Gejo,</w:t>
          </w:r>
          <w:r w:rsidRPr="001D1B80">
            <w:rPr>
              <w:lang w:val="da-DK"/>
            </w:rPr>
            <w:t xml:space="preserve"> J.,</w:t>
          </w:r>
          <w:r w:rsidRPr="001D1B80">
            <w:rPr>
              <w:lang w:val="sl-SI"/>
            </w:rPr>
            <w:t xml:space="preserve"> Santos,</w:t>
          </w:r>
          <w:r w:rsidRPr="001D1B80">
            <w:t xml:space="preserve"> A.R.,</w:t>
          </w:r>
          <w:r w:rsidRPr="001D1B80">
            <w:rPr>
              <w:lang w:val="ca-ES"/>
            </w:rPr>
            <w:t xml:space="preserve"> 2011.</w:t>
          </w:r>
          <w:r w:rsidRPr="001D1B80">
            <w:t xml:space="preserve"> Online Monitoring </w:t>
          </w:r>
        </w:p>
        <w:p w:rsidR="001C5E4B" w:rsidRPr="001D1B80" w:rsidRDefault="001C5E4B" w:rsidP="001D1B80">
          <w:pPr>
            <w:pStyle w:val="RfrencesAcknoledgment"/>
          </w:pPr>
          <w:r w:rsidRPr="001D1B80">
            <w:t>Sensors. Treatise</w:t>
          </w:r>
          <w:r w:rsidRPr="001D1B80">
            <w:rPr>
              <w:lang w:val="sl-SI"/>
            </w:rPr>
            <w:t xml:space="preserve"> on</w:t>
          </w:r>
          <w:r w:rsidRPr="001D1B80">
            <w:t xml:space="preserve"> Water</w:t>
          </w:r>
          <w:r w:rsidRPr="001D1B80">
            <w:rPr>
              <w:lang w:val="da-DK"/>
            </w:rPr>
            <w:t xml:space="preserve"> Science.</w:t>
          </w:r>
          <w:r w:rsidRPr="001D1B80">
            <w:t xml:space="preserve"> Elsevier.</w:t>
          </w:r>
          <w:r w:rsidRPr="001D1B80">
            <w:rPr>
              <w:lang w:val="cs-CZ"/>
            </w:rPr>
            <w:t xml:space="preserve"> ISBN:</w:t>
          </w:r>
          <w:r w:rsidRPr="001D1B80">
            <w:rPr>
              <w:lang w:val="ca-ES"/>
            </w:rPr>
            <w:t xml:space="preserve"> 978-0444531988,</w:t>
          </w:r>
          <w:r w:rsidRPr="001D1B80">
            <w:rPr>
              <w:lang w:val="da-DK"/>
            </w:rPr>
            <w:t xml:space="preserve"> p.</w:t>
          </w:r>
          <w:r w:rsidRPr="001D1B80">
            <w:rPr>
              <w:lang w:val="ca-ES"/>
            </w:rPr>
            <w:t xml:space="preserve"> 3.</w:t>
          </w:r>
        </w:p>
        <w:p w:rsidR="001C5E4B" w:rsidRPr="001D1B80" w:rsidRDefault="001C5E4B" w:rsidP="001D1B80">
          <w:pPr>
            <w:pStyle w:val="RfrencesAcknoledgment"/>
            <w:ind w:firstLine="0"/>
          </w:pPr>
          <w:r w:rsidRPr="001D1B80">
            <w:t>Orihel,</w:t>
          </w:r>
          <w:r w:rsidRPr="001D1B80">
            <w:rPr>
              <w:lang w:val="nb-NO"/>
            </w:rPr>
            <w:t xml:space="preserve"> D.M.,</w:t>
          </w:r>
          <w:r w:rsidRPr="001D1B80">
            <w:rPr>
              <w:lang w:val="es-ES"/>
            </w:rPr>
            <w:t xml:space="preserve"> Hadas,</w:t>
          </w:r>
          <w:r w:rsidRPr="001D1B80">
            <w:rPr>
              <w:lang w:val="sl-SI"/>
            </w:rPr>
            <w:t xml:space="preserve"> O.,</w:t>
          </w:r>
          <w:r w:rsidRPr="001D1B80">
            <w:t xml:space="preserve"> Pinkas,</w:t>
          </w:r>
          <w:r w:rsidRPr="001D1B80">
            <w:rPr>
              <w:lang w:val="pt-BR"/>
            </w:rPr>
            <w:t xml:space="preserve"> R.,</w:t>
          </w:r>
          <w:r w:rsidRPr="001D1B80">
            <w:t xml:space="preserve"> Viner-Mozzini,</w:t>
          </w:r>
          <w:r w:rsidRPr="001D1B80">
            <w:rPr>
              <w:lang w:val="da-DK"/>
            </w:rPr>
            <w:t xml:space="preserve"> Y.,</w:t>
          </w:r>
          <w:r w:rsidRPr="001D1B80">
            <w:t xml:space="preserve"> Sukenik,</w:t>
          </w:r>
          <w:r w:rsidRPr="001D1B80">
            <w:rPr>
              <w:lang w:val="sl-SI"/>
            </w:rPr>
            <w:t xml:space="preserve"> A.,</w:t>
          </w:r>
          <w:r w:rsidRPr="001D1B80">
            <w:rPr>
              <w:lang w:val="ca-ES"/>
            </w:rPr>
            <w:t xml:space="preserve"> 2013.</w:t>
          </w:r>
          <w:r w:rsidRPr="001D1B80">
            <w:t xml:space="preserve"> Internal </w:t>
          </w:r>
        </w:p>
        <w:p w:rsidR="001C5E4B" w:rsidRPr="001D1B80" w:rsidRDefault="001C5E4B" w:rsidP="001D1B80">
          <w:pPr>
            <w:pStyle w:val="RfrencesAcknoledgment"/>
          </w:pPr>
          <w:r w:rsidRPr="001D1B80">
            <w:t>nutrient loading may increase microcystin concentrations</w:t>
          </w:r>
          <w:r w:rsidRPr="001D1B80">
            <w:rPr>
              <w:lang w:val="sl-SI"/>
            </w:rPr>
            <w:t xml:space="preserve"> in</w:t>
          </w:r>
          <w:r w:rsidRPr="001D1B80">
            <w:t xml:space="preserve"> freshwater lakes</w:t>
          </w:r>
          <w:r w:rsidRPr="001D1B80">
            <w:rPr>
              <w:lang w:val="cs-CZ"/>
            </w:rPr>
            <w:t xml:space="preserve"> by</w:t>
          </w:r>
          <w:r w:rsidRPr="001D1B80">
            <w:t xml:space="preserve"> </w:t>
          </w:r>
        </w:p>
        <w:p w:rsidR="001C5E4B" w:rsidRPr="001D1B80" w:rsidRDefault="001C5E4B" w:rsidP="001D1B80">
          <w:pPr>
            <w:pStyle w:val="RfrencesAcknoledgment"/>
            <w:rPr>
              <w:lang w:val="ca-ES"/>
            </w:rPr>
          </w:pPr>
          <w:r w:rsidRPr="001D1B80">
            <w:t>promoting growth of Microcystis populations.</w:t>
          </w:r>
          <w:r w:rsidRPr="001D1B80">
            <w:rPr>
              <w:lang w:val="cs-CZ"/>
            </w:rPr>
            <w:t xml:space="preserve"> Ann.</w:t>
          </w:r>
          <w:r w:rsidRPr="001D1B80">
            <w:t xml:space="preserve"> Limnol.</w:t>
          </w:r>
          <w:r w:rsidRPr="001D1B80">
            <w:rPr>
              <w:lang w:val="nl-NL"/>
            </w:rPr>
            <w:t xml:space="preserve"> —Int.</w:t>
          </w:r>
          <w:r w:rsidRPr="001D1B80">
            <w:rPr>
              <w:lang w:val="da-DK"/>
            </w:rPr>
            <w:t xml:space="preserve"> J.</w:t>
          </w:r>
          <w:r w:rsidRPr="001D1B80">
            <w:t xml:space="preserve"> Lim.</w:t>
          </w:r>
          <w:r w:rsidRPr="001D1B80">
            <w:rPr>
              <w:lang w:val="ca-ES"/>
            </w:rPr>
            <w:t xml:space="preserve"> 49, 225–235.</w:t>
          </w:r>
        </w:p>
        <w:p w:rsidR="001C5E4B" w:rsidRPr="001D1B80" w:rsidRDefault="00D27E5B" w:rsidP="001D1B80">
          <w:pPr>
            <w:pStyle w:val="RfrencesAcknoledgment"/>
          </w:pPr>
          <w:hyperlink r:id="rId18" w:history="1">
            <w:r w:rsidR="001C5E4B" w:rsidRPr="001D1B80">
              <w:rPr>
                <w:rStyle w:val="Lienhypertexte"/>
              </w:rPr>
              <w:t>http:// dx.doi.org/10.1051/limn/2013052.</w:t>
            </w:r>
          </w:hyperlink>
        </w:p>
        <w:p w:rsidR="001C5E4B" w:rsidRPr="001D1B80" w:rsidRDefault="001C5E4B" w:rsidP="001D1B80">
          <w:pPr>
            <w:pStyle w:val="RfrencesAcknoledgment"/>
            <w:ind w:firstLine="0"/>
          </w:pPr>
          <w:r w:rsidRPr="001D1B80">
            <w:t>Ow, Y.Y.,</w:t>
          </w:r>
          <w:r w:rsidRPr="001D1B80">
            <w:rPr>
              <w:lang w:val="sv-SE"/>
            </w:rPr>
            <w:t xml:space="preserve"> Stupans,</w:t>
          </w:r>
          <w:r w:rsidRPr="001D1B80">
            <w:rPr>
              <w:lang w:val="sl-SI"/>
            </w:rPr>
            <w:t xml:space="preserve"> I.,</w:t>
          </w:r>
          <w:r w:rsidRPr="001D1B80">
            <w:rPr>
              <w:lang w:val="ca-ES"/>
            </w:rPr>
            <w:t xml:space="preserve"> 2003.</w:t>
          </w:r>
          <w:r w:rsidRPr="001D1B80">
            <w:t xml:space="preserve"> Gallic acid</w:t>
          </w:r>
          <w:r w:rsidRPr="001D1B80">
            <w:rPr>
              <w:lang w:val="da-DK"/>
            </w:rPr>
            <w:t xml:space="preserve"> and</w:t>
          </w:r>
          <w:r w:rsidRPr="001D1B80">
            <w:t xml:space="preserve"> gallic acid derivatives: effects</w:t>
          </w:r>
          <w:r w:rsidRPr="001D1B80">
            <w:rPr>
              <w:lang w:val="sl-SI"/>
            </w:rPr>
            <w:t xml:space="preserve"> on drug</w:t>
          </w:r>
          <w:r w:rsidRPr="001D1B80">
            <w:t xml:space="preserve"> </w:t>
          </w:r>
        </w:p>
        <w:p w:rsidR="001C5E4B" w:rsidRPr="001D1B80" w:rsidRDefault="001C5E4B" w:rsidP="001D1B80">
          <w:pPr>
            <w:pStyle w:val="RfrencesAcknoledgment"/>
          </w:pPr>
          <w:r w:rsidRPr="001D1B80">
            <w:t>metabo</w:t>
          </w:r>
          <w:r w:rsidRPr="001D1B80">
            <w:softHyphen/>
            <w:t>lizing enzymes. Curr.</w:t>
          </w:r>
          <w:r w:rsidRPr="001D1B80">
            <w:rPr>
              <w:lang w:val="sl-SI"/>
            </w:rPr>
            <w:t xml:space="preserve"> Drug</w:t>
          </w:r>
          <w:r w:rsidRPr="001D1B80">
            <w:t xml:space="preserve"> Metab.</w:t>
          </w:r>
          <w:r w:rsidRPr="001D1B80">
            <w:rPr>
              <w:lang w:val="ca-ES"/>
            </w:rPr>
            <w:t xml:space="preserve"> 4, 241–248.</w:t>
          </w:r>
        </w:p>
        <w:p w:rsidR="001C5E4B" w:rsidRPr="001D1B80" w:rsidRDefault="001C5E4B" w:rsidP="001D1B80">
          <w:pPr>
            <w:pStyle w:val="RfrencesAcknoledgment"/>
            <w:ind w:firstLine="0"/>
          </w:pPr>
          <w:r w:rsidRPr="001D1B80">
            <w:t>Paerl, H.W.,</w:t>
          </w:r>
          <w:r w:rsidRPr="001D1B80">
            <w:rPr>
              <w:lang w:val="nl-NL"/>
            </w:rPr>
            <w:t xml:space="preserve"> Huisman,</w:t>
          </w:r>
          <w:r w:rsidRPr="001D1B80">
            <w:rPr>
              <w:lang w:val="da-DK"/>
            </w:rPr>
            <w:t xml:space="preserve"> J.,</w:t>
          </w:r>
          <w:r w:rsidRPr="001D1B80">
            <w:rPr>
              <w:lang w:val="ca-ES"/>
            </w:rPr>
            <w:t xml:space="preserve"> 2008.</w:t>
          </w:r>
          <w:r w:rsidRPr="001D1B80">
            <w:t xml:space="preserve"> Blooms like it</w:t>
          </w:r>
          <w:r w:rsidRPr="001D1B80">
            <w:rPr>
              <w:lang w:val="da-DK"/>
            </w:rPr>
            <w:t xml:space="preserve"> hot. Science</w:t>
          </w:r>
          <w:r w:rsidRPr="001D1B80">
            <w:rPr>
              <w:lang w:val="ca-ES"/>
            </w:rPr>
            <w:t xml:space="preserve"> 320, 57–58.</w:t>
          </w:r>
        </w:p>
        <w:p w:rsidR="001C5E4B" w:rsidRPr="001D1B80" w:rsidRDefault="001C5E4B" w:rsidP="001D1B80">
          <w:pPr>
            <w:pStyle w:val="RfrencesAcknoledgment"/>
            <w:ind w:firstLine="0"/>
          </w:pPr>
          <w:r w:rsidRPr="001D1B80">
            <w:t>Qu,</w:t>
          </w:r>
          <w:r w:rsidRPr="001D1B80">
            <w:rPr>
              <w:lang w:val="da-DK"/>
            </w:rPr>
            <w:t xml:space="preserve"> J.,</w:t>
          </w:r>
          <w:r w:rsidRPr="001D1B80">
            <w:t xml:space="preserve"> Zhang,</w:t>
          </w:r>
          <w:r w:rsidRPr="001D1B80">
            <w:rPr>
              <w:lang w:val="da-DK"/>
            </w:rPr>
            <w:t xml:space="preserve"> Q.,</w:t>
          </w:r>
          <w:r w:rsidRPr="001D1B80">
            <w:t xml:space="preserve"> Zhang,</w:t>
          </w:r>
          <w:r w:rsidRPr="001D1B80">
            <w:rPr>
              <w:lang w:val="sl-SI"/>
            </w:rPr>
            <w:t xml:space="preserve"> M.,</w:t>
          </w:r>
          <w:r w:rsidRPr="001D1B80">
            <w:rPr>
              <w:lang w:val="pt-BR"/>
            </w:rPr>
            <w:t xml:space="preserve"> Jia,</w:t>
          </w:r>
          <w:r w:rsidRPr="001D1B80">
            <w:rPr>
              <w:lang w:val="sl-SI"/>
            </w:rPr>
            <w:t xml:space="preserve"> C.,</w:t>
          </w:r>
          <w:r w:rsidRPr="001D1B80">
            <w:t xml:space="preserve"> Liu,</w:t>
          </w:r>
          <w:r w:rsidRPr="001D1B80">
            <w:rPr>
              <w:lang w:val="da-DK"/>
            </w:rPr>
            <w:t xml:space="preserve"> P., Yang,</w:t>
          </w:r>
          <w:r w:rsidRPr="001D1B80">
            <w:rPr>
              <w:lang w:val="sl-SI"/>
            </w:rPr>
            <w:t xml:space="preserve"> M.,</w:t>
          </w:r>
          <w:r w:rsidRPr="001D1B80">
            <w:t xml:space="preserve"> Zhu,</w:t>
          </w:r>
          <w:r w:rsidRPr="001D1B80">
            <w:rPr>
              <w:lang w:val="sl-SI"/>
            </w:rPr>
            <w:t xml:space="preserve"> H.,</w:t>
          </w:r>
          <w:r w:rsidRPr="001D1B80">
            <w:t xml:space="preserve"> Li,</w:t>
          </w:r>
          <w:r w:rsidRPr="001D1B80">
            <w:rPr>
              <w:lang w:val="it-IT"/>
            </w:rPr>
            <w:t xml:space="preserve"> W.,</w:t>
          </w:r>
          <w:r w:rsidRPr="001D1B80">
            <w:rPr>
              <w:lang w:val="ca-ES"/>
            </w:rPr>
            <w:t xml:space="preserve"> 2015.</w:t>
          </w:r>
          <w:r w:rsidRPr="001D1B80">
            <w:rPr>
              <w:lang w:val="da-DK"/>
            </w:rPr>
            <w:t xml:space="preserve"> Factors</w:t>
          </w:r>
          <w:r w:rsidRPr="001D1B80">
            <w:t xml:space="preserve"> </w:t>
          </w:r>
        </w:p>
        <w:p w:rsidR="001C5E4B" w:rsidRPr="001D1B80" w:rsidRDefault="001C5E4B" w:rsidP="001D1B80">
          <w:pPr>
            <w:pStyle w:val="RfrencesAcknoledgment"/>
          </w:pPr>
          <w:r w:rsidRPr="001D1B80">
            <w:t>affecting</w:t>
          </w:r>
          <w:r w:rsidRPr="001D1B80">
            <w:rPr>
              <w:lang w:val="pt-BR"/>
            </w:rPr>
            <w:t xml:space="preserve"> temporal</w:t>
          </w:r>
          <w:r w:rsidRPr="001D1B80">
            <w:t xml:space="preserve"> variations of cyanobacteria composition</w:t>
          </w:r>
          <w:r w:rsidRPr="001D1B80">
            <w:rPr>
              <w:lang w:val="da-DK"/>
            </w:rPr>
            <w:t xml:space="preserve"> and</w:t>
          </w:r>
          <w:r w:rsidRPr="001D1B80">
            <w:t xml:space="preserve"> microcystins</w:t>
          </w:r>
          <w:r w:rsidRPr="001D1B80">
            <w:rPr>
              <w:lang w:val="sl-SI"/>
            </w:rPr>
            <w:t xml:space="preserve"> in a</w:t>
          </w:r>
          <w:r w:rsidRPr="001D1B80">
            <w:t xml:space="preserve"> </w:t>
          </w:r>
        </w:p>
        <w:p w:rsidR="001C5E4B" w:rsidRPr="001D1B80" w:rsidRDefault="001C5E4B" w:rsidP="001D1B80">
          <w:pPr>
            <w:pStyle w:val="RfrencesAcknoledgment"/>
          </w:pPr>
          <w:r w:rsidRPr="001D1B80">
            <w:t>hypertrophic</w:t>
          </w:r>
          <w:r w:rsidRPr="001D1B80">
            <w:rPr>
              <w:lang w:val="sl-SI"/>
            </w:rPr>
            <w:t xml:space="preserve"> urban</w:t>
          </w:r>
          <w:r w:rsidRPr="001D1B80">
            <w:t xml:space="preserve"> lake, Beijiing.</w:t>
          </w:r>
          <w:r w:rsidRPr="001D1B80">
            <w:rPr>
              <w:lang w:val="ca-ES"/>
            </w:rPr>
            <w:t xml:space="preserve"> 2015</w:t>
          </w:r>
          <w:r w:rsidRPr="001D1B80">
            <w:t xml:space="preserve"> AASRI</w:t>
          </w:r>
          <w:r w:rsidRPr="001D1B80">
            <w:rPr>
              <w:lang w:val="cs-CZ"/>
            </w:rPr>
            <w:t xml:space="preserve"> International</w:t>
          </w:r>
          <w:r w:rsidRPr="001D1B80">
            <w:t xml:space="preserve"> Conference</w:t>
          </w:r>
          <w:r w:rsidRPr="001D1B80">
            <w:rPr>
              <w:lang w:val="sl-SI"/>
            </w:rPr>
            <w:t xml:space="preserve"> on</w:t>
          </w:r>
          <w:r w:rsidRPr="001D1B80">
            <w:t xml:space="preserve"> Industrial </w:t>
          </w:r>
        </w:p>
        <w:p w:rsidR="001C5E4B" w:rsidRPr="001D1B80" w:rsidRDefault="001C5E4B" w:rsidP="001D1B80">
          <w:pPr>
            <w:pStyle w:val="RfrencesAcknoledgment"/>
          </w:pPr>
          <w:r w:rsidRPr="001D1B80">
            <w:t>Electronics</w:t>
          </w:r>
          <w:r w:rsidRPr="001D1B80">
            <w:rPr>
              <w:lang w:val="da-DK"/>
            </w:rPr>
            <w:t xml:space="preserve"> and</w:t>
          </w:r>
          <w:r w:rsidRPr="001D1B80">
            <w:t xml:space="preserve"> Applications, The authors. Atlantis Press, pp.</w:t>
          </w:r>
          <w:r w:rsidRPr="001D1B80">
            <w:rPr>
              <w:lang w:val="ca-ES"/>
            </w:rPr>
            <w:t xml:space="preserve"> 464–467.</w:t>
          </w:r>
        </w:p>
        <w:p w:rsidR="001C5E4B" w:rsidRPr="001D1B80" w:rsidRDefault="001C5E4B" w:rsidP="001D1B80">
          <w:pPr>
            <w:pStyle w:val="RfrencesAcknoledgment"/>
            <w:ind w:firstLine="0"/>
            <w:rPr>
              <w:lang w:val="pl-PL"/>
            </w:rPr>
          </w:pPr>
          <w:r w:rsidRPr="001D1B80">
            <w:t>Rice,</w:t>
          </w:r>
          <w:r w:rsidRPr="001D1B80">
            <w:rPr>
              <w:lang w:val="nb-NO"/>
            </w:rPr>
            <w:t xml:space="preserve"> E.L.,</w:t>
          </w:r>
          <w:r w:rsidRPr="001D1B80">
            <w:rPr>
              <w:lang w:val="ca-ES"/>
            </w:rPr>
            <w:t xml:space="preserve"> 1984.</w:t>
          </w:r>
          <w:r w:rsidRPr="001D1B80">
            <w:t xml:space="preserve"> Allelopathy. second</w:t>
          </w:r>
          <w:r w:rsidRPr="001D1B80">
            <w:rPr>
              <w:lang w:val="da-DK"/>
            </w:rPr>
            <w:t xml:space="preserve"> ed.</w:t>
          </w:r>
          <w:r w:rsidRPr="001D1B80">
            <w:t xml:space="preserve"> Academic Press,</w:t>
          </w:r>
          <w:r w:rsidRPr="001D1B80">
            <w:rPr>
              <w:lang w:val="sl-SI"/>
            </w:rPr>
            <w:t xml:space="preserve"> Orlando,</w:t>
          </w:r>
          <w:r w:rsidRPr="001D1B80">
            <w:t xml:space="preserve"> FL.</w:t>
          </w:r>
        </w:p>
        <w:p w:rsidR="001C5E4B" w:rsidRPr="001D1B80" w:rsidRDefault="001C5E4B" w:rsidP="001D1B80">
          <w:pPr>
            <w:pStyle w:val="RfrencesAcknoledgment"/>
            <w:ind w:firstLine="0"/>
          </w:pPr>
          <w:r w:rsidRPr="001D1B80">
            <w:rPr>
              <w:lang w:val="pl-PL"/>
            </w:rPr>
            <w:t>Rzymski,</w:t>
          </w:r>
          <w:r w:rsidRPr="001D1B80">
            <w:rPr>
              <w:lang w:val="da-DK"/>
            </w:rPr>
            <w:t xml:space="preserve"> P.,</w:t>
          </w:r>
          <w:r w:rsidRPr="001D1B80">
            <w:t xml:space="preserve"> Poniedzialek,</w:t>
          </w:r>
          <w:r w:rsidRPr="001D1B80">
            <w:rPr>
              <w:lang w:val="da-DK"/>
            </w:rPr>
            <w:t xml:space="preserve"> B.,</w:t>
          </w:r>
          <w:r w:rsidRPr="001D1B80">
            <w:rPr>
              <w:lang w:val="ca-ES"/>
            </w:rPr>
            <w:t xml:space="preserve"> 2014.</w:t>
          </w:r>
          <w:r w:rsidRPr="001D1B80">
            <w:rPr>
              <w:lang w:val="sl-SI"/>
            </w:rPr>
            <w:t xml:space="preserve"> In</w:t>
          </w:r>
          <w:r w:rsidRPr="001D1B80">
            <w:t xml:space="preserve"> search of environmental</w:t>
          </w:r>
          <w:r w:rsidRPr="001D1B80">
            <w:rPr>
              <w:lang w:val="sl-SI"/>
            </w:rPr>
            <w:t xml:space="preserve"> role</w:t>
          </w:r>
          <w:r w:rsidRPr="001D1B80">
            <w:t xml:space="preserve"> of </w:t>
          </w:r>
        </w:p>
        <w:p w:rsidR="001C5E4B" w:rsidRPr="001D1B80" w:rsidRDefault="001C5E4B" w:rsidP="001D1B80">
          <w:pPr>
            <w:pStyle w:val="RfrencesAcknoledgment"/>
            <w:rPr>
              <w:lang w:val="sl-SI"/>
            </w:rPr>
          </w:pPr>
          <w:r w:rsidRPr="001D1B80">
            <w:t>cylindrospermopsin:</w:t>
          </w:r>
          <w:r w:rsidRPr="001D1B80">
            <w:rPr>
              <w:lang w:val="sl-SI"/>
            </w:rPr>
            <w:t xml:space="preserve"> a</w:t>
          </w:r>
          <w:r w:rsidRPr="001D1B80">
            <w:t xml:space="preserve"> review</w:t>
          </w:r>
          <w:r w:rsidRPr="001D1B80">
            <w:rPr>
              <w:lang w:val="sl-SI"/>
            </w:rPr>
            <w:t xml:space="preserve"> on</w:t>
          </w:r>
          <w:r w:rsidRPr="001D1B80">
            <w:rPr>
              <w:lang w:val="pt-BR"/>
            </w:rPr>
            <w:t xml:space="preserve"> global</w:t>
          </w:r>
          <w:r w:rsidRPr="001D1B80">
            <w:t xml:space="preserve"> distribution</w:t>
          </w:r>
          <w:r w:rsidRPr="001D1B80">
            <w:rPr>
              <w:lang w:val="da-DK"/>
            </w:rPr>
            <w:t xml:space="preserve"> and</w:t>
          </w:r>
          <w:r w:rsidRPr="001D1B80">
            <w:t xml:space="preserve"> ecology of its</w:t>
          </w:r>
          <w:r w:rsidRPr="001D1B80">
            <w:rPr>
              <w:lang w:val="da-DK"/>
            </w:rPr>
            <w:t xml:space="preserve"> producers.</w:t>
          </w:r>
          <w:r w:rsidRPr="001D1B80">
            <w:t xml:space="preserve"> Water</w:t>
          </w:r>
          <w:r w:rsidRPr="001D1B80">
            <w:rPr>
              <w:lang w:val="sl-SI"/>
            </w:rPr>
            <w:t xml:space="preserve"> </w:t>
          </w:r>
        </w:p>
        <w:p w:rsidR="001C5E4B" w:rsidRPr="001D1B80" w:rsidRDefault="001C5E4B" w:rsidP="001D1B80">
          <w:pPr>
            <w:pStyle w:val="RfrencesAcknoledgment"/>
          </w:pPr>
          <w:r w:rsidRPr="001D1B80">
            <w:rPr>
              <w:lang w:val="sl-SI"/>
            </w:rPr>
            <w:t>Res.</w:t>
          </w:r>
          <w:r w:rsidRPr="001D1B80">
            <w:rPr>
              <w:lang w:val="ca-ES"/>
            </w:rPr>
            <w:t xml:space="preserve"> 66, 320–327.</w:t>
          </w:r>
        </w:p>
        <w:p w:rsidR="001C5E4B" w:rsidRPr="001D1B80" w:rsidRDefault="001C5E4B" w:rsidP="001D1B80">
          <w:pPr>
            <w:pStyle w:val="RfrencesAcknoledgment"/>
            <w:ind w:firstLine="0"/>
          </w:pPr>
          <w:r w:rsidRPr="001D1B80">
            <w:t>Saito,</w:t>
          </w:r>
          <w:r w:rsidRPr="001D1B80">
            <w:rPr>
              <w:lang w:val="sl-SI"/>
            </w:rPr>
            <w:t xml:space="preserve"> K.,</w:t>
          </w:r>
          <w:r w:rsidRPr="001D1B80">
            <w:t xml:space="preserve"> Matsumoto,</w:t>
          </w:r>
          <w:r w:rsidRPr="001D1B80">
            <w:rPr>
              <w:lang w:val="sl-SI"/>
            </w:rPr>
            <w:t xml:space="preserve"> M.,</w:t>
          </w:r>
          <w:r w:rsidRPr="001D1B80">
            <w:t xml:space="preserve"> Sekine,</w:t>
          </w:r>
          <w:r w:rsidRPr="001D1B80">
            <w:rPr>
              <w:lang w:val="sl-SI"/>
            </w:rPr>
            <w:t xml:space="preserve"> T.,</w:t>
          </w:r>
          <w:r w:rsidRPr="001D1B80">
            <w:t xml:space="preserve"> Murakoshi,</w:t>
          </w:r>
          <w:r w:rsidRPr="001D1B80">
            <w:rPr>
              <w:lang w:val="sl-SI"/>
            </w:rPr>
            <w:t xml:space="preserve"> I.,</w:t>
          </w:r>
          <w:r w:rsidRPr="001D1B80">
            <w:t xml:space="preserve"> Morisaki,</w:t>
          </w:r>
          <w:r w:rsidRPr="001D1B80">
            <w:rPr>
              <w:lang w:val="da-DK"/>
            </w:rPr>
            <w:t xml:space="preserve"> N.,</w:t>
          </w:r>
          <w:r w:rsidRPr="001D1B80">
            <w:t xml:space="preserve"> Iwasaki,</w:t>
          </w:r>
          <w:r w:rsidRPr="001D1B80">
            <w:rPr>
              <w:lang w:val="sl-SI"/>
            </w:rPr>
            <w:t xml:space="preserve"> S.,</w:t>
          </w:r>
          <w:r w:rsidRPr="001D1B80">
            <w:rPr>
              <w:lang w:val="ca-ES"/>
            </w:rPr>
            <w:t xml:space="preserve"> 1989.</w:t>
          </w:r>
          <w:r w:rsidRPr="001D1B80">
            <w:t xml:space="preserve"> </w:t>
          </w:r>
        </w:p>
        <w:p w:rsidR="001C5E4B" w:rsidRPr="001D1B80" w:rsidRDefault="001C5E4B" w:rsidP="001D1B80">
          <w:pPr>
            <w:pStyle w:val="RfrencesAcknoledgment"/>
            <w:rPr>
              <w:lang w:val="da-DK"/>
            </w:rPr>
          </w:pPr>
          <w:r w:rsidRPr="001D1B80">
            <w:t>Inhibitory substances from Myńophyllum brasiliense</w:t>
          </w:r>
          <w:r w:rsidRPr="001D1B80">
            <w:rPr>
              <w:lang w:val="sl-SI"/>
            </w:rPr>
            <w:t xml:space="preserve"> on</w:t>
          </w:r>
          <w:r w:rsidRPr="001D1B80">
            <w:t xml:space="preserve"> growth of blue-green algae.</w:t>
          </w:r>
          <w:r w:rsidRPr="001D1B80">
            <w:rPr>
              <w:lang w:val="da-DK"/>
            </w:rPr>
            <w:t xml:space="preserve"> J. </w:t>
          </w:r>
        </w:p>
        <w:p w:rsidR="001C5E4B" w:rsidRPr="001D1B80" w:rsidRDefault="001C5E4B" w:rsidP="001D1B80">
          <w:pPr>
            <w:pStyle w:val="RfrencesAcknoledgment"/>
          </w:pPr>
          <w:r w:rsidRPr="001D1B80">
            <w:rPr>
              <w:lang w:val="da-DK"/>
            </w:rPr>
            <w:t>Nat.</w:t>
          </w:r>
          <w:r w:rsidRPr="001D1B80">
            <w:t xml:space="preserve"> Prod.</w:t>
          </w:r>
          <w:r w:rsidRPr="001D1B80">
            <w:rPr>
              <w:lang w:val="ca-ES"/>
            </w:rPr>
            <w:t xml:space="preserve"> 52, 1221–1226.</w:t>
          </w:r>
        </w:p>
        <w:p w:rsidR="001C5E4B" w:rsidRPr="001D1B80" w:rsidRDefault="001C5E4B" w:rsidP="001D1B80">
          <w:pPr>
            <w:pStyle w:val="RfrencesAcknoledgment"/>
            <w:ind w:firstLine="0"/>
            <w:rPr>
              <w:lang w:val="pt-BR"/>
            </w:rPr>
          </w:pPr>
          <w:r w:rsidRPr="001D1B80">
            <w:t>Shao, J.H., Wu, X.Q., Li, R.H.,</w:t>
          </w:r>
          <w:r w:rsidRPr="001D1B80">
            <w:rPr>
              <w:lang w:val="ca-ES"/>
            </w:rPr>
            <w:t xml:space="preserve"> 2009.</w:t>
          </w:r>
          <w:r w:rsidRPr="001D1B80">
            <w:t xml:space="preserve"> Physiological</w:t>
          </w:r>
          <w:r w:rsidRPr="001D1B80">
            <w:rPr>
              <w:lang w:val="pt-BR"/>
            </w:rPr>
            <w:t xml:space="preserve"> responses</w:t>
          </w:r>
          <w:r w:rsidRPr="001D1B80">
            <w:t xml:space="preserve"> of Microcystis</w:t>
          </w:r>
          <w:r w:rsidRPr="001D1B80">
            <w:rPr>
              <w:lang w:val="pt-BR"/>
            </w:rPr>
            <w:t xml:space="preserve"> </w:t>
          </w:r>
        </w:p>
        <w:p w:rsidR="001C5E4B" w:rsidRPr="001D1B80" w:rsidRDefault="001C5E4B" w:rsidP="001D1B80">
          <w:pPr>
            <w:pStyle w:val="RfrencesAcknoledgment"/>
          </w:pPr>
          <w:r w:rsidRPr="001D1B80">
            <w:rPr>
              <w:lang w:val="pt-BR"/>
            </w:rPr>
            <w:t>aeruginosa</w:t>
          </w:r>
          <w:r w:rsidRPr="001D1B80">
            <w:t xml:space="preserve"> PCC7806</w:t>
          </w:r>
          <w:r w:rsidRPr="001D1B80">
            <w:rPr>
              <w:lang w:val="sl-SI"/>
            </w:rPr>
            <w:t xml:space="preserve"> to</w:t>
          </w:r>
          <w:r w:rsidRPr="001D1B80">
            <w:t xml:space="preserve"> nonanoic acid</w:t>
          </w:r>
          <w:r w:rsidRPr="001D1B80">
            <w:rPr>
              <w:lang w:val="da-DK"/>
            </w:rPr>
            <w:t xml:space="preserve"> stress. J.</w:t>
          </w:r>
          <w:r w:rsidRPr="001D1B80">
            <w:rPr>
              <w:lang w:val="sl-SI"/>
            </w:rPr>
            <w:t xml:space="preserve"> Plankton Res.</w:t>
          </w:r>
          <w:r w:rsidRPr="001D1B80">
            <w:rPr>
              <w:lang w:val="ca-ES"/>
            </w:rPr>
            <w:t xml:space="preserve"> 31, 827–835.</w:t>
          </w:r>
        </w:p>
        <w:p w:rsidR="001C5E4B" w:rsidRPr="001D1B80" w:rsidRDefault="001C5E4B" w:rsidP="001D1B80">
          <w:pPr>
            <w:pStyle w:val="RfrencesAcknoledgment"/>
            <w:ind w:firstLine="0"/>
          </w:pPr>
          <w:r w:rsidRPr="001D1B80">
            <w:t>Shao,</w:t>
          </w:r>
          <w:r w:rsidRPr="001D1B80">
            <w:rPr>
              <w:lang w:val="da-DK"/>
            </w:rPr>
            <w:t xml:space="preserve"> J.,</w:t>
          </w:r>
          <w:r w:rsidRPr="001D1B80">
            <w:t xml:space="preserve"> Li,</w:t>
          </w:r>
          <w:r w:rsidRPr="001D1B80">
            <w:rPr>
              <w:lang w:val="pt-BR"/>
            </w:rPr>
            <w:t xml:space="preserve"> R.,</w:t>
          </w:r>
          <w:r w:rsidRPr="001D1B80">
            <w:rPr>
              <w:lang w:val="sl-SI"/>
            </w:rPr>
            <w:t xml:space="preserve"> Lepo,</w:t>
          </w:r>
          <w:r w:rsidRPr="001D1B80">
            <w:t xml:space="preserve"> J.E.,</w:t>
          </w:r>
          <w:r w:rsidRPr="001D1B80">
            <w:rPr>
              <w:lang w:val="da-DK"/>
            </w:rPr>
            <w:t xml:space="preserve"> Gu,</w:t>
          </w:r>
          <w:r w:rsidRPr="001D1B80">
            <w:rPr>
              <w:lang w:val="pl-PL"/>
            </w:rPr>
            <w:t xml:space="preserve"> J.-D.,</w:t>
          </w:r>
          <w:r w:rsidRPr="001D1B80">
            <w:rPr>
              <w:lang w:val="ca-ES"/>
            </w:rPr>
            <w:t xml:space="preserve"> 2013.</w:t>
          </w:r>
          <w:r w:rsidRPr="001D1B80">
            <w:t xml:space="preserve"> Potential</w:t>
          </w:r>
          <w:r w:rsidRPr="001D1B80">
            <w:rPr>
              <w:lang w:val="pt-BR"/>
            </w:rPr>
            <w:t xml:space="preserve"> for</w:t>
          </w:r>
          <w:r w:rsidRPr="001D1B80">
            <w:t xml:space="preserve"> control of harmful </w:t>
          </w:r>
        </w:p>
        <w:p w:rsidR="001C5E4B" w:rsidRPr="001D1B80" w:rsidRDefault="001C5E4B" w:rsidP="001D1B80">
          <w:pPr>
            <w:pStyle w:val="RfrencesAcknoledgment"/>
            <w:rPr>
              <w:lang w:val="da-DK"/>
            </w:rPr>
          </w:pPr>
          <w:r w:rsidRPr="001D1B80">
            <w:t>cyanobacterial blooms using biologically derived substances: problems</w:t>
          </w:r>
          <w:r w:rsidRPr="001D1B80">
            <w:rPr>
              <w:lang w:val="da-DK"/>
            </w:rPr>
            <w:t xml:space="preserve"> and</w:t>
          </w:r>
          <w:r w:rsidRPr="001D1B80">
            <w:t xml:space="preserve"> prospects.</w:t>
          </w:r>
          <w:r w:rsidRPr="001D1B80">
            <w:rPr>
              <w:lang w:val="da-DK"/>
            </w:rPr>
            <w:t xml:space="preserve"> </w:t>
          </w:r>
        </w:p>
        <w:p w:rsidR="001C5E4B" w:rsidRPr="001D1B80" w:rsidRDefault="001C5E4B" w:rsidP="001D1B80">
          <w:pPr>
            <w:pStyle w:val="RfrencesAcknoledgment"/>
            <w:rPr>
              <w:lang w:val="da-DK"/>
            </w:rPr>
          </w:pPr>
          <w:r w:rsidRPr="001D1B80">
            <w:rPr>
              <w:lang w:val="da-DK"/>
            </w:rPr>
            <w:t>J.</w:t>
          </w:r>
          <w:r w:rsidRPr="001D1B80">
            <w:t xml:space="preserve"> Environ.</w:t>
          </w:r>
          <w:r w:rsidRPr="001D1B80">
            <w:rPr>
              <w:lang w:val="de-DE"/>
            </w:rPr>
            <w:t xml:space="preserve"> Manag.</w:t>
          </w:r>
          <w:r w:rsidRPr="001D1B80">
            <w:rPr>
              <w:lang w:val="ca-ES"/>
            </w:rPr>
            <w:t xml:space="preserve"> 125, 149–155.</w:t>
          </w:r>
        </w:p>
        <w:p w:rsidR="001C5E4B" w:rsidRPr="001D1B80" w:rsidRDefault="001C5E4B" w:rsidP="001D1B80">
          <w:pPr>
            <w:pStyle w:val="RfrencesAcknoledgment"/>
            <w:ind w:firstLine="0"/>
          </w:pPr>
          <w:r w:rsidRPr="001D1B80">
            <w:rPr>
              <w:lang w:val="da-DK"/>
            </w:rPr>
            <w:t>Søndergaard,</w:t>
          </w:r>
          <w:r w:rsidRPr="001D1B80">
            <w:rPr>
              <w:lang w:val="sl-SI"/>
            </w:rPr>
            <w:t xml:space="preserve"> M.,</w:t>
          </w:r>
          <w:r w:rsidRPr="001D1B80">
            <w:t xml:space="preserve"> Jensen, J.P.,</w:t>
          </w:r>
          <w:r w:rsidRPr="001D1B80">
            <w:rPr>
              <w:lang w:val="da-DK"/>
            </w:rPr>
            <w:t xml:space="preserve"> Jeppesen,</w:t>
          </w:r>
          <w:r w:rsidRPr="001D1B80">
            <w:rPr>
              <w:lang w:val="pt-BR"/>
            </w:rPr>
            <w:t xml:space="preserve"> E.,</w:t>
          </w:r>
          <w:r w:rsidRPr="001D1B80">
            <w:rPr>
              <w:lang w:val="ca-ES"/>
            </w:rPr>
            <w:t xml:space="preserve"> 2003.</w:t>
          </w:r>
          <w:r w:rsidRPr="001D1B80">
            <w:rPr>
              <w:lang w:val="sl-SI"/>
            </w:rPr>
            <w:t xml:space="preserve"> Role</w:t>
          </w:r>
          <w:r w:rsidRPr="001D1B80">
            <w:t xml:space="preserve"> of</w:t>
          </w:r>
          <w:r w:rsidRPr="001D1B80">
            <w:rPr>
              <w:lang w:val="sl-SI"/>
            </w:rPr>
            <w:t xml:space="preserve"> sediment</w:t>
          </w:r>
          <w:r w:rsidRPr="001D1B80">
            <w:rPr>
              <w:lang w:val="da-DK"/>
            </w:rPr>
            <w:t xml:space="preserve"> and</w:t>
          </w:r>
          <w:r w:rsidRPr="001D1B80">
            <w:t xml:space="preserve"> internal </w:t>
          </w:r>
        </w:p>
        <w:p w:rsidR="001C5E4B" w:rsidRPr="001D1B80" w:rsidRDefault="001C5E4B" w:rsidP="001D1B80">
          <w:pPr>
            <w:pStyle w:val="RfrencesAcknoledgment"/>
          </w:pPr>
          <w:r w:rsidRPr="001D1B80">
            <w:t>loading of phosphorus</w:t>
          </w:r>
          <w:r w:rsidRPr="001D1B80">
            <w:rPr>
              <w:lang w:val="sl-SI"/>
            </w:rPr>
            <w:t xml:space="preserve"> in</w:t>
          </w:r>
          <w:r w:rsidRPr="001D1B80">
            <w:t xml:space="preserve"> shallow lakes.</w:t>
          </w:r>
          <w:r w:rsidRPr="001D1B80">
            <w:rPr>
              <w:lang w:val="pl-PL"/>
            </w:rPr>
            <w:t xml:space="preserve"> Hydrobiologia</w:t>
          </w:r>
          <w:r w:rsidRPr="001D1B80">
            <w:rPr>
              <w:lang w:val="ca-ES"/>
            </w:rPr>
            <w:t xml:space="preserve"> 506-509, 135–145.</w:t>
          </w:r>
        </w:p>
        <w:p w:rsidR="001C5E4B" w:rsidRPr="001D1B80" w:rsidRDefault="001C5E4B" w:rsidP="001D1B80">
          <w:pPr>
            <w:pStyle w:val="RfrencesAcknoledgment"/>
            <w:ind w:firstLine="0"/>
          </w:pPr>
          <w:r w:rsidRPr="001D1B80">
            <w:t>Sotomayor,</w:t>
          </w:r>
          <w:r w:rsidRPr="001D1B80">
            <w:rPr>
              <w:lang w:val="sl-SI"/>
            </w:rPr>
            <w:t xml:space="preserve"> D.,</w:t>
          </w:r>
          <w:r w:rsidRPr="001D1B80">
            <w:t xml:space="preserve"> Lortie,</w:t>
          </w:r>
          <w:r w:rsidRPr="001D1B80">
            <w:rPr>
              <w:lang w:val="sl-SI"/>
            </w:rPr>
            <w:t xml:space="preserve"> C.,</w:t>
          </w:r>
          <w:r w:rsidRPr="001D1B80">
            <w:rPr>
              <w:lang w:val="ca-ES"/>
            </w:rPr>
            <w:t xml:space="preserve"> 2012.</w:t>
          </w:r>
          <w:r w:rsidRPr="001D1B80">
            <w:t xml:space="preserve"> Allelopathy.</w:t>
          </w:r>
          <w:r w:rsidRPr="001D1B80">
            <w:rPr>
              <w:lang w:val="sl-SI"/>
            </w:rPr>
            <w:t xml:space="preserve"> Oxford</w:t>
          </w:r>
          <w:r w:rsidRPr="001D1B80">
            <w:t xml:space="preserve"> Bibliographies</w:t>
          </w:r>
          <w:r w:rsidRPr="001D1B80">
            <w:rPr>
              <w:lang w:val="sl-SI"/>
            </w:rPr>
            <w:t xml:space="preserve"> in</w:t>
          </w:r>
          <w:r w:rsidRPr="001D1B80">
            <w:t xml:space="preserve"> Ecology</w:t>
          </w:r>
        </w:p>
        <w:p w:rsidR="001C5E4B" w:rsidRPr="001D1B80" w:rsidRDefault="00D27E5B" w:rsidP="001D1B80">
          <w:pPr>
            <w:pStyle w:val="RfrencesAcknoledgment"/>
          </w:pPr>
          <w:hyperlink r:id="rId19" w:history="1">
            <w:r w:rsidR="00FE206C" w:rsidRPr="001D1B80">
              <w:rPr>
                <w:rStyle w:val="Lienhypertexte"/>
              </w:rPr>
              <w:t>http://dx.doi.org/10.1093/obo/9780199830060-0038</w:t>
            </w:r>
          </w:hyperlink>
          <w:r w:rsidR="00FE206C" w:rsidRPr="001D1B80">
            <w:t xml:space="preserve"> </w:t>
          </w:r>
          <w:r w:rsidR="001C5E4B" w:rsidRPr="001D1B80">
            <w:t>.</w:t>
          </w:r>
        </w:p>
        <w:p w:rsidR="001C5E4B" w:rsidRPr="001D1B80" w:rsidRDefault="001C5E4B" w:rsidP="001D1B80">
          <w:pPr>
            <w:pStyle w:val="RfrencesAcknoledgment"/>
            <w:ind w:firstLine="0"/>
          </w:pPr>
          <w:r w:rsidRPr="001D1B80">
            <w:rPr>
              <w:lang w:val="fr-FR"/>
            </w:rPr>
            <w:t>Straub,</w:t>
          </w:r>
          <w:r w:rsidRPr="001D1B80">
            <w:rPr>
              <w:lang w:val="sl-SI"/>
            </w:rPr>
            <w:t xml:space="preserve"> C.,</w:t>
          </w:r>
          <w:r w:rsidRPr="001D1B80">
            <w:rPr>
              <w:lang w:val="fr-FR"/>
            </w:rPr>
            <w:t xml:space="preserve"> Quillardet,</w:t>
          </w:r>
          <w:r w:rsidRPr="001D1B80">
            <w:rPr>
              <w:lang w:val="da-DK"/>
            </w:rPr>
            <w:t xml:space="preserve"> P.,</w:t>
          </w:r>
          <w:r w:rsidRPr="001D1B80">
            <w:rPr>
              <w:lang w:val="fr-FR"/>
            </w:rPr>
            <w:t xml:space="preserve"> Vergalli,</w:t>
          </w:r>
          <w:r w:rsidRPr="001D1B80">
            <w:rPr>
              <w:lang w:val="da-DK"/>
            </w:rPr>
            <w:t xml:space="preserve"> J.,</w:t>
          </w:r>
          <w:r w:rsidRPr="001D1B80">
            <w:rPr>
              <w:lang w:val="sl-SI"/>
            </w:rPr>
            <w:t xml:space="preserve"> de</w:t>
          </w:r>
          <w:r w:rsidRPr="001D1B80">
            <w:rPr>
              <w:lang w:val="fr-FR"/>
            </w:rPr>
            <w:t xml:space="preserve"> Marsac, N.T., Humbert,</w:t>
          </w:r>
          <w:r w:rsidRPr="001D1B80">
            <w:rPr>
              <w:lang w:val="da-DK"/>
            </w:rPr>
            <w:t xml:space="preserve"> J.-F.,</w:t>
          </w:r>
          <w:r w:rsidRPr="001D1B80">
            <w:rPr>
              <w:lang w:val="ca-ES"/>
            </w:rPr>
            <w:t xml:space="preserve"> 2011.</w:t>
          </w:r>
          <w:r w:rsidRPr="001D1B80">
            <w:rPr>
              <w:lang w:val="sl-SI"/>
            </w:rPr>
            <w:t xml:space="preserve"> A</w:t>
          </w:r>
          <w:r w:rsidRPr="001D1B80">
            <w:t xml:space="preserve"> day</w:t>
          </w:r>
          <w:r w:rsidRPr="001D1B80">
            <w:rPr>
              <w:lang w:val="sl-SI"/>
            </w:rPr>
            <w:t xml:space="preserve"> in</w:t>
          </w:r>
          <w:r w:rsidRPr="001D1B80">
            <w:t xml:space="preserve"> </w:t>
          </w:r>
        </w:p>
        <w:p w:rsidR="001C5E4B" w:rsidRPr="001D1B80" w:rsidRDefault="001C5E4B" w:rsidP="001D1B80">
          <w:pPr>
            <w:pStyle w:val="RfrencesAcknoledgment"/>
          </w:pPr>
          <w:r w:rsidRPr="001D1B80">
            <w:t>the life of Microcystis</w:t>
          </w:r>
          <w:r w:rsidRPr="001D1B80">
            <w:rPr>
              <w:lang w:val="pt-BR"/>
            </w:rPr>
            <w:t xml:space="preserve"> aeruginosa</w:t>
          </w:r>
          <w:r w:rsidRPr="001D1B80">
            <w:t xml:space="preserve"> strain PCC</w:t>
          </w:r>
          <w:r w:rsidRPr="001D1B80">
            <w:rPr>
              <w:lang w:val="ca-ES"/>
            </w:rPr>
            <w:t xml:space="preserve"> 7806</w:t>
          </w:r>
          <w:r w:rsidRPr="001D1B80">
            <w:rPr>
              <w:lang w:val="sl-SI"/>
            </w:rPr>
            <w:t xml:space="preserve"> as</w:t>
          </w:r>
          <w:r w:rsidRPr="001D1B80">
            <w:t xml:space="preserve"> revealed</w:t>
          </w:r>
          <w:r w:rsidRPr="001D1B80">
            <w:rPr>
              <w:lang w:val="cs-CZ"/>
            </w:rPr>
            <w:t xml:space="preserve"> by</w:t>
          </w:r>
          <w:r w:rsidRPr="001D1B80">
            <w:rPr>
              <w:lang w:val="sl-SI"/>
            </w:rPr>
            <w:t xml:space="preserve"> a</w:t>
          </w:r>
          <w:r w:rsidRPr="001D1B80">
            <w:t xml:space="preserve"> transcriptomic </w:t>
          </w:r>
        </w:p>
        <w:p w:rsidR="001C5E4B" w:rsidRPr="001D1B80" w:rsidRDefault="001C5E4B" w:rsidP="001D1B80">
          <w:pPr>
            <w:pStyle w:val="RfrencesAcknoledgment"/>
          </w:pPr>
          <w:r w:rsidRPr="001D1B80">
            <w:t>analysis. PLoS</w:t>
          </w:r>
          <w:r w:rsidRPr="001D1B80">
            <w:rPr>
              <w:lang w:val="sl-SI"/>
            </w:rPr>
            <w:t xml:space="preserve"> One</w:t>
          </w:r>
          <w:r w:rsidRPr="001D1B80">
            <w:rPr>
              <w:lang w:val="ca-ES"/>
            </w:rPr>
            <w:t xml:space="preserve"> 6, e16208.</w:t>
          </w:r>
        </w:p>
        <w:p w:rsidR="001C5E4B" w:rsidRPr="001D1B80" w:rsidRDefault="001C5E4B" w:rsidP="001D1B80">
          <w:pPr>
            <w:pStyle w:val="RfrencesAcknoledgment"/>
            <w:ind w:firstLine="0"/>
          </w:pPr>
          <w:r w:rsidRPr="001D1B80">
            <w:t>Sukenik,</w:t>
          </w:r>
          <w:r w:rsidRPr="001D1B80">
            <w:rPr>
              <w:lang w:val="sl-SI"/>
            </w:rPr>
            <w:t xml:space="preserve"> A.,</w:t>
          </w:r>
          <w:r w:rsidRPr="001D1B80">
            <w:rPr>
              <w:lang w:val="es-ES"/>
            </w:rPr>
            <w:t xml:space="preserve"> Hadas,</w:t>
          </w:r>
          <w:r w:rsidRPr="001D1B80">
            <w:rPr>
              <w:lang w:val="sl-SI"/>
            </w:rPr>
            <w:t xml:space="preserve"> O., Kaplan, A.,</w:t>
          </w:r>
          <w:r w:rsidRPr="001D1B80">
            <w:rPr>
              <w:lang w:val="ca-ES"/>
            </w:rPr>
            <w:t xml:space="preserve"> Quesada,</w:t>
          </w:r>
          <w:r w:rsidRPr="001D1B80">
            <w:rPr>
              <w:lang w:val="sl-SI"/>
            </w:rPr>
            <w:t xml:space="preserve"> A.,</w:t>
          </w:r>
          <w:r w:rsidRPr="001D1B80">
            <w:rPr>
              <w:lang w:val="ca-ES"/>
            </w:rPr>
            <w:t xml:space="preserve"> 2012.</w:t>
          </w:r>
          <w:r w:rsidRPr="001D1B80">
            <w:t xml:space="preserve"> Invasion of Nostocales </w:t>
          </w:r>
        </w:p>
        <w:p w:rsidR="001C5E4B" w:rsidRPr="001D1B80" w:rsidRDefault="001C5E4B" w:rsidP="001D1B80">
          <w:pPr>
            <w:pStyle w:val="RfrencesAcknoledgment"/>
            <w:rPr>
              <w:lang w:val="pt-BR"/>
            </w:rPr>
          </w:pPr>
          <w:r w:rsidRPr="001D1B80">
            <w:t>(cyanobacteria)</w:t>
          </w:r>
          <w:r w:rsidRPr="001D1B80">
            <w:rPr>
              <w:lang w:val="sl-SI"/>
            </w:rPr>
            <w:t xml:space="preserve"> to</w:t>
          </w:r>
          <w:r w:rsidRPr="001D1B80">
            <w:t xml:space="preserve"> subtropical</w:t>
          </w:r>
          <w:r w:rsidRPr="001D1B80">
            <w:rPr>
              <w:lang w:val="da-DK"/>
            </w:rPr>
            <w:t xml:space="preserve"> and</w:t>
          </w:r>
          <w:r w:rsidRPr="001D1B80">
            <w:t xml:space="preserve"> temperate freshwater lakes — physiological,</w:t>
          </w:r>
          <w:r w:rsidRPr="001D1B80">
            <w:rPr>
              <w:lang w:val="pt-BR"/>
            </w:rPr>
            <w:t xml:space="preserve"> re</w:t>
          </w:r>
          <w:r w:rsidRPr="001D1B80">
            <w:rPr>
              <w:lang w:val="pt-BR"/>
            </w:rPr>
            <w:softHyphen/>
          </w:r>
        </w:p>
        <w:p w:rsidR="001C5E4B" w:rsidRPr="001D1B80" w:rsidRDefault="001C5E4B" w:rsidP="001D1B80">
          <w:pPr>
            <w:pStyle w:val="RfrencesAcknoledgment"/>
            <w:rPr>
              <w:lang w:val="ca-ES"/>
            </w:rPr>
          </w:pPr>
          <w:r w:rsidRPr="001D1B80">
            <w:rPr>
              <w:lang w:val="pt-BR"/>
            </w:rPr>
            <w:t>gional,</w:t>
          </w:r>
          <w:r w:rsidRPr="001D1B80">
            <w:rPr>
              <w:lang w:val="da-DK"/>
            </w:rPr>
            <w:t xml:space="preserve"> and</w:t>
          </w:r>
          <w:r w:rsidRPr="001D1B80">
            <w:rPr>
              <w:lang w:val="pt-BR"/>
            </w:rPr>
            <w:t xml:space="preserve"> global</w:t>
          </w:r>
          <w:r w:rsidRPr="001D1B80">
            <w:t xml:space="preserve"> driving</w:t>
          </w:r>
          <w:r w:rsidRPr="001D1B80">
            <w:rPr>
              <w:lang w:val="pt-BR"/>
            </w:rPr>
            <w:t xml:space="preserve"> forces.</w:t>
          </w:r>
          <w:r w:rsidRPr="001D1B80">
            <w:rPr>
              <w:lang w:val="sl-SI"/>
            </w:rPr>
            <w:t xml:space="preserve"> Front.</w:t>
          </w:r>
          <w:r w:rsidRPr="001D1B80">
            <w:rPr>
              <w:lang w:val="fr-FR"/>
            </w:rPr>
            <w:t xml:space="preserve"> Microbiol. </w:t>
          </w:r>
          <w:hyperlink r:id="rId20" w:history="1">
            <w:r w:rsidRPr="001D1B80">
              <w:rPr>
                <w:rStyle w:val="Lienhypertexte"/>
                <w:lang w:val="fr-FR"/>
              </w:rPr>
              <w:t>http://dx.doi.org/10.3389/fmicb</w:t>
            </w:r>
          </w:hyperlink>
          <w:r w:rsidRPr="001D1B80">
            <w:rPr>
              <w:lang w:val="fr-FR"/>
            </w:rPr>
            <w:t>.</w:t>
          </w:r>
          <w:r w:rsidRPr="001D1B80">
            <w:rPr>
              <w:lang w:val="ca-ES"/>
            </w:rPr>
            <w:t xml:space="preserve"> </w:t>
          </w:r>
        </w:p>
        <w:p w:rsidR="001C5E4B" w:rsidRPr="001D1B80" w:rsidRDefault="001C5E4B" w:rsidP="001D1B80">
          <w:pPr>
            <w:pStyle w:val="RfrencesAcknoledgment"/>
            <w:rPr>
              <w:lang w:val="fr-FR"/>
            </w:rPr>
          </w:pPr>
          <w:r w:rsidRPr="001D1B80">
            <w:rPr>
              <w:lang w:val="ca-ES"/>
            </w:rPr>
            <w:t>2012.00086.</w:t>
          </w:r>
        </w:p>
        <w:p w:rsidR="001C5E4B" w:rsidRPr="001D1B80" w:rsidRDefault="001C5E4B" w:rsidP="001D1B80">
          <w:pPr>
            <w:pStyle w:val="RfrencesAcknoledgment"/>
            <w:ind w:firstLine="0"/>
          </w:pPr>
          <w:r w:rsidRPr="001D1B80">
            <w:rPr>
              <w:lang w:val="fr-FR"/>
            </w:rPr>
            <w:t>Techer,</w:t>
          </w:r>
          <w:r w:rsidRPr="001D1B80">
            <w:rPr>
              <w:lang w:val="sl-SI"/>
            </w:rPr>
            <w:t xml:space="preserve"> D.,</w:t>
          </w:r>
          <w:r w:rsidRPr="001D1B80">
            <w:rPr>
              <w:lang w:val="es-ES"/>
            </w:rPr>
            <w:t xml:space="preserve"> Milla,</w:t>
          </w:r>
          <w:r w:rsidRPr="001D1B80">
            <w:rPr>
              <w:lang w:val="sl-SI"/>
            </w:rPr>
            <w:t xml:space="preserve"> S.,</w:t>
          </w:r>
          <w:r w:rsidRPr="001D1B80">
            <w:rPr>
              <w:lang w:val="fr-FR"/>
            </w:rPr>
            <w:t xml:space="preserve"> Fontaine,</w:t>
          </w:r>
          <w:r w:rsidRPr="001D1B80">
            <w:rPr>
              <w:lang w:val="da-DK"/>
            </w:rPr>
            <w:t xml:space="preserve"> P.,</w:t>
          </w:r>
          <w:r w:rsidRPr="001D1B80">
            <w:rPr>
              <w:lang w:val="fr-FR"/>
            </w:rPr>
            <w:t xml:space="preserve"> Viot,</w:t>
          </w:r>
          <w:r w:rsidRPr="001D1B80">
            <w:rPr>
              <w:lang w:val="sl-SI"/>
            </w:rPr>
            <w:t xml:space="preserve"> S., Thomas, M.,</w:t>
          </w:r>
          <w:r w:rsidRPr="001D1B80">
            <w:rPr>
              <w:lang w:val="ca-ES"/>
            </w:rPr>
            <w:t xml:space="preserve"> 2015a.</w:t>
          </w:r>
          <w:r w:rsidRPr="001D1B80">
            <w:rPr>
              <w:lang w:val="fr-FR"/>
            </w:rPr>
            <w:t xml:space="preserve"> </w:t>
          </w:r>
          <w:r w:rsidRPr="001D1B80">
            <w:t>Acute toxicity</w:t>
          </w:r>
          <w:r w:rsidRPr="001D1B80">
            <w:rPr>
              <w:lang w:val="da-DK"/>
            </w:rPr>
            <w:t xml:space="preserve"> and</w:t>
          </w:r>
          <w:r w:rsidRPr="001D1B80">
            <w:t xml:space="preserve"> </w:t>
          </w:r>
        </w:p>
        <w:p w:rsidR="001C5E4B" w:rsidRPr="001D1B80" w:rsidRDefault="001C5E4B" w:rsidP="001D1B80">
          <w:pPr>
            <w:pStyle w:val="RfrencesAcknoledgment"/>
            <w:rPr>
              <w:lang w:val="it-IT"/>
            </w:rPr>
          </w:pPr>
          <w:r w:rsidRPr="001D1B80">
            <w:t>sublethal effects of gallic</w:t>
          </w:r>
          <w:r w:rsidRPr="001D1B80">
            <w:rPr>
              <w:lang w:val="da-DK"/>
            </w:rPr>
            <w:t xml:space="preserve"> and</w:t>
          </w:r>
          <w:r w:rsidRPr="001D1B80">
            <w:t xml:space="preserve"> pelargonic acids</w:t>
          </w:r>
          <w:r w:rsidRPr="001D1B80">
            <w:rPr>
              <w:lang w:val="sl-SI"/>
            </w:rPr>
            <w:t xml:space="preserve"> on</w:t>
          </w:r>
          <w:r w:rsidRPr="001D1B80">
            <w:t xml:space="preserve"> the zebrafish</w:t>
          </w:r>
          <w:r w:rsidRPr="001D1B80">
            <w:rPr>
              <w:lang w:val="pl-PL"/>
            </w:rPr>
            <w:t xml:space="preserve"> Danio</w:t>
          </w:r>
          <w:r w:rsidRPr="001D1B80">
            <w:t xml:space="preserve"> reńo. </w:t>
          </w:r>
          <w:r w:rsidRPr="001D1B80">
            <w:rPr>
              <w:lang w:val="fr-FR"/>
            </w:rPr>
            <w:t>Environ.</w:t>
          </w:r>
          <w:r w:rsidRPr="001D1B80">
            <w:rPr>
              <w:lang w:val="it-IT"/>
            </w:rPr>
            <w:t xml:space="preserve"> </w:t>
          </w:r>
        </w:p>
        <w:p w:rsidR="001C5E4B" w:rsidRPr="001D1B80" w:rsidRDefault="001C5E4B" w:rsidP="001D1B80">
          <w:pPr>
            <w:pStyle w:val="RfrencesAcknoledgment"/>
            <w:rPr>
              <w:lang w:val="fr-FR"/>
            </w:rPr>
          </w:pPr>
          <w:r w:rsidRPr="001D1B80">
            <w:rPr>
              <w:lang w:val="it-IT"/>
            </w:rPr>
            <w:t>Sci.</w:t>
          </w:r>
          <w:r w:rsidRPr="001D1B80">
            <w:rPr>
              <w:lang w:val="da-DK"/>
            </w:rPr>
            <w:t xml:space="preserve"> Pollut.</w:t>
          </w:r>
          <w:r w:rsidRPr="001D1B80">
            <w:rPr>
              <w:lang w:val="sl-SI"/>
            </w:rPr>
            <w:t xml:space="preserve"> Res.</w:t>
          </w:r>
          <w:r w:rsidRPr="001D1B80">
            <w:rPr>
              <w:lang w:val="ca-ES"/>
            </w:rPr>
            <w:t xml:space="preserve"> 22, 5020–5029.</w:t>
          </w:r>
        </w:p>
        <w:p w:rsidR="001C5E4B" w:rsidRPr="001D1B80" w:rsidRDefault="001C5E4B" w:rsidP="001D1B80">
          <w:pPr>
            <w:pStyle w:val="RfrencesAcknoledgment"/>
            <w:ind w:firstLine="0"/>
          </w:pPr>
          <w:r w:rsidRPr="001D1B80">
            <w:rPr>
              <w:lang w:val="fr-FR"/>
            </w:rPr>
            <w:t>Techer,</w:t>
          </w:r>
          <w:r w:rsidRPr="001D1B80">
            <w:rPr>
              <w:lang w:val="sl-SI"/>
            </w:rPr>
            <w:t xml:space="preserve"> D.,</w:t>
          </w:r>
          <w:r w:rsidRPr="001D1B80">
            <w:rPr>
              <w:lang w:val="es-ES"/>
            </w:rPr>
            <w:t xml:space="preserve"> Milla,</w:t>
          </w:r>
          <w:r w:rsidRPr="001D1B80">
            <w:rPr>
              <w:lang w:val="sl-SI"/>
            </w:rPr>
            <w:t xml:space="preserve"> S.,</w:t>
          </w:r>
          <w:r w:rsidRPr="001D1B80">
            <w:rPr>
              <w:lang w:val="fr-FR"/>
            </w:rPr>
            <w:t xml:space="preserve"> Fontaine,</w:t>
          </w:r>
          <w:r w:rsidRPr="001D1B80">
            <w:rPr>
              <w:lang w:val="da-DK"/>
            </w:rPr>
            <w:t xml:space="preserve"> P.,</w:t>
          </w:r>
          <w:r w:rsidRPr="001D1B80">
            <w:rPr>
              <w:lang w:val="fr-FR"/>
            </w:rPr>
            <w:t xml:space="preserve"> Viot,</w:t>
          </w:r>
          <w:r w:rsidRPr="001D1B80">
            <w:rPr>
              <w:lang w:val="sl-SI"/>
            </w:rPr>
            <w:t xml:space="preserve"> S., Thomas, M.,</w:t>
          </w:r>
          <w:r w:rsidRPr="001D1B80">
            <w:rPr>
              <w:lang w:val="ca-ES"/>
            </w:rPr>
            <w:t xml:space="preserve"> 2015b.</w:t>
          </w:r>
          <w:r w:rsidRPr="001D1B80">
            <w:rPr>
              <w:lang w:val="fr-FR"/>
            </w:rPr>
            <w:t xml:space="preserve"> </w:t>
          </w:r>
          <w:r w:rsidRPr="001D1B80">
            <w:t xml:space="preserve">Influence of </w:t>
          </w:r>
        </w:p>
        <w:p w:rsidR="001C5E4B" w:rsidRPr="001D1B80" w:rsidRDefault="001C5E4B" w:rsidP="001D1B80">
          <w:pPr>
            <w:pStyle w:val="RfrencesAcknoledgment"/>
          </w:pPr>
          <w:r w:rsidRPr="001D1B80">
            <w:t>waterborne gallic</w:t>
          </w:r>
          <w:r w:rsidRPr="001D1B80">
            <w:rPr>
              <w:lang w:val="da-DK"/>
            </w:rPr>
            <w:t xml:space="preserve"> and</w:t>
          </w:r>
          <w:r w:rsidRPr="001D1B80">
            <w:t xml:space="preserve"> pelargonic acid exposures</w:t>
          </w:r>
          <w:r w:rsidRPr="001D1B80">
            <w:rPr>
              <w:lang w:val="sl-SI"/>
            </w:rPr>
            <w:t xml:space="preserve"> on</w:t>
          </w:r>
          <w:r w:rsidRPr="001D1B80">
            <w:t xml:space="preserve"> biochemical</w:t>
          </w:r>
          <w:r w:rsidRPr="001D1B80">
            <w:rPr>
              <w:lang w:val="da-DK"/>
            </w:rPr>
            <w:t xml:space="preserve"> and</w:t>
          </w:r>
          <w:r w:rsidRPr="001D1B80">
            <w:t xml:space="preserve"> reproductive </w:t>
          </w:r>
        </w:p>
        <w:p w:rsidR="001C5E4B" w:rsidRPr="001D1B80" w:rsidRDefault="001C5E4B" w:rsidP="001D1B80">
          <w:pPr>
            <w:pStyle w:val="RfrencesAcknoledgment"/>
            <w:rPr>
              <w:lang w:val="fr-FR"/>
            </w:rPr>
          </w:pPr>
          <w:r w:rsidRPr="001D1B80">
            <w:t>parameters</w:t>
          </w:r>
          <w:r w:rsidRPr="001D1B80">
            <w:rPr>
              <w:lang w:val="sl-SI"/>
            </w:rPr>
            <w:t xml:space="preserve"> in</w:t>
          </w:r>
          <w:r w:rsidRPr="001D1B80">
            <w:t xml:space="preserve"> the zebrafish</w:t>
          </w:r>
          <w:r w:rsidRPr="001D1B80">
            <w:rPr>
              <w:lang w:val="pl-PL"/>
            </w:rPr>
            <w:t xml:space="preserve"> (Danio</w:t>
          </w:r>
          <w:r w:rsidRPr="001D1B80">
            <w:t xml:space="preserve"> reńo). </w:t>
          </w:r>
          <w:r w:rsidRPr="001D1B80">
            <w:rPr>
              <w:lang w:val="fr-FR"/>
            </w:rPr>
            <w:t>Environ. Toxicol.</w:t>
          </w:r>
        </w:p>
        <w:p w:rsidR="001C5E4B" w:rsidRPr="001D1B80" w:rsidRDefault="00D27E5B" w:rsidP="001D1B80">
          <w:pPr>
            <w:pStyle w:val="RfrencesAcknoledgment"/>
            <w:rPr>
              <w:lang w:val="fr-FR"/>
            </w:rPr>
          </w:pPr>
          <w:hyperlink r:id="rId21" w:history="1">
            <w:r w:rsidR="001C5E4B" w:rsidRPr="001D1B80">
              <w:rPr>
                <w:rStyle w:val="Lienhypertexte"/>
                <w:lang w:val="fr-FR"/>
              </w:rPr>
              <w:t>http://dx.doi.org/10.1002/tox.22228.</w:t>
            </w:r>
          </w:hyperlink>
        </w:p>
        <w:p w:rsidR="001C5E4B" w:rsidRPr="001D1B80" w:rsidRDefault="001C5E4B" w:rsidP="001D1B80">
          <w:pPr>
            <w:pStyle w:val="RfrencesAcknoledgment"/>
            <w:ind w:firstLine="0"/>
          </w:pPr>
          <w:r w:rsidRPr="001D1B80">
            <w:t>TOXNET,</w:t>
          </w:r>
          <w:r w:rsidRPr="001D1B80">
            <w:rPr>
              <w:lang w:val="ca-ES"/>
            </w:rPr>
            <w:t xml:space="preserve"> 2008.</w:t>
          </w:r>
          <w:r w:rsidRPr="001D1B80">
            <w:t xml:space="preserve"> Nonanoic acid. TOXNET — Toxicology</w:t>
          </w:r>
          <w:r w:rsidRPr="001D1B80">
            <w:rPr>
              <w:lang w:val="pt-BR"/>
            </w:rPr>
            <w:t xml:space="preserve"> Data</w:t>
          </w:r>
          <w:r w:rsidRPr="001D1B80">
            <w:t xml:space="preserve"> Network. U.S. National </w:t>
          </w:r>
        </w:p>
        <w:p w:rsidR="001C5E4B" w:rsidRPr="001D1B80" w:rsidRDefault="001C5E4B" w:rsidP="001D1B80">
          <w:pPr>
            <w:pStyle w:val="RfrencesAcknoledgment"/>
          </w:pPr>
          <w:r w:rsidRPr="001D1B80">
            <w:t>Library of</w:t>
          </w:r>
          <w:r w:rsidRPr="001D1B80">
            <w:rPr>
              <w:lang w:val="sl-SI"/>
            </w:rPr>
            <w:t xml:space="preserve"> Medicine,</w:t>
          </w:r>
          <w:r w:rsidRPr="001D1B80">
            <w:t xml:space="preserve"> National Institutes of Health, Health &amp;</w:t>
          </w:r>
          <w:r w:rsidRPr="001D1B80">
            <w:rPr>
              <w:lang w:val="sl-SI"/>
            </w:rPr>
            <w:t xml:space="preserve"> Human</w:t>
          </w:r>
          <w:r w:rsidRPr="001D1B80">
            <w:rPr>
              <w:lang w:val="da-DK"/>
            </w:rPr>
            <w:t xml:space="preserve"> Services</w:t>
          </w:r>
          <w:r w:rsidRPr="001D1B80">
            <w:t xml:space="preserve"> </w:t>
          </w:r>
        </w:p>
        <w:p w:rsidR="001C5E4B" w:rsidRPr="001D1B80" w:rsidRDefault="001C5E4B" w:rsidP="001D1B80">
          <w:pPr>
            <w:pStyle w:val="RfrencesAcknoledgment"/>
            <w:rPr>
              <w:lang w:val="da-DK"/>
            </w:rPr>
          </w:pPr>
          <w:r w:rsidRPr="001D1B80">
            <w:t>(</w:t>
          </w:r>
          <w:hyperlink r:id="rId22" w:history="1">
            <w:r w:rsidRPr="001D1B80">
              <w:rPr>
                <w:rStyle w:val="Lienhypertexte"/>
              </w:rPr>
              <w:t>http://toxnet. nlm.nih.gov/cgi-bin/sis/search/a?dbs+hsdb:@term+@DOCNO+5554).</w:t>
            </w:r>
          </w:hyperlink>
        </w:p>
        <w:p w:rsidR="001C5E4B" w:rsidRPr="001D1B80" w:rsidRDefault="001C5E4B" w:rsidP="001D1B80">
          <w:pPr>
            <w:pStyle w:val="RfrencesAcknoledgment"/>
            <w:ind w:firstLine="0"/>
          </w:pPr>
          <w:r w:rsidRPr="001D1B80">
            <w:rPr>
              <w:lang w:val="da-DK"/>
            </w:rPr>
            <w:t>US</w:t>
          </w:r>
          <w:r w:rsidRPr="001D1B80">
            <w:t xml:space="preserve"> EPA,</w:t>
          </w:r>
          <w:r w:rsidRPr="001D1B80">
            <w:rPr>
              <w:lang w:val="ca-ES"/>
            </w:rPr>
            <w:t xml:space="preserve"> 1992.</w:t>
          </w:r>
          <w:r w:rsidRPr="001D1B80">
            <w:t xml:space="preserve"> U.S. Environmental Protection Agency,</w:t>
          </w:r>
          <w:r w:rsidRPr="001D1B80">
            <w:rPr>
              <w:lang w:val="ca-ES"/>
            </w:rPr>
            <w:t xml:space="preserve"> 344, 1992,</w:t>
          </w:r>
          <w:r w:rsidRPr="001D1B80">
            <w:t xml:space="preserve"> </w:t>
          </w:r>
        </w:p>
        <w:p w:rsidR="001C5E4B" w:rsidRPr="001D1B80" w:rsidRDefault="001C5E4B" w:rsidP="001D1B80">
          <w:pPr>
            <w:pStyle w:val="RfrencesAcknoledgment"/>
            <w:rPr>
              <w:lang w:val="cs-CZ"/>
            </w:rPr>
          </w:pPr>
          <w:r w:rsidRPr="001D1B80">
            <w:t>http://ápub.epa.gov/ ecotox/</w:t>
          </w:r>
          <w:proofErr w:type="gramStart"/>
          <w:r w:rsidRPr="001D1B80">
            <w:t>report.ám</w:t>
          </w:r>
          <w:proofErr w:type="gramEnd"/>
          <w:r w:rsidRPr="001D1B80">
            <w:t>?type=long&amp;record_number=2109994</w:t>
          </w:r>
        </w:p>
        <w:p w:rsidR="001C5E4B" w:rsidRPr="001D1B80" w:rsidRDefault="001C5E4B" w:rsidP="001D1B80">
          <w:pPr>
            <w:pStyle w:val="RfrencesAcknoledgment"/>
            <w:ind w:firstLine="0"/>
            <w:rPr>
              <w:lang w:val="da-DK"/>
            </w:rPr>
          </w:pPr>
          <w:r w:rsidRPr="001D1B80">
            <w:rPr>
              <w:lang w:val="cs-CZ"/>
            </w:rPr>
            <w:t>van</w:t>
          </w:r>
          <w:r w:rsidRPr="001D1B80">
            <w:rPr>
              <w:lang w:val="pt-BR"/>
            </w:rPr>
            <w:t xml:space="preserve"> der</w:t>
          </w:r>
          <w:r w:rsidRPr="001D1B80">
            <w:rPr>
              <w:lang w:val="nl-NL"/>
            </w:rPr>
            <w:t xml:space="preserve"> Oost,</w:t>
          </w:r>
          <w:r w:rsidRPr="001D1B80">
            <w:rPr>
              <w:lang w:val="pt-BR"/>
            </w:rPr>
            <w:t xml:space="preserve"> R.,</w:t>
          </w:r>
          <w:r w:rsidRPr="001D1B80">
            <w:t xml:space="preserve"> Beyer,</w:t>
          </w:r>
          <w:r w:rsidRPr="001D1B80">
            <w:rPr>
              <w:lang w:val="da-DK"/>
            </w:rPr>
            <w:t xml:space="preserve"> J.,</w:t>
          </w:r>
          <w:r w:rsidRPr="001D1B80">
            <w:rPr>
              <w:lang w:val="nl-NL"/>
            </w:rPr>
            <w:t xml:space="preserve"> Vermeulen,</w:t>
          </w:r>
          <w:r w:rsidRPr="001D1B80">
            <w:t xml:space="preserve"> N.P.E.,</w:t>
          </w:r>
          <w:r w:rsidRPr="001D1B80">
            <w:rPr>
              <w:lang w:val="ca-ES"/>
            </w:rPr>
            <w:t xml:space="preserve"> 2003.</w:t>
          </w:r>
          <w:r w:rsidRPr="001D1B80">
            <w:t xml:space="preserve"> Fish bioaccumulation</w:t>
          </w:r>
          <w:r w:rsidRPr="001D1B80">
            <w:rPr>
              <w:lang w:val="da-DK"/>
            </w:rPr>
            <w:t xml:space="preserve"> and </w:t>
          </w:r>
        </w:p>
        <w:p w:rsidR="001C5E4B" w:rsidRPr="001D1B80" w:rsidRDefault="001C5E4B" w:rsidP="001D1B80">
          <w:pPr>
            <w:pStyle w:val="RfrencesAcknoledgment"/>
            <w:rPr>
              <w:lang w:val="sl-SI"/>
            </w:rPr>
          </w:pPr>
          <w:r w:rsidRPr="001D1B80">
            <w:rPr>
              <w:lang w:val="da-DK"/>
            </w:rPr>
            <w:t>biomarkers</w:t>
          </w:r>
        </w:p>
        <w:p w:rsidR="001C5E4B" w:rsidRPr="001D1B80" w:rsidRDefault="001C5E4B" w:rsidP="001D1B80">
          <w:pPr>
            <w:pStyle w:val="RfrencesAcknoledgment"/>
          </w:pPr>
          <w:r w:rsidRPr="001D1B80">
            <w:rPr>
              <w:lang w:val="sl-SI"/>
            </w:rPr>
            <w:t>in</w:t>
          </w:r>
          <w:r w:rsidRPr="001D1B80">
            <w:t xml:space="preserve"> environmental</w:t>
          </w:r>
          <w:r w:rsidRPr="001D1B80">
            <w:rPr>
              <w:lang w:val="cs-CZ"/>
            </w:rPr>
            <w:t xml:space="preserve"> risk</w:t>
          </w:r>
          <w:r w:rsidRPr="001D1B80">
            <w:t xml:space="preserve"> assessment:</w:t>
          </w:r>
          <w:r w:rsidRPr="001D1B80">
            <w:rPr>
              <w:lang w:val="sl-SI"/>
            </w:rPr>
            <w:t xml:space="preserve"> a</w:t>
          </w:r>
          <w:r w:rsidRPr="001D1B80">
            <w:t xml:space="preserve"> review. Environ. Toxicol. Pharmacol.</w:t>
          </w:r>
          <w:r w:rsidRPr="001D1B80">
            <w:rPr>
              <w:lang w:val="ca-ES"/>
            </w:rPr>
            <w:t xml:space="preserve"> 13, 57–149.</w:t>
          </w:r>
          <w:r w:rsidRPr="001D1B80">
            <w:t xml:space="preserve"> </w:t>
          </w:r>
        </w:p>
        <w:p w:rsidR="001C5E4B" w:rsidRPr="001D1B80" w:rsidRDefault="001C5E4B" w:rsidP="001D1B80">
          <w:pPr>
            <w:pStyle w:val="RfrencesAcknoledgment"/>
            <w:ind w:firstLine="0"/>
            <w:rPr>
              <w:lang w:val="da-DK"/>
            </w:rPr>
          </w:pPr>
          <w:r w:rsidRPr="001D1B80">
            <w:t>Whittaker, R.H., Feeny, P.P.,</w:t>
          </w:r>
          <w:r w:rsidRPr="001D1B80">
            <w:rPr>
              <w:lang w:val="ca-ES"/>
            </w:rPr>
            <w:t xml:space="preserve"> 1971.</w:t>
          </w:r>
          <w:r w:rsidRPr="001D1B80">
            <w:t xml:space="preserve"> Allelochemics: chemical interactions between</w:t>
          </w:r>
          <w:r w:rsidRPr="001D1B80">
            <w:rPr>
              <w:lang w:val="da-DK"/>
            </w:rPr>
            <w:t xml:space="preserve"> </w:t>
          </w:r>
        </w:p>
        <w:p w:rsidR="001C5E4B" w:rsidRPr="001D1B80" w:rsidRDefault="001C5E4B" w:rsidP="001D1B80">
          <w:pPr>
            <w:pStyle w:val="RfrencesAcknoledgment"/>
          </w:pPr>
          <w:r w:rsidRPr="001D1B80">
            <w:rPr>
              <w:lang w:val="da-DK"/>
            </w:rPr>
            <w:t>species.</w:t>
          </w:r>
          <w:r w:rsidR="00FE206C" w:rsidRPr="001D1B80">
            <w:t xml:space="preserve"> </w:t>
          </w:r>
          <w:r w:rsidRPr="001D1B80">
            <w:rPr>
              <w:lang w:val="da-DK"/>
            </w:rPr>
            <w:t>Science</w:t>
          </w:r>
          <w:r w:rsidRPr="001D1B80">
            <w:rPr>
              <w:lang w:val="ca-ES"/>
            </w:rPr>
            <w:t xml:space="preserve"> 171, 757.</w:t>
          </w:r>
        </w:p>
        <w:p w:rsidR="001C5E4B" w:rsidRPr="001D1B80" w:rsidRDefault="001C5E4B" w:rsidP="001D1B80">
          <w:pPr>
            <w:pStyle w:val="RfrencesAcknoledgment"/>
            <w:ind w:firstLine="0"/>
            <w:rPr>
              <w:lang w:val="da-DK"/>
            </w:rPr>
          </w:pPr>
          <w:r w:rsidRPr="001D1B80">
            <w:t>WHO,</w:t>
          </w:r>
          <w:r w:rsidRPr="001D1B80">
            <w:rPr>
              <w:lang w:val="ca-ES"/>
            </w:rPr>
            <w:t xml:space="preserve"> 2015.</w:t>
          </w:r>
          <w:r w:rsidRPr="001D1B80">
            <w:t xml:space="preserve"> Guidelines</w:t>
          </w:r>
          <w:r w:rsidRPr="001D1B80">
            <w:rPr>
              <w:lang w:val="pt-BR"/>
            </w:rPr>
            <w:t xml:space="preserve"> for safe</w:t>
          </w:r>
          <w:r w:rsidRPr="001D1B80">
            <w:t xml:space="preserve"> recreational water environments.</w:t>
          </w:r>
          <w:r w:rsidRPr="001D1B80">
            <w:rPr>
              <w:lang w:val="pt-BR"/>
            </w:rPr>
            <w:t xml:space="preserve"> Volume</w:t>
          </w:r>
          <w:r w:rsidRPr="001D1B80">
            <w:rPr>
              <w:lang w:val="ca-ES"/>
            </w:rPr>
            <w:t xml:space="preserve"> 1:</w:t>
          </w:r>
          <w:r w:rsidRPr="001D1B80">
            <w:t xml:space="preserve"> Coastal</w:t>
          </w:r>
          <w:r w:rsidRPr="001D1B80">
            <w:rPr>
              <w:lang w:val="da-DK"/>
            </w:rPr>
            <w:t xml:space="preserve"> </w:t>
          </w:r>
        </w:p>
        <w:p w:rsidR="001C5E4B" w:rsidRPr="001D1B80" w:rsidRDefault="001C5E4B" w:rsidP="001D1B80">
          <w:pPr>
            <w:pStyle w:val="RfrencesAcknoledgment"/>
          </w:pPr>
          <w:r w:rsidRPr="001D1B80">
            <w:rPr>
              <w:lang w:val="da-DK"/>
            </w:rPr>
            <w:t>and</w:t>
          </w:r>
          <w:r w:rsidRPr="001D1B80">
            <w:t xml:space="preserve"> Fresh Waters. World Health Organization, Water Sanitation Health</w:t>
          </w:r>
        </w:p>
        <w:p w:rsidR="002853ED" w:rsidRPr="001D1B80" w:rsidRDefault="001C5E4B" w:rsidP="001D1B80">
          <w:pPr>
            <w:pStyle w:val="RfrencesAcknoledgment"/>
          </w:pPr>
          <w:r w:rsidRPr="001D1B80">
            <w:t>(</w:t>
          </w:r>
          <w:hyperlink r:id="rId23" w:history="1">
            <w:r w:rsidRPr="001D1B80">
              <w:rPr>
                <w:rStyle w:val="Lienhypertexte"/>
              </w:rPr>
              <w:t>http://www. who.int/water_sanitation_health/bathing/srwe1execsum/en/index7.html).</w:t>
            </w:r>
          </w:hyperlink>
        </w:p>
      </w:sdtContent>
    </w:sdt>
    <w:p w:rsidR="00E741C0" w:rsidRPr="001D1B80" w:rsidRDefault="00E741C0" w:rsidP="001D1B80">
      <w:pPr>
        <w:jc w:val="both"/>
        <w:rPr>
          <w:rFonts w:ascii="Arial" w:hAnsi="Arial" w:cs="Arial"/>
          <w:lang w:val="en-US"/>
        </w:rPr>
        <w:sectPr w:rsidR="00E741C0" w:rsidRPr="001D1B80" w:rsidSect="00575F2F">
          <w:type w:val="continuous"/>
          <w:pgSz w:w="11906" w:h="16838"/>
          <w:pgMar w:top="851" w:right="424" w:bottom="567" w:left="426" w:header="426" w:footer="397" w:gutter="0"/>
          <w:cols w:num="2" w:space="141"/>
          <w:docGrid w:linePitch="360"/>
        </w:sectPr>
      </w:pPr>
    </w:p>
    <w:sdt>
      <w:sdtPr>
        <w:rPr>
          <w:color w:val="000000" w:themeColor="text1"/>
          <w:sz w:val="2"/>
          <w:szCs w:val="2"/>
        </w:rPr>
        <w:id w:val="-829597185"/>
        <w15:repeatingSection/>
      </w:sdtPr>
      <w:sdtEndPr>
        <w:rPr>
          <w:b w:val="0"/>
          <w:bCs w:val="0"/>
        </w:rPr>
      </w:sdtEndPr>
      <w:sdtContent>
        <w:sdt>
          <w:sdtPr>
            <w:rPr>
              <w:color w:val="000000" w:themeColor="text1"/>
              <w:sz w:val="2"/>
              <w:szCs w:val="2"/>
            </w:rPr>
            <w:id w:val="1722938680"/>
            <w:placeholder>
              <w:docPart w:val="45AA0CC022BC4DE383A244FAB7066BCB"/>
            </w:placeholder>
            <w15:repeatingSectionItem/>
          </w:sdtPr>
          <w:sdtEndPr>
            <w:rPr>
              <w:b w:val="0"/>
              <w:bCs w:val="0"/>
            </w:rPr>
          </w:sdtEndPr>
          <w:sdtContent>
            <w:p w:rsidR="00575F2F" w:rsidRPr="001D1B80" w:rsidRDefault="00575F2F" w:rsidP="001D1B80">
              <w:pPr>
                <w:pStyle w:val="TitrePartieArticle"/>
              </w:pPr>
              <w:r w:rsidRPr="001D1B80">
                <w:t>Acknowledgements</w:t>
              </w:r>
              <w:r w:rsidR="000516BE" w:rsidRPr="001D1B80">
                <w:tab/>
              </w:r>
            </w:p>
            <w:p w:rsidR="000516BE" w:rsidRPr="001D1B80" w:rsidRDefault="000516BE" w:rsidP="001D1B80">
              <w:pPr>
                <w:jc w:val="both"/>
                <w:rPr>
                  <w:rFonts w:ascii="Arial" w:hAnsi="Arial" w:cs="Arial"/>
                </w:rPr>
                <w:sectPr w:rsidR="000516BE" w:rsidRPr="001D1B80" w:rsidSect="000516BE">
                  <w:type w:val="continuous"/>
                  <w:pgSz w:w="11906" w:h="16838"/>
                  <w:pgMar w:top="851" w:right="424" w:bottom="567" w:left="426" w:header="426" w:footer="397" w:gutter="0"/>
                  <w:cols w:space="141"/>
                  <w:docGrid w:linePitch="360"/>
                </w:sectPr>
              </w:pPr>
            </w:p>
            <w:sdt>
              <w:sdtPr>
                <w:id w:val="1560662319"/>
                <w:placeholder>
                  <w:docPart w:val="3E0EBE87D46C43AA9C7F6D7DD8ED65A4"/>
                </w:placeholder>
              </w:sdtPr>
              <w:sdtEndPr/>
              <w:sdtContent>
                <w:p w:rsidR="000516BE" w:rsidRPr="001D1B80" w:rsidRDefault="00523082" w:rsidP="001D1B80">
                  <w:pPr>
                    <w:pStyle w:val="RfrencesAcknoledgment"/>
                    <w:sectPr w:rsidR="000516BE" w:rsidRPr="001D1B80" w:rsidSect="00575F2F">
                      <w:type w:val="continuous"/>
                      <w:pgSz w:w="11906" w:h="16838"/>
                      <w:pgMar w:top="851" w:right="424" w:bottom="567" w:left="426" w:header="426" w:footer="397" w:gutter="0"/>
                      <w:cols w:num="2" w:space="141"/>
                      <w:docGrid w:linePitch="360"/>
                    </w:sectPr>
                  </w:pPr>
                  <w:r w:rsidRPr="001D1B80">
                    <w:t>The authors would like</w:t>
                  </w:r>
                  <w:r w:rsidRPr="001D1B80">
                    <w:rPr>
                      <w:lang w:val="sl-SI"/>
                    </w:rPr>
                    <w:t xml:space="preserve"> to</w:t>
                  </w:r>
                  <w:r w:rsidRPr="001D1B80">
                    <w:t xml:space="preserve"> thank</w:t>
                  </w:r>
                  <w:r w:rsidRPr="001D1B80">
                    <w:rPr>
                      <w:lang w:val="sl-SI"/>
                    </w:rPr>
                    <w:t xml:space="preserve"> Alain</w:t>
                  </w:r>
                  <w:r w:rsidRPr="001D1B80">
                    <w:t xml:space="preserve"> Iuretig,</w:t>
                  </w:r>
                  <w:r w:rsidRPr="001D1B80">
                    <w:rPr>
                      <w:lang w:val="sl-SI"/>
                    </w:rPr>
                    <w:t xml:space="preserve"> Daniel</w:t>
                  </w:r>
                  <w:r w:rsidRPr="001D1B80">
                    <w:t xml:space="preserve"> Krauss, Sylvain</w:t>
                  </w:r>
                  <w:r w:rsidRPr="001D1B80">
                    <w:rPr>
                      <w:lang w:val="es-ES"/>
                    </w:rPr>
                    <w:t xml:space="preserve"> Milla,</w:t>
                  </w:r>
                  <w:r w:rsidRPr="001D1B80">
                    <w:t xml:space="preserve"> Pr Jean-Claude</w:t>
                  </w:r>
                  <w:r w:rsidRPr="001D1B80">
                    <w:rPr>
                      <w:lang w:val="sl-SI"/>
                    </w:rPr>
                    <w:t xml:space="preserve"> Pihan</w:t>
                  </w:r>
                  <w:r w:rsidRPr="001D1B80">
                    <w:rPr>
                      <w:lang w:val="da-DK"/>
                    </w:rPr>
                    <w:t xml:space="preserve"> and</w:t>
                  </w:r>
                  <w:r w:rsidRPr="001D1B80">
                    <w:t xml:space="preserve"> FP Environnement</w:t>
                  </w:r>
                  <w:r w:rsidRPr="001D1B80">
                    <w:rPr>
                      <w:lang w:val="pt-BR"/>
                    </w:rPr>
                    <w:t xml:space="preserve"> for</w:t>
                  </w:r>
                  <w:r w:rsidRPr="001D1B80">
                    <w:t xml:space="preserve"> their technical help. This work was financially supported</w:t>
                  </w:r>
                  <w:r w:rsidRPr="001D1B80">
                    <w:rPr>
                      <w:lang w:val="cs-CZ"/>
                    </w:rPr>
                    <w:t xml:space="preserve"> by</w:t>
                  </w:r>
                  <w:r w:rsidRPr="001D1B80">
                    <w:rPr>
                      <w:lang w:val="pt-BR"/>
                    </w:rPr>
                    <w:t xml:space="preserve"> FEDER</w:t>
                  </w:r>
                  <w:r w:rsidRPr="001D1B80">
                    <w:rPr>
                      <w:lang w:val="sl-SI"/>
                    </w:rPr>
                    <w:t xml:space="preserve"> (Fond</w:t>
                  </w:r>
                  <w:r w:rsidRPr="001D1B80">
                    <w:rPr>
                      <w:lang w:val="fr-FR"/>
                    </w:rPr>
                    <w:t xml:space="preserve"> Européen</w:t>
                  </w:r>
                  <w:r w:rsidRPr="001D1B80">
                    <w:rPr>
                      <w:lang w:val="sl-SI"/>
                    </w:rPr>
                    <w:t xml:space="preserve"> de</w:t>
                  </w:r>
                  <w:r w:rsidRPr="001D1B80">
                    <w:rPr>
                      <w:lang w:val="fr-FR"/>
                    </w:rPr>
                    <w:t xml:space="preserve"> Développement Régional), Région</w:t>
                  </w:r>
                  <w:r w:rsidRPr="001D1B80">
                    <w:t xml:space="preserve"> Lorraine</w:t>
                  </w:r>
                  <w:r w:rsidRPr="001D1B80">
                    <w:rPr>
                      <w:lang w:val="da-DK"/>
                    </w:rPr>
                    <w:t xml:space="preserve"> and</w:t>
                  </w:r>
                  <w:r w:rsidRPr="001D1B80">
                    <w:t xml:space="preserve"> BioCapTech.</w:t>
                  </w:r>
                </w:p>
              </w:sdtContent>
            </w:sdt>
            <w:p w:rsidR="000516BE" w:rsidRPr="001D1B80" w:rsidRDefault="00D27E5B" w:rsidP="001D1B80">
              <w:pPr>
                <w:pStyle w:val="Invisible"/>
              </w:pPr>
            </w:p>
          </w:sdtContent>
        </w:sdt>
      </w:sdtContent>
    </w:sdt>
    <w:sectPr w:rsidR="000516BE" w:rsidRPr="001D1B80" w:rsidSect="00575F2F">
      <w:type w:val="continuous"/>
      <w:pgSz w:w="11906" w:h="16838"/>
      <w:pgMar w:top="851" w:right="424" w:bottom="567" w:left="426" w:header="426" w:footer="397" w:gutter="0"/>
      <w:cols w:num="2"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9C7" w:rsidRPr="009C5096" w:rsidRDefault="00BE29C7" w:rsidP="009C5096">
      <w:r>
        <w:separator/>
      </w:r>
    </w:p>
  </w:endnote>
  <w:endnote w:type="continuationSeparator" w:id="0">
    <w:p w:rsidR="00BE29C7" w:rsidRPr="009C5096" w:rsidRDefault="00BE29C7" w:rsidP="009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C7" w:rsidRPr="009C5096" w:rsidRDefault="00BE29C7" w:rsidP="009C5096">
    <w:pPr>
      <w:pStyle w:val="Pieddepage"/>
    </w:pPr>
    <w:r w:rsidRPr="009C5096">
      <w:fldChar w:fldCharType="begin"/>
    </w:r>
    <w:r w:rsidRPr="009C5096">
      <w:instrText>PAGE   \* MERGEFORMAT</w:instrText>
    </w:r>
    <w:r w:rsidRPr="009C5096">
      <w:fldChar w:fldCharType="separate"/>
    </w:r>
    <w:r w:rsidRPr="009C5096">
      <w:t>1</w:t>
    </w:r>
    <w:r w:rsidRPr="009C50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9C7" w:rsidRPr="009C5096" w:rsidRDefault="00BE29C7" w:rsidP="009C5096">
      <w:r>
        <w:separator/>
      </w:r>
    </w:p>
  </w:footnote>
  <w:footnote w:type="continuationSeparator" w:id="0">
    <w:p w:rsidR="00BE29C7" w:rsidRPr="009C5096" w:rsidRDefault="00BE29C7" w:rsidP="009C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8EE"/>
    <w:multiLevelType w:val="hybridMultilevel"/>
    <w:tmpl w:val="CCCAF058"/>
    <w:lvl w:ilvl="0" w:tplc="A9CCA1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02870"/>
    <w:multiLevelType w:val="hybridMultilevel"/>
    <w:tmpl w:val="A4143D4A"/>
    <w:lvl w:ilvl="0" w:tplc="95A67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0802B1"/>
    <w:multiLevelType w:val="hybridMultilevel"/>
    <w:tmpl w:val="4AA63C98"/>
    <w:lvl w:ilvl="0" w:tplc="C52A998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2BC6479"/>
    <w:multiLevelType w:val="multilevel"/>
    <w:tmpl w:val="6318213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369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6864B12"/>
    <w:multiLevelType w:val="multilevel"/>
    <w:tmpl w:val="7BA8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E19B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73411A"/>
    <w:multiLevelType w:val="hybridMultilevel"/>
    <w:tmpl w:val="4E7AF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D6312"/>
    <w:multiLevelType w:val="hybridMultilevel"/>
    <w:tmpl w:val="04FA6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62E93"/>
    <w:multiLevelType w:val="hybridMultilevel"/>
    <w:tmpl w:val="EBAA72F6"/>
    <w:lvl w:ilvl="0" w:tplc="BA922A7A">
      <w:start w:val="1"/>
      <w:numFmt w:val="bullet"/>
      <w:pStyle w:val="KeywordsHighlights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CA2385"/>
    <w:multiLevelType w:val="hybridMultilevel"/>
    <w:tmpl w:val="B1A45400"/>
    <w:lvl w:ilvl="0" w:tplc="069E58CA">
      <w:start w:val="1"/>
      <w:numFmt w:val="lowerLetter"/>
      <w:pStyle w:val="Affiliatio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98079CE"/>
    <w:multiLevelType w:val="multilevel"/>
    <w:tmpl w:val="9A78938A"/>
    <w:lvl w:ilvl="0">
      <w:start w:val="1"/>
      <w:numFmt w:val="decimal"/>
      <w:pStyle w:val="SousParti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ousTitrePartieArticle"/>
      <w:lvlText w:val="%1.%2."/>
      <w:lvlJc w:val="left"/>
      <w:pPr>
        <w:ind w:left="716" w:hanging="432"/>
      </w:pPr>
    </w:lvl>
    <w:lvl w:ilvl="2">
      <w:start w:val="1"/>
      <w:numFmt w:val="decimal"/>
      <w:pStyle w:val="SousSousTitrePartieArticle"/>
      <w:lvlText w:val="%1.%2.%3."/>
      <w:lvlJc w:val="left"/>
      <w:pPr>
        <w:ind w:left="1224" w:hanging="504"/>
      </w:pPr>
    </w:lvl>
    <w:lvl w:ilvl="3">
      <w:start w:val="1"/>
      <w:numFmt w:val="decimal"/>
      <w:pStyle w:val="SousSousSousTitrePartieArticl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1908EF"/>
    <w:multiLevelType w:val="multilevel"/>
    <w:tmpl w:val="11D22CE0"/>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084D1F"/>
    <w:multiLevelType w:val="hybridMultilevel"/>
    <w:tmpl w:val="87D68EAE"/>
    <w:lvl w:ilvl="0" w:tplc="040C0001">
      <w:start w:val="1"/>
      <w:numFmt w:val="bullet"/>
      <w:lvlText w:val=""/>
      <w:lvlJc w:val="left"/>
      <w:pPr>
        <w:ind w:left="720" w:hanging="360"/>
      </w:pPr>
      <w:rPr>
        <w:rFonts w:ascii="Symbol" w:hAnsi="Symbol" w:hint="default"/>
      </w:rPr>
    </w:lvl>
    <w:lvl w:ilvl="1" w:tplc="1F2A09A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A17D3"/>
    <w:multiLevelType w:val="multilevel"/>
    <w:tmpl w:val="12B4D26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2420E2"/>
    <w:multiLevelType w:val="hybridMultilevel"/>
    <w:tmpl w:val="70D2CA8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53F310D"/>
    <w:multiLevelType w:val="multilevel"/>
    <w:tmpl w:val="F4B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C35C3"/>
    <w:multiLevelType w:val="hybridMultilevel"/>
    <w:tmpl w:val="725474F8"/>
    <w:lvl w:ilvl="0" w:tplc="0C0EB2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3"/>
  </w:num>
  <w:num w:numId="5">
    <w:abstractNumId w:val="1"/>
  </w:num>
  <w:num w:numId="6">
    <w:abstractNumId w:val="2"/>
  </w:num>
  <w:num w:numId="7">
    <w:abstractNumId w:val="6"/>
  </w:num>
  <w:num w:numId="8">
    <w:abstractNumId w:val="12"/>
  </w:num>
  <w:num w:numId="9">
    <w:abstractNumId w:val="11"/>
  </w:num>
  <w:num w:numId="10">
    <w:abstractNumId w:val="3"/>
  </w:num>
  <w:num w:numId="11">
    <w:abstractNumId w:val="5"/>
  </w:num>
  <w:num w:numId="12">
    <w:abstractNumId w:val="9"/>
  </w:num>
  <w:num w:numId="13">
    <w:abstractNumId w:val="8"/>
  </w:num>
  <w:num w:numId="14">
    <w:abstractNumId w:val="0"/>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ocumentProtection w:edit="forms"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6D"/>
    <w:rsid w:val="0002470E"/>
    <w:rsid w:val="00026EEB"/>
    <w:rsid w:val="00033AB1"/>
    <w:rsid w:val="000516BE"/>
    <w:rsid w:val="0005174F"/>
    <w:rsid w:val="0007515A"/>
    <w:rsid w:val="00075B39"/>
    <w:rsid w:val="00083B51"/>
    <w:rsid w:val="000877FC"/>
    <w:rsid w:val="00095C09"/>
    <w:rsid w:val="000B5C51"/>
    <w:rsid w:val="000D190C"/>
    <w:rsid w:val="000E5246"/>
    <w:rsid w:val="000E5732"/>
    <w:rsid w:val="000E59AC"/>
    <w:rsid w:val="00107217"/>
    <w:rsid w:val="00134E5A"/>
    <w:rsid w:val="001363E4"/>
    <w:rsid w:val="001519F4"/>
    <w:rsid w:val="00152E53"/>
    <w:rsid w:val="00191327"/>
    <w:rsid w:val="0019473B"/>
    <w:rsid w:val="001A25A1"/>
    <w:rsid w:val="001C534E"/>
    <w:rsid w:val="001C5E4B"/>
    <w:rsid w:val="001D1B80"/>
    <w:rsid w:val="001D5C50"/>
    <w:rsid w:val="001E1DF6"/>
    <w:rsid w:val="001E295D"/>
    <w:rsid w:val="001F1029"/>
    <w:rsid w:val="001F26C4"/>
    <w:rsid w:val="001F5CD0"/>
    <w:rsid w:val="00215A36"/>
    <w:rsid w:val="00220E3F"/>
    <w:rsid w:val="00246740"/>
    <w:rsid w:val="002507E5"/>
    <w:rsid w:val="002529C0"/>
    <w:rsid w:val="00256BF6"/>
    <w:rsid w:val="00257FAA"/>
    <w:rsid w:val="0026376A"/>
    <w:rsid w:val="00271ABF"/>
    <w:rsid w:val="002853ED"/>
    <w:rsid w:val="0029248B"/>
    <w:rsid w:val="002938A8"/>
    <w:rsid w:val="002B4ED2"/>
    <w:rsid w:val="002B7ED3"/>
    <w:rsid w:val="002C6B01"/>
    <w:rsid w:val="002D1810"/>
    <w:rsid w:val="002E5748"/>
    <w:rsid w:val="002F2D9D"/>
    <w:rsid w:val="003179A0"/>
    <w:rsid w:val="00330AD8"/>
    <w:rsid w:val="00335FBB"/>
    <w:rsid w:val="00344298"/>
    <w:rsid w:val="00381881"/>
    <w:rsid w:val="00386EA0"/>
    <w:rsid w:val="003A0641"/>
    <w:rsid w:val="003A5C39"/>
    <w:rsid w:val="003C173C"/>
    <w:rsid w:val="003C6B69"/>
    <w:rsid w:val="003D6947"/>
    <w:rsid w:val="003E6C5D"/>
    <w:rsid w:val="003F5ED1"/>
    <w:rsid w:val="003F63A1"/>
    <w:rsid w:val="0040717E"/>
    <w:rsid w:val="0042456B"/>
    <w:rsid w:val="0042717A"/>
    <w:rsid w:val="00434BBB"/>
    <w:rsid w:val="004477E8"/>
    <w:rsid w:val="00452BB7"/>
    <w:rsid w:val="00460D8E"/>
    <w:rsid w:val="00465E06"/>
    <w:rsid w:val="00466A79"/>
    <w:rsid w:val="004A04A1"/>
    <w:rsid w:val="004A7625"/>
    <w:rsid w:val="004B6146"/>
    <w:rsid w:val="004C7CC0"/>
    <w:rsid w:val="004D3C2D"/>
    <w:rsid w:val="004D7B24"/>
    <w:rsid w:val="004E2403"/>
    <w:rsid w:val="004F4794"/>
    <w:rsid w:val="00502BE6"/>
    <w:rsid w:val="00505C9C"/>
    <w:rsid w:val="00523082"/>
    <w:rsid w:val="00526E73"/>
    <w:rsid w:val="00561D76"/>
    <w:rsid w:val="00575F2F"/>
    <w:rsid w:val="00583A5A"/>
    <w:rsid w:val="00586A9D"/>
    <w:rsid w:val="005C60EF"/>
    <w:rsid w:val="005C7456"/>
    <w:rsid w:val="005C789A"/>
    <w:rsid w:val="005D706A"/>
    <w:rsid w:val="00604122"/>
    <w:rsid w:val="006204F7"/>
    <w:rsid w:val="0063308C"/>
    <w:rsid w:val="0063740D"/>
    <w:rsid w:val="00673A51"/>
    <w:rsid w:val="00684AFE"/>
    <w:rsid w:val="0069078C"/>
    <w:rsid w:val="006963FE"/>
    <w:rsid w:val="00697606"/>
    <w:rsid w:val="00697647"/>
    <w:rsid w:val="006A09D5"/>
    <w:rsid w:val="006A28DF"/>
    <w:rsid w:val="006C643E"/>
    <w:rsid w:val="006D003A"/>
    <w:rsid w:val="006E5AC8"/>
    <w:rsid w:val="006E78D6"/>
    <w:rsid w:val="006F0943"/>
    <w:rsid w:val="006F2346"/>
    <w:rsid w:val="006F3CA7"/>
    <w:rsid w:val="006F69DE"/>
    <w:rsid w:val="00764EA0"/>
    <w:rsid w:val="00785453"/>
    <w:rsid w:val="007954CA"/>
    <w:rsid w:val="007B1324"/>
    <w:rsid w:val="007B19B0"/>
    <w:rsid w:val="007B5EDC"/>
    <w:rsid w:val="007E4124"/>
    <w:rsid w:val="007F0AC8"/>
    <w:rsid w:val="007F6F62"/>
    <w:rsid w:val="00800231"/>
    <w:rsid w:val="00822658"/>
    <w:rsid w:val="0082655F"/>
    <w:rsid w:val="008310F2"/>
    <w:rsid w:val="00853E78"/>
    <w:rsid w:val="0088637E"/>
    <w:rsid w:val="008E7DE6"/>
    <w:rsid w:val="0092107E"/>
    <w:rsid w:val="00927571"/>
    <w:rsid w:val="00943D94"/>
    <w:rsid w:val="00951155"/>
    <w:rsid w:val="00957E7B"/>
    <w:rsid w:val="009930DE"/>
    <w:rsid w:val="00994492"/>
    <w:rsid w:val="009A2B4A"/>
    <w:rsid w:val="009B3F74"/>
    <w:rsid w:val="009B7A0B"/>
    <w:rsid w:val="009C394C"/>
    <w:rsid w:val="009C5096"/>
    <w:rsid w:val="009C563D"/>
    <w:rsid w:val="009C5A40"/>
    <w:rsid w:val="009C77B3"/>
    <w:rsid w:val="009D0AFA"/>
    <w:rsid w:val="009F00AB"/>
    <w:rsid w:val="00A04AD9"/>
    <w:rsid w:val="00A32995"/>
    <w:rsid w:val="00A33323"/>
    <w:rsid w:val="00A42003"/>
    <w:rsid w:val="00A54CE2"/>
    <w:rsid w:val="00A66B08"/>
    <w:rsid w:val="00A74649"/>
    <w:rsid w:val="00A77AEE"/>
    <w:rsid w:val="00AA0572"/>
    <w:rsid w:val="00AF433D"/>
    <w:rsid w:val="00B31E20"/>
    <w:rsid w:val="00B37CD4"/>
    <w:rsid w:val="00B54793"/>
    <w:rsid w:val="00B81D37"/>
    <w:rsid w:val="00B843E8"/>
    <w:rsid w:val="00B96309"/>
    <w:rsid w:val="00B97F8E"/>
    <w:rsid w:val="00BA2446"/>
    <w:rsid w:val="00BE2949"/>
    <w:rsid w:val="00BE29C7"/>
    <w:rsid w:val="00BF3847"/>
    <w:rsid w:val="00BF62C0"/>
    <w:rsid w:val="00BF7FD8"/>
    <w:rsid w:val="00C14EE7"/>
    <w:rsid w:val="00C174DB"/>
    <w:rsid w:val="00C25631"/>
    <w:rsid w:val="00C2630B"/>
    <w:rsid w:val="00C32596"/>
    <w:rsid w:val="00C7C456"/>
    <w:rsid w:val="00C964DA"/>
    <w:rsid w:val="00CB4FFF"/>
    <w:rsid w:val="00CC07BE"/>
    <w:rsid w:val="00CC4627"/>
    <w:rsid w:val="00CC6F80"/>
    <w:rsid w:val="00CF0F89"/>
    <w:rsid w:val="00CF6AEE"/>
    <w:rsid w:val="00D0326B"/>
    <w:rsid w:val="00D12BD2"/>
    <w:rsid w:val="00D26F70"/>
    <w:rsid w:val="00D27E5B"/>
    <w:rsid w:val="00D30BBA"/>
    <w:rsid w:val="00D60820"/>
    <w:rsid w:val="00DD4573"/>
    <w:rsid w:val="00E019D9"/>
    <w:rsid w:val="00E06211"/>
    <w:rsid w:val="00E1647F"/>
    <w:rsid w:val="00E21CE6"/>
    <w:rsid w:val="00E227B9"/>
    <w:rsid w:val="00E50F81"/>
    <w:rsid w:val="00E529D1"/>
    <w:rsid w:val="00E64AC6"/>
    <w:rsid w:val="00E654D6"/>
    <w:rsid w:val="00E741C0"/>
    <w:rsid w:val="00E76987"/>
    <w:rsid w:val="00E82C69"/>
    <w:rsid w:val="00EC1D7F"/>
    <w:rsid w:val="00EC2570"/>
    <w:rsid w:val="00EC5036"/>
    <w:rsid w:val="00EC5056"/>
    <w:rsid w:val="00EE56BB"/>
    <w:rsid w:val="00F30EE2"/>
    <w:rsid w:val="00F55590"/>
    <w:rsid w:val="00F62FB6"/>
    <w:rsid w:val="00F71235"/>
    <w:rsid w:val="00F74A6D"/>
    <w:rsid w:val="00F76910"/>
    <w:rsid w:val="00F82B02"/>
    <w:rsid w:val="00F95846"/>
    <w:rsid w:val="00FB2B64"/>
    <w:rsid w:val="00FD3493"/>
    <w:rsid w:val="00FD71BC"/>
    <w:rsid w:val="00FE206C"/>
    <w:rsid w:val="00FE37C5"/>
    <w:rsid w:val="00FF5A9F"/>
    <w:rsid w:val="00FF7774"/>
    <w:rsid w:val="010944A0"/>
    <w:rsid w:val="03C9B6AD"/>
    <w:rsid w:val="046A2D5A"/>
    <w:rsid w:val="046B2A74"/>
    <w:rsid w:val="04EABD06"/>
    <w:rsid w:val="05C8E154"/>
    <w:rsid w:val="05D8E230"/>
    <w:rsid w:val="064E4411"/>
    <w:rsid w:val="0669E719"/>
    <w:rsid w:val="068CBA77"/>
    <w:rsid w:val="068DECED"/>
    <w:rsid w:val="06E6CF7B"/>
    <w:rsid w:val="0763F432"/>
    <w:rsid w:val="080047B2"/>
    <w:rsid w:val="081FCD28"/>
    <w:rsid w:val="084F0689"/>
    <w:rsid w:val="08A3F18E"/>
    <w:rsid w:val="0901BB2B"/>
    <w:rsid w:val="09F9CB07"/>
    <w:rsid w:val="0A31B971"/>
    <w:rsid w:val="0A475DE3"/>
    <w:rsid w:val="0AB4A6FC"/>
    <w:rsid w:val="0BC631CE"/>
    <w:rsid w:val="0C2F2119"/>
    <w:rsid w:val="0D389069"/>
    <w:rsid w:val="0E34CDFC"/>
    <w:rsid w:val="0EC2AD7F"/>
    <w:rsid w:val="0F3BDF6F"/>
    <w:rsid w:val="0FB9D090"/>
    <w:rsid w:val="0FFDC7CE"/>
    <w:rsid w:val="100C995F"/>
    <w:rsid w:val="101F6CCB"/>
    <w:rsid w:val="108CB75F"/>
    <w:rsid w:val="10EBCE10"/>
    <w:rsid w:val="111C8AA0"/>
    <w:rsid w:val="1123E972"/>
    <w:rsid w:val="119CF673"/>
    <w:rsid w:val="1296A4C1"/>
    <w:rsid w:val="12A24A44"/>
    <w:rsid w:val="131C1A42"/>
    <w:rsid w:val="133D89E6"/>
    <w:rsid w:val="13607F6B"/>
    <w:rsid w:val="13E14ADE"/>
    <w:rsid w:val="13F6312D"/>
    <w:rsid w:val="13F94230"/>
    <w:rsid w:val="146EFB2B"/>
    <w:rsid w:val="148F8FCD"/>
    <w:rsid w:val="1497A1C3"/>
    <w:rsid w:val="163C7E6B"/>
    <w:rsid w:val="171C6D67"/>
    <w:rsid w:val="17B2DE53"/>
    <w:rsid w:val="17F2B253"/>
    <w:rsid w:val="183E1AFF"/>
    <w:rsid w:val="1880AB04"/>
    <w:rsid w:val="18A139F2"/>
    <w:rsid w:val="18E38513"/>
    <w:rsid w:val="19A31DAA"/>
    <w:rsid w:val="19EBA943"/>
    <w:rsid w:val="1A76CBBE"/>
    <w:rsid w:val="1A9F70B5"/>
    <w:rsid w:val="1AD61443"/>
    <w:rsid w:val="1BB46695"/>
    <w:rsid w:val="1BCCF013"/>
    <w:rsid w:val="1C5650B4"/>
    <w:rsid w:val="1C6E60FA"/>
    <w:rsid w:val="1CCC50B0"/>
    <w:rsid w:val="1D6090EC"/>
    <w:rsid w:val="1DCB4B1C"/>
    <w:rsid w:val="1E1A8E78"/>
    <w:rsid w:val="1E7D5F11"/>
    <w:rsid w:val="1F281260"/>
    <w:rsid w:val="1FE32B20"/>
    <w:rsid w:val="207D3E92"/>
    <w:rsid w:val="209081E0"/>
    <w:rsid w:val="209C37BF"/>
    <w:rsid w:val="20A45936"/>
    <w:rsid w:val="222F22B1"/>
    <w:rsid w:val="22A22A86"/>
    <w:rsid w:val="22CEEF4D"/>
    <w:rsid w:val="24096D42"/>
    <w:rsid w:val="2451467B"/>
    <w:rsid w:val="25E19CF7"/>
    <w:rsid w:val="267F6DEB"/>
    <w:rsid w:val="26AA2C24"/>
    <w:rsid w:val="277DF8C2"/>
    <w:rsid w:val="27881569"/>
    <w:rsid w:val="27C07919"/>
    <w:rsid w:val="289C11A7"/>
    <w:rsid w:val="28B631A8"/>
    <w:rsid w:val="29BEC198"/>
    <w:rsid w:val="2B22F989"/>
    <w:rsid w:val="2B4AFF07"/>
    <w:rsid w:val="2B4D45F0"/>
    <w:rsid w:val="2C34E98D"/>
    <w:rsid w:val="2C9EF340"/>
    <w:rsid w:val="2CBEFCCB"/>
    <w:rsid w:val="2CF667C6"/>
    <w:rsid w:val="2D594F43"/>
    <w:rsid w:val="2D8268BB"/>
    <w:rsid w:val="2E8CE377"/>
    <w:rsid w:val="2E9E0AAF"/>
    <w:rsid w:val="2EE24705"/>
    <w:rsid w:val="2EFB5089"/>
    <w:rsid w:val="301B4401"/>
    <w:rsid w:val="302DECAB"/>
    <w:rsid w:val="312FAEB1"/>
    <w:rsid w:val="320464AA"/>
    <w:rsid w:val="32630E73"/>
    <w:rsid w:val="32869E0B"/>
    <w:rsid w:val="32A84097"/>
    <w:rsid w:val="343D16C3"/>
    <w:rsid w:val="34757EE0"/>
    <w:rsid w:val="35212E1C"/>
    <w:rsid w:val="35817608"/>
    <w:rsid w:val="35846B8A"/>
    <w:rsid w:val="35C53033"/>
    <w:rsid w:val="36002ADC"/>
    <w:rsid w:val="365226AC"/>
    <w:rsid w:val="36994D34"/>
    <w:rsid w:val="36FA9E70"/>
    <w:rsid w:val="372F5248"/>
    <w:rsid w:val="376A54DD"/>
    <w:rsid w:val="377D2DA2"/>
    <w:rsid w:val="381DAC8F"/>
    <w:rsid w:val="3846D2F7"/>
    <w:rsid w:val="3963A31E"/>
    <w:rsid w:val="3BB7428F"/>
    <w:rsid w:val="3C4FE25B"/>
    <w:rsid w:val="3CA45D0E"/>
    <w:rsid w:val="3CACF954"/>
    <w:rsid w:val="3CF7B8CD"/>
    <w:rsid w:val="3DAD5FAF"/>
    <w:rsid w:val="3DF8C20C"/>
    <w:rsid w:val="3E21850B"/>
    <w:rsid w:val="3E84006A"/>
    <w:rsid w:val="3E87789C"/>
    <w:rsid w:val="3EFC907A"/>
    <w:rsid w:val="3F2A6915"/>
    <w:rsid w:val="3F5DE8A3"/>
    <w:rsid w:val="404F20C4"/>
    <w:rsid w:val="4069771C"/>
    <w:rsid w:val="406BB909"/>
    <w:rsid w:val="40A69D5A"/>
    <w:rsid w:val="426CBD49"/>
    <w:rsid w:val="428882F1"/>
    <w:rsid w:val="4353BFC4"/>
    <w:rsid w:val="4379B136"/>
    <w:rsid w:val="449908C9"/>
    <w:rsid w:val="44EB0705"/>
    <w:rsid w:val="455E320D"/>
    <w:rsid w:val="45A0BF42"/>
    <w:rsid w:val="4722589C"/>
    <w:rsid w:val="47413F4D"/>
    <w:rsid w:val="480D9072"/>
    <w:rsid w:val="48E03592"/>
    <w:rsid w:val="4A5BB8AC"/>
    <w:rsid w:val="4A92CC8F"/>
    <w:rsid w:val="4B5D2387"/>
    <w:rsid w:val="4B72A191"/>
    <w:rsid w:val="4C3B051B"/>
    <w:rsid w:val="4D9D7AC3"/>
    <w:rsid w:val="4E2810E9"/>
    <w:rsid w:val="5000332F"/>
    <w:rsid w:val="5033598F"/>
    <w:rsid w:val="5041A059"/>
    <w:rsid w:val="50E16F98"/>
    <w:rsid w:val="51088826"/>
    <w:rsid w:val="514B49D0"/>
    <w:rsid w:val="516E7FAA"/>
    <w:rsid w:val="51BE4B32"/>
    <w:rsid w:val="525338A3"/>
    <w:rsid w:val="52DD8541"/>
    <w:rsid w:val="549B1612"/>
    <w:rsid w:val="54A2F77F"/>
    <w:rsid w:val="54C950CC"/>
    <w:rsid w:val="5510CDA2"/>
    <w:rsid w:val="56102756"/>
    <w:rsid w:val="5611A152"/>
    <w:rsid w:val="56649731"/>
    <w:rsid w:val="57678B76"/>
    <w:rsid w:val="577B041F"/>
    <w:rsid w:val="57B65C6E"/>
    <w:rsid w:val="57E09BBB"/>
    <w:rsid w:val="582716FB"/>
    <w:rsid w:val="58549813"/>
    <w:rsid w:val="591D3772"/>
    <w:rsid w:val="59EF1773"/>
    <w:rsid w:val="5A38BD94"/>
    <w:rsid w:val="5AF7137D"/>
    <w:rsid w:val="5BE5A108"/>
    <w:rsid w:val="5C6BE576"/>
    <w:rsid w:val="5C84D1FC"/>
    <w:rsid w:val="5CF9AA7D"/>
    <w:rsid w:val="5D97D961"/>
    <w:rsid w:val="5E7F8975"/>
    <w:rsid w:val="5FF4855E"/>
    <w:rsid w:val="6044CC0C"/>
    <w:rsid w:val="6137E124"/>
    <w:rsid w:val="6242BABF"/>
    <w:rsid w:val="62C9FCF2"/>
    <w:rsid w:val="633307C6"/>
    <w:rsid w:val="64492630"/>
    <w:rsid w:val="64B1C68B"/>
    <w:rsid w:val="64B43F7E"/>
    <w:rsid w:val="65521FC8"/>
    <w:rsid w:val="66698024"/>
    <w:rsid w:val="6723A3DE"/>
    <w:rsid w:val="67C1CF24"/>
    <w:rsid w:val="67CCA9D4"/>
    <w:rsid w:val="68115247"/>
    <w:rsid w:val="68EE8744"/>
    <w:rsid w:val="6908EA6A"/>
    <w:rsid w:val="692A9058"/>
    <w:rsid w:val="6A0E2E09"/>
    <w:rsid w:val="6A804307"/>
    <w:rsid w:val="6AB3CF71"/>
    <w:rsid w:val="6B243B3F"/>
    <w:rsid w:val="6BC95B95"/>
    <w:rsid w:val="6BD34E52"/>
    <w:rsid w:val="6BE6394D"/>
    <w:rsid w:val="6CD59B20"/>
    <w:rsid w:val="6E05878B"/>
    <w:rsid w:val="6E1F7FDF"/>
    <w:rsid w:val="6E2FDD3F"/>
    <w:rsid w:val="6E52E00B"/>
    <w:rsid w:val="6E8F6B09"/>
    <w:rsid w:val="6E9956C9"/>
    <w:rsid w:val="6EB0CDC4"/>
    <w:rsid w:val="6F3365C5"/>
    <w:rsid w:val="6F4F1FA9"/>
    <w:rsid w:val="6F9E5C8A"/>
    <w:rsid w:val="70EC5512"/>
    <w:rsid w:val="7128D356"/>
    <w:rsid w:val="72014D8A"/>
    <w:rsid w:val="72621A4A"/>
    <w:rsid w:val="7311D744"/>
    <w:rsid w:val="736FBDDE"/>
    <w:rsid w:val="74B8D481"/>
    <w:rsid w:val="755457CB"/>
    <w:rsid w:val="75AC14FE"/>
    <w:rsid w:val="764D1B3F"/>
    <w:rsid w:val="765DC158"/>
    <w:rsid w:val="76BC0828"/>
    <w:rsid w:val="76CC9477"/>
    <w:rsid w:val="76DD85D1"/>
    <w:rsid w:val="76E3C661"/>
    <w:rsid w:val="771DE21F"/>
    <w:rsid w:val="77E26D9D"/>
    <w:rsid w:val="785A7613"/>
    <w:rsid w:val="787AB877"/>
    <w:rsid w:val="788C52F8"/>
    <w:rsid w:val="78AFFBF6"/>
    <w:rsid w:val="79073B42"/>
    <w:rsid w:val="795D895A"/>
    <w:rsid w:val="798FEF5D"/>
    <w:rsid w:val="79A5ED8F"/>
    <w:rsid w:val="79DD8BA6"/>
    <w:rsid w:val="7A5E495C"/>
    <w:rsid w:val="7B0BF154"/>
    <w:rsid w:val="7B687EC8"/>
    <w:rsid w:val="7B8D4CFB"/>
    <w:rsid w:val="7BFEE098"/>
    <w:rsid w:val="7C1113BB"/>
    <w:rsid w:val="7C23FB94"/>
    <w:rsid w:val="7C39F130"/>
    <w:rsid w:val="7CEC5801"/>
    <w:rsid w:val="7D29671C"/>
    <w:rsid w:val="7E20B7C1"/>
    <w:rsid w:val="7E3CC944"/>
    <w:rsid w:val="7E8524F6"/>
    <w:rsid w:val="7EB443EA"/>
    <w:rsid w:val="7F85CFCD"/>
    <w:rsid w:val="7F95703C"/>
    <w:rsid w:val="7FAA7A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310F2"/>
  <w15:chartTrackingRefBased/>
  <w15:docId w15:val="{DEAC9CC7-C05A-42FA-926F-3DE2C8E3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7A"/>
  </w:style>
  <w:style w:type="paragraph" w:styleId="Titre1">
    <w:name w:val="heading 1"/>
    <w:basedOn w:val="Normal"/>
    <w:next w:val="Normal"/>
    <w:link w:val="Titre1Car"/>
    <w:uiPriority w:val="9"/>
    <w:qFormat/>
    <w:rsid w:val="003179A0"/>
    <w:pPr>
      <w:keepNext/>
      <w:keepLines/>
      <w:spacing w:before="480" w:after="200" w:line="256" w:lineRule="auto"/>
      <w:outlineLvl w:val="0"/>
    </w:pPr>
    <w:rPr>
      <w:rFonts w:ascii="Arial" w:eastAsia="Arial" w:hAnsi="Arial" w:cs="Arial"/>
      <w:sz w:val="40"/>
      <w:szCs w:val="40"/>
      <w:lang w:val="ru-RU"/>
    </w:rPr>
  </w:style>
  <w:style w:type="paragraph" w:styleId="Titre2">
    <w:name w:val="heading 2"/>
    <w:basedOn w:val="Normal"/>
    <w:next w:val="Normal"/>
    <w:link w:val="Titre2Car"/>
    <w:uiPriority w:val="9"/>
    <w:semiHidden/>
    <w:unhideWhenUsed/>
    <w:qFormat/>
    <w:rsid w:val="003179A0"/>
    <w:pPr>
      <w:keepNext/>
      <w:keepLines/>
      <w:spacing w:before="40" w:after="0" w:line="256" w:lineRule="auto"/>
      <w:outlineLvl w:val="1"/>
    </w:pPr>
    <w:rPr>
      <w:rFonts w:ascii="Calibri Light" w:eastAsia="Calibri Light" w:hAnsi="Calibri Light" w:cs="Calibri Light"/>
      <w:color w:val="2F5496" w:themeColor="accent1" w:themeShade="BF"/>
      <w:sz w:val="26"/>
      <w:szCs w:val="26"/>
      <w:lang w:val="ru-RU"/>
    </w:rPr>
  </w:style>
  <w:style w:type="paragraph" w:styleId="Titre3">
    <w:name w:val="heading 3"/>
    <w:basedOn w:val="Normal"/>
    <w:next w:val="Normal"/>
    <w:link w:val="Titre3Car"/>
    <w:uiPriority w:val="9"/>
    <w:semiHidden/>
    <w:unhideWhenUsed/>
    <w:qFormat/>
    <w:rsid w:val="003179A0"/>
    <w:pPr>
      <w:keepNext/>
      <w:keepLines/>
      <w:spacing w:before="320" w:after="200" w:line="256" w:lineRule="auto"/>
      <w:outlineLvl w:val="2"/>
    </w:pPr>
    <w:rPr>
      <w:rFonts w:ascii="Arial" w:eastAsia="Arial" w:hAnsi="Arial" w:cs="Arial"/>
      <w:sz w:val="30"/>
      <w:szCs w:val="30"/>
      <w:lang w:val="ru-RU"/>
    </w:rPr>
  </w:style>
  <w:style w:type="paragraph" w:styleId="Titre4">
    <w:name w:val="heading 4"/>
    <w:basedOn w:val="Normal"/>
    <w:next w:val="Normal"/>
    <w:link w:val="Titre4Car"/>
    <w:uiPriority w:val="9"/>
    <w:semiHidden/>
    <w:unhideWhenUsed/>
    <w:qFormat/>
    <w:rsid w:val="003179A0"/>
    <w:pPr>
      <w:keepNext/>
      <w:keepLines/>
      <w:spacing w:before="320" w:after="200" w:line="256" w:lineRule="auto"/>
      <w:outlineLvl w:val="3"/>
    </w:pPr>
    <w:rPr>
      <w:rFonts w:ascii="Arial" w:eastAsia="Arial" w:hAnsi="Arial" w:cs="Arial"/>
      <w:b/>
      <w:bCs/>
      <w:sz w:val="26"/>
      <w:szCs w:val="26"/>
      <w:lang w:val="ru-RU"/>
    </w:rPr>
  </w:style>
  <w:style w:type="paragraph" w:styleId="Titre5">
    <w:name w:val="heading 5"/>
    <w:basedOn w:val="Normal"/>
    <w:next w:val="Normal"/>
    <w:link w:val="Titre5Car"/>
    <w:uiPriority w:val="9"/>
    <w:semiHidden/>
    <w:unhideWhenUsed/>
    <w:qFormat/>
    <w:rsid w:val="003179A0"/>
    <w:pPr>
      <w:keepNext/>
      <w:keepLines/>
      <w:spacing w:before="320" w:after="200" w:line="256" w:lineRule="auto"/>
      <w:outlineLvl w:val="4"/>
    </w:pPr>
    <w:rPr>
      <w:rFonts w:ascii="Arial" w:eastAsia="Arial" w:hAnsi="Arial" w:cs="Arial"/>
      <w:b/>
      <w:bCs/>
      <w:sz w:val="24"/>
      <w:szCs w:val="24"/>
      <w:lang w:val="ru-RU"/>
    </w:rPr>
  </w:style>
  <w:style w:type="paragraph" w:styleId="Titre6">
    <w:name w:val="heading 6"/>
    <w:basedOn w:val="Normal"/>
    <w:next w:val="Normal"/>
    <w:link w:val="Titre6Car"/>
    <w:uiPriority w:val="9"/>
    <w:semiHidden/>
    <w:unhideWhenUsed/>
    <w:qFormat/>
    <w:rsid w:val="003179A0"/>
    <w:pPr>
      <w:keepNext/>
      <w:keepLines/>
      <w:spacing w:before="320" w:after="200" w:line="256" w:lineRule="auto"/>
      <w:outlineLvl w:val="5"/>
    </w:pPr>
    <w:rPr>
      <w:rFonts w:ascii="Arial" w:eastAsia="Arial" w:hAnsi="Arial" w:cs="Arial"/>
      <w:b/>
      <w:bCs/>
      <w:lang w:val="ru-RU"/>
    </w:rPr>
  </w:style>
  <w:style w:type="paragraph" w:styleId="Titre7">
    <w:name w:val="heading 7"/>
    <w:basedOn w:val="Normal"/>
    <w:next w:val="Normal"/>
    <w:link w:val="Titre7Car"/>
    <w:uiPriority w:val="9"/>
    <w:semiHidden/>
    <w:unhideWhenUsed/>
    <w:qFormat/>
    <w:rsid w:val="003179A0"/>
    <w:pPr>
      <w:keepNext/>
      <w:keepLines/>
      <w:spacing w:before="320" w:after="200" w:line="256" w:lineRule="auto"/>
      <w:outlineLvl w:val="6"/>
    </w:pPr>
    <w:rPr>
      <w:rFonts w:ascii="Arial" w:eastAsia="Arial" w:hAnsi="Arial" w:cs="Arial"/>
      <w:b/>
      <w:bCs/>
      <w:i/>
      <w:iCs/>
      <w:lang w:val="ru-RU"/>
    </w:rPr>
  </w:style>
  <w:style w:type="paragraph" w:styleId="Titre8">
    <w:name w:val="heading 8"/>
    <w:basedOn w:val="Normal"/>
    <w:next w:val="Normal"/>
    <w:link w:val="Titre8Car"/>
    <w:uiPriority w:val="9"/>
    <w:semiHidden/>
    <w:unhideWhenUsed/>
    <w:qFormat/>
    <w:rsid w:val="003179A0"/>
    <w:pPr>
      <w:keepNext/>
      <w:keepLines/>
      <w:spacing w:before="320" w:after="200" w:line="256" w:lineRule="auto"/>
      <w:outlineLvl w:val="7"/>
    </w:pPr>
    <w:rPr>
      <w:rFonts w:ascii="Arial" w:eastAsia="Arial" w:hAnsi="Arial" w:cs="Arial"/>
      <w:i/>
      <w:iCs/>
      <w:lang w:val="ru-RU"/>
    </w:rPr>
  </w:style>
  <w:style w:type="paragraph" w:styleId="Titre9">
    <w:name w:val="heading 9"/>
    <w:basedOn w:val="Normal"/>
    <w:next w:val="Normal"/>
    <w:link w:val="Titre9Car"/>
    <w:uiPriority w:val="9"/>
    <w:semiHidden/>
    <w:unhideWhenUsed/>
    <w:qFormat/>
    <w:rsid w:val="003179A0"/>
    <w:pPr>
      <w:keepNext/>
      <w:keepLines/>
      <w:spacing w:before="320" w:after="200" w:line="256" w:lineRule="auto"/>
      <w:outlineLvl w:val="8"/>
    </w:pPr>
    <w:rPr>
      <w:rFonts w:ascii="Arial" w:eastAsia="Arial" w:hAnsi="Arial" w:cs="Arial"/>
      <w:i/>
      <w:iCs/>
      <w:sz w:val="21"/>
      <w:szCs w:val="21"/>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80168,bqiaagaaewgxaaagjb8aaanviaeabrcuaqaaaaaaaaaaaaaaaaaaaaaaaaaaaaaaaaaaaaaaaaaaaaaaaaaaaaaaaaaaaaaaaaaaaaaaaaaaaaaaaaaaaaaaaaaaaaaaaaaaaaaaaaaaaaaaaaaaaaaaaaaaaaaaaaaaaaaaaaaaaaaaaaaaaaaaaaaaaaaaaaaaaaaaaaaaaaaaaaaaaaaaaaaaaaaaaaaaaaa"/>
    <w:basedOn w:val="Normal"/>
    <w:rsid w:val="00EC50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C50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C5056"/>
    <w:rPr>
      <w:color w:val="0000FF"/>
      <w:u w:val="single"/>
    </w:rPr>
  </w:style>
  <w:style w:type="character" w:styleId="Marquedecommentaire">
    <w:name w:val="annotation reference"/>
    <w:basedOn w:val="Policepardfaut"/>
    <w:uiPriority w:val="99"/>
    <w:semiHidden/>
    <w:unhideWhenUsed/>
    <w:rsid w:val="0007515A"/>
    <w:rPr>
      <w:sz w:val="16"/>
      <w:szCs w:val="16"/>
    </w:rPr>
  </w:style>
  <w:style w:type="paragraph" w:styleId="Commentaire">
    <w:name w:val="annotation text"/>
    <w:basedOn w:val="Normal"/>
    <w:link w:val="CommentaireCar"/>
    <w:uiPriority w:val="99"/>
    <w:semiHidden/>
    <w:unhideWhenUsed/>
    <w:rsid w:val="0007515A"/>
    <w:pPr>
      <w:spacing w:line="240" w:lineRule="auto"/>
    </w:pPr>
    <w:rPr>
      <w:sz w:val="20"/>
      <w:szCs w:val="20"/>
    </w:rPr>
  </w:style>
  <w:style w:type="character" w:customStyle="1" w:styleId="CommentaireCar">
    <w:name w:val="Commentaire Car"/>
    <w:basedOn w:val="Policepardfaut"/>
    <w:link w:val="Commentaire"/>
    <w:uiPriority w:val="99"/>
    <w:semiHidden/>
    <w:rsid w:val="0007515A"/>
    <w:rPr>
      <w:sz w:val="20"/>
      <w:szCs w:val="20"/>
    </w:rPr>
  </w:style>
  <w:style w:type="paragraph" w:styleId="Objetducommentaire">
    <w:name w:val="annotation subject"/>
    <w:basedOn w:val="Commentaire"/>
    <w:next w:val="Commentaire"/>
    <w:link w:val="ObjetducommentaireCar"/>
    <w:uiPriority w:val="99"/>
    <w:semiHidden/>
    <w:unhideWhenUsed/>
    <w:rsid w:val="0007515A"/>
    <w:rPr>
      <w:b/>
      <w:bCs/>
    </w:rPr>
  </w:style>
  <w:style w:type="character" w:customStyle="1" w:styleId="ObjetducommentaireCar">
    <w:name w:val="Objet du commentaire Car"/>
    <w:basedOn w:val="CommentaireCar"/>
    <w:link w:val="Objetducommentaire"/>
    <w:uiPriority w:val="99"/>
    <w:semiHidden/>
    <w:rsid w:val="0007515A"/>
    <w:rPr>
      <w:b/>
      <w:bCs/>
      <w:sz w:val="20"/>
      <w:szCs w:val="20"/>
    </w:rPr>
  </w:style>
  <w:style w:type="paragraph" w:styleId="Textedebulles">
    <w:name w:val="Balloon Text"/>
    <w:basedOn w:val="Normal"/>
    <w:link w:val="TextedebullesCar"/>
    <w:uiPriority w:val="99"/>
    <w:semiHidden/>
    <w:unhideWhenUsed/>
    <w:rsid w:val="000751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515A"/>
    <w:rPr>
      <w:rFonts w:ascii="Segoe UI" w:hAnsi="Segoe UI" w:cs="Segoe UI"/>
      <w:sz w:val="18"/>
      <w:szCs w:val="18"/>
    </w:rPr>
  </w:style>
  <w:style w:type="paragraph" w:styleId="Bibliographie">
    <w:name w:val="Bibliography"/>
    <w:basedOn w:val="Normal"/>
    <w:next w:val="Normal"/>
    <w:uiPriority w:val="37"/>
    <w:unhideWhenUsed/>
    <w:rsid w:val="003C6B69"/>
    <w:pPr>
      <w:spacing w:after="0" w:line="240" w:lineRule="auto"/>
      <w:ind w:left="720" w:hanging="720"/>
    </w:p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customStyle="1" w:styleId="paragraph">
    <w:name w:val="paragraph"/>
    <w:basedOn w:val="Normal"/>
    <w:rsid w:val="00FF5A9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Policepardfaut"/>
    <w:rsid w:val="00FF5A9F"/>
  </w:style>
  <w:style w:type="character" w:customStyle="1" w:styleId="eop">
    <w:name w:val="eop"/>
    <w:basedOn w:val="Policepardfaut"/>
    <w:rsid w:val="00FF5A9F"/>
  </w:style>
  <w:style w:type="character" w:customStyle="1" w:styleId="spellingerror">
    <w:name w:val="spellingerror"/>
    <w:basedOn w:val="Policepardfaut"/>
    <w:rsid w:val="005C789A"/>
  </w:style>
  <w:style w:type="paragraph" w:styleId="Paragraphedeliste">
    <w:name w:val="List Paragraph"/>
    <w:basedOn w:val="Normal"/>
    <w:link w:val="ParagraphedelisteCar"/>
    <w:uiPriority w:val="34"/>
    <w:qFormat/>
    <w:rsid w:val="009930DE"/>
    <w:pPr>
      <w:ind w:left="720"/>
      <w:contextualSpacing/>
    </w:pPr>
  </w:style>
  <w:style w:type="character" w:styleId="Numrodeligne">
    <w:name w:val="line number"/>
    <w:basedOn w:val="Policepardfaut"/>
    <w:uiPriority w:val="99"/>
    <w:semiHidden/>
    <w:unhideWhenUsed/>
    <w:rsid w:val="009930DE"/>
  </w:style>
  <w:style w:type="paragraph" w:styleId="Lgende">
    <w:name w:val="caption"/>
    <w:basedOn w:val="Normal"/>
    <w:next w:val="Normal"/>
    <w:uiPriority w:val="35"/>
    <w:unhideWhenUsed/>
    <w:qFormat/>
    <w:rsid w:val="00575F2F"/>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3179A0"/>
    <w:rPr>
      <w:rFonts w:ascii="Arial" w:eastAsia="Arial" w:hAnsi="Arial" w:cs="Arial"/>
      <w:sz w:val="40"/>
      <w:szCs w:val="40"/>
      <w:lang w:val="ru-RU"/>
    </w:rPr>
  </w:style>
  <w:style w:type="character" w:customStyle="1" w:styleId="Titre2Car">
    <w:name w:val="Titre 2 Car"/>
    <w:basedOn w:val="Policepardfaut"/>
    <w:link w:val="Titre2"/>
    <w:uiPriority w:val="9"/>
    <w:semiHidden/>
    <w:rsid w:val="003179A0"/>
    <w:rPr>
      <w:rFonts w:ascii="Calibri Light" w:eastAsia="Calibri Light" w:hAnsi="Calibri Light" w:cs="Calibri Light"/>
      <w:color w:val="2F5496" w:themeColor="accent1" w:themeShade="BF"/>
      <w:sz w:val="26"/>
      <w:szCs w:val="26"/>
      <w:lang w:val="ru-RU"/>
    </w:rPr>
  </w:style>
  <w:style w:type="character" w:customStyle="1" w:styleId="Titre3Car">
    <w:name w:val="Titre 3 Car"/>
    <w:basedOn w:val="Policepardfaut"/>
    <w:link w:val="Titre3"/>
    <w:uiPriority w:val="9"/>
    <w:semiHidden/>
    <w:rsid w:val="003179A0"/>
    <w:rPr>
      <w:rFonts w:ascii="Arial" w:eastAsia="Arial" w:hAnsi="Arial" w:cs="Arial"/>
      <w:sz w:val="30"/>
      <w:szCs w:val="30"/>
      <w:lang w:val="ru-RU"/>
    </w:rPr>
  </w:style>
  <w:style w:type="character" w:customStyle="1" w:styleId="Titre4Car">
    <w:name w:val="Titre 4 Car"/>
    <w:basedOn w:val="Policepardfaut"/>
    <w:link w:val="Titre4"/>
    <w:uiPriority w:val="9"/>
    <w:semiHidden/>
    <w:rsid w:val="003179A0"/>
    <w:rPr>
      <w:rFonts w:ascii="Arial" w:eastAsia="Arial" w:hAnsi="Arial" w:cs="Arial"/>
      <w:b/>
      <w:bCs/>
      <w:sz w:val="26"/>
      <w:szCs w:val="26"/>
      <w:lang w:val="ru-RU"/>
    </w:rPr>
  </w:style>
  <w:style w:type="character" w:customStyle="1" w:styleId="Titre5Car">
    <w:name w:val="Titre 5 Car"/>
    <w:basedOn w:val="Policepardfaut"/>
    <w:link w:val="Titre5"/>
    <w:uiPriority w:val="9"/>
    <w:semiHidden/>
    <w:rsid w:val="003179A0"/>
    <w:rPr>
      <w:rFonts w:ascii="Arial" w:eastAsia="Arial" w:hAnsi="Arial" w:cs="Arial"/>
      <w:b/>
      <w:bCs/>
      <w:sz w:val="24"/>
      <w:szCs w:val="24"/>
      <w:lang w:val="ru-RU"/>
    </w:rPr>
  </w:style>
  <w:style w:type="character" w:customStyle="1" w:styleId="Titre6Car">
    <w:name w:val="Titre 6 Car"/>
    <w:basedOn w:val="Policepardfaut"/>
    <w:link w:val="Titre6"/>
    <w:uiPriority w:val="9"/>
    <w:semiHidden/>
    <w:rsid w:val="003179A0"/>
    <w:rPr>
      <w:rFonts w:ascii="Arial" w:eastAsia="Arial" w:hAnsi="Arial" w:cs="Arial"/>
      <w:b/>
      <w:bCs/>
      <w:lang w:val="ru-RU"/>
    </w:rPr>
  </w:style>
  <w:style w:type="character" w:customStyle="1" w:styleId="Titre7Car">
    <w:name w:val="Titre 7 Car"/>
    <w:basedOn w:val="Policepardfaut"/>
    <w:link w:val="Titre7"/>
    <w:uiPriority w:val="9"/>
    <w:semiHidden/>
    <w:rsid w:val="003179A0"/>
    <w:rPr>
      <w:rFonts w:ascii="Arial" w:eastAsia="Arial" w:hAnsi="Arial" w:cs="Arial"/>
      <w:b/>
      <w:bCs/>
      <w:i/>
      <w:iCs/>
      <w:lang w:val="ru-RU"/>
    </w:rPr>
  </w:style>
  <w:style w:type="character" w:customStyle="1" w:styleId="Titre8Car">
    <w:name w:val="Titre 8 Car"/>
    <w:basedOn w:val="Policepardfaut"/>
    <w:link w:val="Titre8"/>
    <w:uiPriority w:val="9"/>
    <w:semiHidden/>
    <w:rsid w:val="003179A0"/>
    <w:rPr>
      <w:rFonts w:ascii="Arial" w:eastAsia="Arial" w:hAnsi="Arial" w:cs="Arial"/>
      <w:i/>
      <w:iCs/>
      <w:lang w:val="ru-RU"/>
    </w:rPr>
  </w:style>
  <w:style w:type="character" w:customStyle="1" w:styleId="Titre9Car">
    <w:name w:val="Titre 9 Car"/>
    <w:basedOn w:val="Policepardfaut"/>
    <w:link w:val="Titre9"/>
    <w:uiPriority w:val="9"/>
    <w:semiHidden/>
    <w:rsid w:val="003179A0"/>
    <w:rPr>
      <w:rFonts w:ascii="Arial" w:eastAsia="Arial" w:hAnsi="Arial" w:cs="Arial"/>
      <w:i/>
      <w:iCs/>
      <w:sz w:val="21"/>
      <w:szCs w:val="21"/>
      <w:lang w:val="ru-RU"/>
    </w:rPr>
  </w:style>
  <w:style w:type="character" w:customStyle="1" w:styleId="NotedebasdepageCar">
    <w:name w:val="Note de bas de page Car"/>
    <w:basedOn w:val="Policepardfaut"/>
    <w:link w:val="Notedebasdepage"/>
    <w:uiPriority w:val="99"/>
    <w:semiHidden/>
    <w:rsid w:val="003179A0"/>
    <w:rPr>
      <w:rFonts w:ascii="Calibri" w:eastAsia="Calibri" w:hAnsi="Calibri" w:cs="Calibri"/>
      <w:sz w:val="20"/>
      <w:szCs w:val="20"/>
      <w:lang w:val="ru-RU"/>
    </w:rPr>
  </w:style>
  <w:style w:type="paragraph" w:styleId="Notedebasdepage">
    <w:name w:val="footnote text"/>
    <w:basedOn w:val="Normal"/>
    <w:link w:val="NotedebasdepageCar"/>
    <w:uiPriority w:val="99"/>
    <w:semiHidden/>
    <w:unhideWhenUsed/>
    <w:rsid w:val="003179A0"/>
    <w:pPr>
      <w:spacing w:after="0" w:line="240" w:lineRule="auto"/>
    </w:pPr>
    <w:rPr>
      <w:rFonts w:ascii="Calibri" w:eastAsia="Calibri" w:hAnsi="Calibri" w:cs="Calibri"/>
      <w:sz w:val="20"/>
      <w:szCs w:val="20"/>
      <w:lang w:val="ru-RU"/>
    </w:rPr>
  </w:style>
  <w:style w:type="character" w:customStyle="1" w:styleId="NotedefinCar">
    <w:name w:val="Note de fin Car"/>
    <w:basedOn w:val="Policepardfaut"/>
    <w:link w:val="Notedefin"/>
    <w:uiPriority w:val="99"/>
    <w:semiHidden/>
    <w:rsid w:val="003179A0"/>
    <w:rPr>
      <w:rFonts w:ascii="Times New Roman" w:eastAsia="Times New Roman" w:hAnsi="Times New Roman" w:cs="Times New Roman"/>
      <w:sz w:val="20"/>
      <w:szCs w:val="20"/>
      <w:lang w:val="ru-RU" w:eastAsia="ru-RU"/>
    </w:rPr>
  </w:style>
  <w:style w:type="paragraph" w:styleId="Notedefin">
    <w:name w:val="endnote text"/>
    <w:basedOn w:val="Normal"/>
    <w:link w:val="NotedefinCar"/>
    <w:uiPriority w:val="99"/>
    <w:semiHidden/>
    <w:unhideWhenUsed/>
    <w:rsid w:val="003179A0"/>
    <w:pPr>
      <w:spacing w:after="0" w:line="240" w:lineRule="auto"/>
    </w:pPr>
    <w:rPr>
      <w:rFonts w:ascii="Times New Roman" w:eastAsia="Times New Roman" w:hAnsi="Times New Roman" w:cs="Times New Roman"/>
      <w:sz w:val="20"/>
      <w:szCs w:val="20"/>
      <w:lang w:val="ru-RU" w:eastAsia="ru-RU"/>
    </w:rPr>
  </w:style>
  <w:style w:type="character" w:customStyle="1" w:styleId="TitreCar">
    <w:name w:val="Titre Car"/>
    <w:basedOn w:val="Policepardfaut"/>
    <w:link w:val="Titre"/>
    <w:uiPriority w:val="10"/>
    <w:rsid w:val="003179A0"/>
    <w:rPr>
      <w:rFonts w:ascii="Calibri" w:eastAsia="Calibri" w:hAnsi="Calibri" w:cs="Calibri"/>
      <w:sz w:val="48"/>
      <w:szCs w:val="48"/>
      <w:lang w:val="ru-RU"/>
    </w:rPr>
  </w:style>
  <w:style w:type="paragraph" w:styleId="Titre">
    <w:name w:val="Title"/>
    <w:basedOn w:val="Normal"/>
    <w:next w:val="Normal"/>
    <w:link w:val="TitreCar"/>
    <w:uiPriority w:val="10"/>
    <w:qFormat/>
    <w:rsid w:val="003179A0"/>
    <w:pPr>
      <w:spacing w:before="300" w:after="200" w:line="256" w:lineRule="auto"/>
      <w:contextualSpacing/>
    </w:pPr>
    <w:rPr>
      <w:rFonts w:ascii="Calibri" w:eastAsia="Calibri" w:hAnsi="Calibri" w:cs="Calibri"/>
      <w:sz w:val="48"/>
      <w:szCs w:val="48"/>
      <w:lang w:val="ru-RU"/>
    </w:rPr>
  </w:style>
  <w:style w:type="character" w:customStyle="1" w:styleId="Sous-titreCar">
    <w:name w:val="Sous-titre Car"/>
    <w:basedOn w:val="Policepardfaut"/>
    <w:link w:val="Sous-titre"/>
    <w:uiPriority w:val="11"/>
    <w:rsid w:val="003179A0"/>
    <w:rPr>
      <w:rFonts w:ascii="Calibri" w:eastAsia="Calibri" w:hAnsi="Calibri" w:cs="Calibri"/>
      <w:sz w:val="24"/>
      <w:szCs w:val="24"/>
      <w:lang w:val="ru-RU"/>
    </w:rPr>
  </w:style>
  <w:style w:type="paragraph" w:styleId="Sous-titre">
    <w:name w:val="Subtitle"/>
    <w:basedOn w:val="Normal"/>
    <w:next w:val="Normal"/>
    <w:link w:val="Sous-titreCar"/>
    <w:uiPriority w:val="11"/>
    <w:qFormat/>
    <w:rsid w:val="003179A0"/>
    <w:pPr>
      <w:spacing w:before="200" w:after="200" w:line="256" w:lineRule="auto"/>
    </w:pPr>
    <w:rPr>
      <w:rFonts w:ascii="Calibri" w:eastAsia="Calibri" w:hAnsi="Calibri" w:cs="Calibri"/>
      <w:sz w:val="24"/>
      <w:szCs w:val="24"/>
      <w:lang w:val="ru-RU"/>
    </w:rPr>
  </w:style>
  <w:style w:type="character" w:customStyle="1" w:styleId="CitationCar">
    <w:name w:val="Citation Car"/>
    <w:basedOn w:val="Policepardfaut"/>
    <w:link w:val="Citation"/>
    <w:uiPriority w:val="29"/>
    <w:rsid w:val="003179A0"/>
    <w:rPr>
      <w:rFonts w:ascii="Calibri" w:eastAsia="Calibri" w:hAnsi="Calibri" w:cs="Calibri"/>
      <w:i/>
      <w:lang w:val="ru-RU"/>
    </w:rPr>
  </w:style>
  <w:style w:type="paragraph" w:styleId="Citation">
    <w:name w:val="Quote"/>
    <w:basedOn w:val="Normal"/>
    <w:next w:val="Normal"/>
    <w:link w:val="CitationCar"/>
    <w:uiPriority w:val="29"/>
    <w:qFormat/>
    <w:rsid w:val="003179A0"/>
    <w:pPr>
      <w:spacing w:line="256" w:lineRule="auto"/>
      <w:ind w:left="720" w:right="720"/>
    </w:pPr>
    <w:rPr>
      <w:rFonts w:ascii="Calibri" w:eastAsia="Calibri" w:hAnsi="Calibri" w:cs="Calibri"/>
      <w:i/>
      <w:lang w:val="ru-RU"/>
    </w:rPr>
  </w:style>
  <w:style w:type="character" w:customStyle="1" w:styleId="CitationintenseCar">
    <w:name w:val="Citation intense Car"/>
    <w:basedOn w:val="Policepardfaut"/>
    <w:link w:val="Citationintense"/>
    <w:uiPriority w:val="30"/>
    <w:rsid w:val="003179A0"/>
    <w:rPr>
      <w:rFonts w:ascii="Calibri" w:eastAsia="Calibri" w:hAnsi="Calibri" w:cs="Calibri"/>
      <w:i/>
      <w:shd w:val="clear" w:color="auto" w:fill="F2F2F2"/>
      <w:lang w:val="ru-RU"/>
    </w:rPr>
  </w:style>
  <w:style w:type="paragraph" w:styleId="Citationintense">
    <w:name w:val="Intense Quote"/>
    <w:basedOn w:val="Normal"/>
    <w:next w:val="Normal"/>
    <w:link w:val="CitationintenseCar"/>
    <w:uiPriority w:val="30"/>
    <w:qFormat/>
    <w:rsid w:val="003179A0"/>
    <w:pPr>
      <w:pBdr>
        <w:top w:val="single" w:sz="4" w:space="5" w:color="FFFFFF"/>
        <w:left w:val="single" w:sz="4" w:space="10" w:color="FFFFFF"/>
        <w:bottom w:val="single" w:sz="4" w:space="5" w:color="FFFFFF"/>
        <w:right w:val="single" w:sz="4" w:space="10" w:color="FFFFFF"/>
      </w:pBdr>
      <w:shd w:val="clear" w:color="auto" w:fill="F2F2F2"/>
      <w:spacing w:line="256" w:lineRule="auto"/>
      <w:ind w:left="720" w:right="720"/>
    </w:pPr>
    <w:rPr>
      <w:rFonts w:ascii="Calibri" w:eastAsia="Calibri" w:hAnsi="Calibri" w:cs="Calibri"/>
      <w:i/>
      <w:lang w:val="ru-RU"/>
    </w:rPr>
  </w:style>
  <w:style w:type="character" w:styleId="Textedelespacerserv">
    <w:name w:val="Placeholder Text"/>
    <w:basedOn w:val="Policepardfaut"/>
    <w:uiPriority w:val="99"/>
    <w:semiHidden/>
    <w:rsid w:val="00F55590"/>
    <w:rPr>
      <w:color w:val="808080"/>
    </w:rPr>
  </w:style>
  <w:style w:type="paragraph" w:customStyle="1" w:styleId="TitreArticle">
    <w:name w:val="TitreArticle"/>
    <w:basedOn w:val="Normal"/>
    <w:link w:val="TitreArticleCar"/>
    <w:qFormat/>
    <w:rsid w:val="00F55590"/>
    <w:pPr>
      <w:spacing w:after="200" w:line="240" w:lineRule="auto"/>
      <w:jc w:val="center"/>
    </w:pPr>
    <w:rPr>
      <w:rFonts w:ascii="Arial" w:eastAsia="Times New Roman" w:hAnsi="Arial" w:cs="Arial"/>
      <w:b/>
      <w:iCs/>
      <w:color w:val="000000"/>
      <w:sz w:val="28"/>
      <w:szCs w:val="28"/>
      <w:lang w:eastAsia="fr-FR"/>
    </w:rPr>
  </w:style>
  <w:style w:type="paragraph" w:customStyle="1" w:styleId="Introduction">
    <w:name w:val="Introduction"/>
    <w:basedOn w:val="NormalWeb"/>
    <w:link w:val="IntroductionCar"/>
    <w:qFormat/>
    <w:rsid w:val="00E019D9"/>
    <w:pPr>
      <w:shd w:val="clear" w:color="auto" w:fill="FFFFFF"/>
      <w:spacing w:before="0" w:beforeAutospacing="0" w:after="225" w:afterAutospacing="0"/>
      <w:ind w:firstLine="142"/>
      <w:jc w:val="both"/>
    </w:pPr>
    <w:rPr>
      <w:rFonts w:ascii="Arial" w:hAnsi="Arial" w:cs="Arial"/>
      <w:color w:val="000000"/>
      <w:sz w:val="20"/>
      <w:szCs w:val="20"/>
    </w:rPr>
  </w:style>
  <w:style w:type="character" w:customStyle="1" w:styleId="TitreArticleCar">
    <w:name w:val="TitreArticle Car"/>
    <w:basedOn w:val="Policepardfaut"/>
    <w:link w:val="TitreArticle"/>
    <w:rsid w:val="00F55590"/>
    <w:rPr>
      <w:rFonts w:ascii="Arial" w:eastAsia="Times New Roman" w:hAnsi="Arial" w:cs="Arial"/>
      <w:b/>
      <w:iCs/>
      <w:color w:val="000000"/>
      <w:sz w:val="28"/>
      <w:szCs w:val="28"/>
      <w:lang w:eastAsia="fr-FR"/>
    </w:rPr>
  </w:style>
  <w:style w:type="paragraph" w:customStyle="1" w:styleId="SousPartie">
    <w:name w:val="SousPartie"/>
    <w:basedOn w:val="Paragraphedeliste"/>
    <w:next w:val="Partie"/>
    <w:link w:val="SousPartieCar"/>
    <w:qFormat/>
    <w:rsid w:val="0029248B"/>
    <w:pPr>
      <w:numPr>
        <w:numId w:val="15"/>
      </w:numPr>
      <w:spacing w:after="200" w:line="240" w:lineRule="auto"/>
      <w:ind w:left="499" w:hanging="357"/>
      <w:jc w:val="both"/>
    </w:pPr>
    <w:rPr>
      <w:rFonts w:ascii="Arial" w:eastAsia="Times New Roman" w:hAnsi="Arial" w:cs="Arial"/>
      <w:b/>
      <w:bCs/>
      <w:color w:val="000000"/>
      <w:sz w:val="24"/>
      <w:szCs w:val="24"/>
      <w:lang w:val="en-US" w:eastAsia="fr-FR"/>
    </w:rPr>
  </w:style>
  <w:style w:type="character" w:customStyle="1" w:styleId="IntroductionCar">
    <w:name w:val="Introduction Car"/>
    <w:basedOn w:val="Policepardfaut"/>
    <w:link w:val="Introduction"/>
    <w:rsid w:val="00E019D9"/>
    <w:rPr>
      <w:rFonts w:ascii="Arial" w:eastAsia="Times New Roman" w:hAnsi="Arial" w:cs="Arial"/>
      <w:color w:val="000000"/>
      <w:sz w:val="20"/>
      <w:szCs w:val="20"/>
      <w:shd w:val="clear" w:color="auto" w:fill="FFFFFF"/>
      <w:lang w:eastAsia="fr-FR"/>
    </w:rPr>
  </w:style>
  <w:style w:type="paragraph" w:customStyle="1" w:styleId="Legend">
    <w:name w:val="Legend"/>
    <w:basedOn w:val="Normal"/>
    <w:qFormat/>
    <w:rsid w:val="00452BB7"/>
    <w:pPr>
      <w:spacing w:after="0" w:line="240" w:lineRule="auto"/>
    </w:pPr>
    <w:rPr>
      <w:rFonts w:ascii="Arial" w:hAnsi="Arial" w:cs="Arial"/>
      <w:sz w:val="14"/>
      <w:szCs w:val="20"/>
      <w:shd w:val="clear" w:color="auto" w:fill="FFFFFF"/>
      <w:lang w:val="en-US"/>
    </w:rPr>
  </w:style>
  <w:style w:type="paragraph" w:customStyle="1" w:styleId="Partie">
    <w:name w:val="Partie"/>
    <w:basedOn w:val="NormalWeb"/>
    <w:link w:val="PartieCar"/>
    <w:qFormat/>
    <w:rsid w:val="00191327"/>
    <w:pPr>
      <w:jc w:val="both"/>
    </w:pPr>
    <w:rPr>
      <w:rFonts w:ascii="Arial" w:hAnsi="Arial" w:cs="Arial"/>
      <w:sz w:val="20"/>
      <w:szCs w:val="20"/>
    </w:rPr>
  </w:style>
  <w:style w:type="paragraph" w:customStyle="1" w:styleId="SousTitrePartieArticle">
    <w:name w:val="SousTitrePartieArticle"/>
    <w:basedOn w:val="SousPartie"/>
    <w:qFormat/>
    <w:rsid w:val="005C60EF"/>
    <w:pPr>
      <w:numPr>
        <w:ilvl w:val="1"/>
      </w:numPr>
    </w:pPr>
    <w:rPr>
      <w:color w:val="auto"/>
      <w:lang w:val="fr-FR"/>
    </w:rPr>
  </w:style>
  <w:style w:type="character" w:customStyle="1" w:styleId="PartieCar">
    <w:name w:val="Partie Car"/>
    <w:basedOn w:val="IntroductionCar"/>
    <w:link w:val="Partie"/>
    <w:rsid w:val="00191327"/>
    <w:rPr>
      <w:rFonts w:ascii="Arial" w:eastAsia="Times New Roman" w:hAnsi="Arial" w:cs="Arial"/>
      <w:color w:val="000000"/>
      <w:sz w:val="20"/>
      <w:szCs w:val="20"/>
      <w:shd w:val="clear" w:color="auto" w:fill="FFFFFF"/>
      <w:lang w:eastAsia="fr-FR"/>
    </w:rPr>
  </w:style>
  <w:style w:type="paragraph" w:customStyle="1" w:styleId="Noms">
    <w:name w:val="Noms"/>
    <w:basedOn w:val="Normal"/>
    <w:qFormat/>
    <w:rsid w:val="005C60EF"/>
    <w:pPr>
      <w:spacing w:after="200" w:line="240" w:lineRule="auto"/>
      <w:jc w:val="center"/>
    </w:pPr>
    <w:rPr>
      <w:rFonts w:ascii="Arial" w:eastAsia="Times New Roman" w:hAnsi="Arial" w:cs="Arial"/>
      <w:color w:val="000000"/>
      <w:sz w:val="24"/>
      <w:szCs w:val="24"/>
      <w:lang w:eastAsia="fr-FR"/>
    </w:rPr>
  </w:style>
  <w:style w:type="paragraph" w:customStyle="1" w:styleId="AbstractTitre">
    <w:name w:val="AbstractTitre"/>
    <w:basedOn w:val="Normal"/>
    <w:qFormat/>
    <w:rsid w:val="00D30BBA"/>
    <w:pPr>
      <w:spacing w:before="240" w:after="200" w:line="240" w:lineRule="auto"/>
      <w:jc w:val="both"/>
    </w:pPr>
    <w:rPr>
      <w:rFonts w:ascii="Arial" w:eastAsia="Times New Roman" w:hAnsi="Arial" w:cs="Arial"/>
      <w:b/>
      <w:bCs/>
      <w:color w:val="000000"/>
      <w:sz w:val="21"/>
      <w:szCs w:val="24"/>
      <w:lang w:eastAsia="fr-FR"/>
    </w:rPr>
  </w:style>
  <w:style w:type="character" w:customStyle="1" w:styleId="Exposant">
    <w:name w:val="Exposant"/>
    <w:basedOn w:val="Policepardfaut"/>
    <w:uiPriority w:val="1"/>
    <w:qFormat/>
    <w:rsid w:val="002938A8"/>
    <w:rPr>
      <w:rFonts w:ascii="Arial" w:hAnsi="Arial"/>
      <w:sz w:val="24"/>
      <w:vertAlign w:val="superscript"/>
    </w:rPr>
  </w:style>
  <w:style w:type="paragraph" w:customStyle="1" w:styleId="Affiliation">
    <w:name w:val="Affiliation"/>
    <w:basedOn w:val="Paragraphedeliste"/>
    <w:qFormat/>
    <w:rsid w:val="002938A8"/>
    <w:pPr>
      <w:numPr>
        <w:numId w:val="12"/>
      </w:numPr>
      <w:spacing w:after="200" w:line="240" w:lineRule="auto"/>
      <w:ind w:left="284" w:hanging="284"/>
      <w:jc w:val="both"/>
    </w:pPr>
    <w:rPr>
      <w:rFonts w:ascii="Arial" w:eastAsia="Times New Roman" w:hAnsi="Arial" w:cs="Arial"/>
      <w:b/>
      <w:bCs/>
      <w:color w:val="000000"/>
      <w:sz w:val="24"/>
      <w:szCs w:val="24"/>
      <w:lang w:val="en-US" w:eastAsia="fr-FR"/>
    </w:rPr>
  </w:style>
  <w:style w:type="paragraph" w:customStyle="1" w:styleId="NomJournal">
    <w:name w:val="NomJournal"/>
    <w:basedOn w:val="Normal"/>
    <w:qFormat/>
    <w:rsid w:val="002938A8"/>
    <w:pPr>
      <w:spacing w:after="200" w:line="240" w:lineRule="auto"/>
      <w:jc w:val="both"/>
    </w:pPr>
    <w:rPr>
      <w:rFonts w:ascii="Arial" w:eastAsia="Times New Roman" w:hAnsi="Arial" w:cs="Arial"/>
      <w:i/>
      <w:iCs/>
      <w:color w:val="000000"/>
      <w:sz w:val="24"/>
      <w:szCs w:val="24"/>
      <w:lang w:eastAsia="fr-FR"/>
    </w:rPr>
  </w:style>
  <w:style w:type="paragraph" w:customStyle="1" w:styleId="KeywordsHighlightsList">
    <w:name w:val="KeywordsHighlightsList"/>
    <w:basedOn w:val="Paragraphedeliste"/>
    <w:link w:val="KeywordsHighlightsListCar"/>
    <w:qFormat/>
    <w:rsid w:val="002938A8"/>
    <w:pPr>
      <w:numPr>
        <w:numId w:val="13"/>
      </w:numPr>
      <w:tabs>
        <w:tab w:val="left" w:pos="284"/>
      </w:tabs>
      <w:spacing w:after="240" w:line="240" w:lineRule="auto"/>
      <w:jc w:val="both"/>
    </w:pPr>
    <w:rPr>
      <w:rFonts w:ascii="Arial" w:eastAsia="Times New Roman" w:hAnsi="Arial" w:cs="Arial"/>
      <w:bCs/>
      <w:color w:val="000000"/>
      <w:sz w:val="20"/>
      <w:szCs w:val="24"/>
      <w:lang w:val="en-GB" w:eastAsia="fr-FR"/>
    </w:rPr>
  </w:style>
  <w:style w:type="paragraph" w:customStyle="1" w:styleId="TitrePartieArticle">
    <w:name w:val="TitrePartieArticle"/>
    <w:basedOn w:val="SousPartie"/>
    <w:link w:val="TitrePartieArticleCar"/>
    <w:qFormat/>
    <w:rsid w:val="001D1B80"/>
    <w:pPr>
      <w:tabs>
        <w:tab w:val="right" w:leader="underscore" w:pos="10915"/>
      </w:tabs>
      <w:spacing w:before="200"/>
      <w:ind w:left="502" w:hanging="360"/>
      <w:contextualSpacing w:val="0"/>
    </w:pPr>
  </w:style>
  <w:style w:type="character" w:customStyle="1" w:styleId="ParagraphedelisteCar">
    <w:name w:val="Paragraphe de liste Car"/>
    <w:basedOn w:val="Policepardfaut"/>
    <w:link w:val="Paragraphedeliste"/>
    <w:uiPriority w:val="34"/>
    <w:rsid w:val="002938A8"/>
  </w:style>
  <w:style w:type="character" w:customStyle="1" w:styleId="KeywordsHighlightsListCar">
    <w:name w:val="KeywordsHighlightsList Car"/>
    <w:basedOn w:val="ParagraphedelisteCar"/>
    <w:link w:val="KeywordsHighlightsList"/>
    <w:rsid w:val="002938A8"/>
    <w:rPr>
      <w:rFonts w:ascii="Arial" w:eastAsia="Times New Roman" w:hAnsi="Arial" w:cs="Arial"/>
      <w:bCs/>
      <w:color w:val="000000"/>
      <w:sz w:val="20"/>
      <w:szCs w:val="24"/>
      <w:lang w:val="en-GB" w:eastAsia="fr-FR"/>
    </w:rPr>
  </w:style>
  <w:style w:type="paragraph" w:customStyle="1" w:styleId="SousSousTitrePartieArticle">
    <w:name w:val="SousSousTitrePartieArticle"/>
    <w:basedOn w:val="SousTitrePartieArticle"/>
    <w:next w:val="Partie"/>
    <w:qFormat/>
    <w:rsid w:val="00E741C0"/>
    <w:pPr>
      <w:numPr>
        <w:ilvl w:val="2"/>
      </w:numPr>
    </w:pPr>
  </w:style>
  <w:style w:type="character" w:customStyle="1" w:styleId="SousPartieCar">
    <w:name w:val="SousPartie Car"/>
    <w:basedOn w:val="ParagraphedelisteCar"/>
    <w:link w:val="SousPartie"/>
    <w:rsid w:val="0029248B"/>
    <w:rPr>
      <w:rFonts w:ascii="Arial" w:eastAsia="Times New Roman" w:hAnsi="Arial" w:cs="Arial"/>
      <w:b/>
      <w:bCs/>
      <w:color w:val="000000"/>
      <w:sz w:val="24"/>
      <w:szCs w:val="24"/>
      <w:lang w:val="en-US" w:eastAsia="fr-FR"/>
    </w:rPr>
  </w:style>
  <w:style w:type="character" w:customStyle="1" w:styleId="TitrePartieArticleCar">
    <w:name w:val="TitrePartieArticle Car"/>
    <w:basedOn w:val="SousPartieCar"/>
    <w:link w:val="TitrePartieArticle"/>
    <w:rsid w:val="001D1B80"/>
    <w:rPr>
      <w:rFonts w:ascii="Arial" w:eastAsia="Times New Roman" w:hAnsi="Arial" w:cs="Arial"/>
      <w:b/>
      <w:bCs/>
      <w:color w:val="000000"/>
      <w:sz w:val="24"/>
      <w:szCs w:val="24"/>
      <w:lang w:val="en-US" w:eastAsia="fr-FR"/>
    </w:rPr>
  </w:style>
  <w:style w:type="paragraph" w:customStyle="1" w:styleId="SousSousSousTitrePartieArticle">
    <w:name w:val="SousSousSousTitrePartieArticle"/>
    <w:basedOn w:val="SousSousTitrePartieArticle"/>
    <w:next w:val="Partie"/>
    <w:qFormat/>
    <w:rsid w:val="00E741C0"/>
    <w:pPr>
      <w:numPr>
        <w:ilvl w:val="3"/>
      </w:numPr>
    </w:pPr>
    <w:rPr>
      <w:sz w:val="21"/>
      <w:szCs w:val="21"/>
      <w:shd w:val="clear" w:color="auto" w:fill="FFFFFF"/>
    </w:rPr>
  </w:style>
  <w:style w:type="paragraph" w:customStyle="1" w:styleId="RfrencesAcknoledgment">
    <w:name w:val="RéférencesAcknoledgment"/>
    <w:basedOn w:val="Partie"/>
    <w:qFormat/>
    <w:rsid w:val="0042717A"/>
    <w:pPr>
      <w:spacing w:before="0" w:beforeAutospacing="0" w:after="0" w:afterAutospacing="0"/>
      <w:ind w:firstLine="170"/>
    </w:pPr>
    <w:rPr>
      <w:sz w:val="14"/>
      <w:szCs w:val="14"/>
      <w:lang w:val="en-US"/>
    </w:rPr>
  </w:style>
  <w:style w:type="paragraph" w:customStyle="1" w:styleId="Invisible">
    <w:name w:val="Invisible"/>
    <w:basedOn w:val="Normal"/>
    <w:qFormat/>
    <w:rsid w:val="000516BE"/>
    <w:pPr>
      <w:spacing w:after="0" w:line="240" w:lineRule="auto"/>
      <w:jc w:val="both"/>
    </w:pPr>
    <w:rPr>
      <w:rFonts w:ascii="Arial" w:eastAsia="Times New Roman" w:hAnsi="Arial" w:cs="Arial"/>
      <w:color w:val="000000" w:themeColor="text1"/>
      <w:sz w:val="2"/>
      <w:szCs w:val="2"/>
      <w:lang w:val="en-US" w:eastAsia="fr-FR"/>
    </w:rPr>
  </w:style>
  <w:style w:type="paragraph" w:customStyle="1" w:styleId="Tableau">
    <w:name w:val="Tableau"/>
    <w:basedOn w:val="Normal"/>
    <w:qFormat/>
    <w:rsid w:val="0042717A"/>
    <w:pPr>
      <w:spacing w:after="0"/>
    </w:pPr>
    <w:rPr>
      <w:rFonts w:ascii="Arial" w:hAnsi="Arial" w:cs="Arial"/>
      <w:sz w:val="16"/>
      <w:szCs w:val="16"/>
    </w:rPr>
  </w:style>
  <w:style w:type="paragraph" w:customStyle="1" w:styleId="Legende">
    <w:name w:val="Legende"/>
    <w:basedOn w:val="Normal"/>
    <w:qFormat/>
    <w:rsid w:val="0042717A"/>
    <w:pPr>
      <w:spacing w:after="0"/>
    </w:pPr>
    <w:rPr>
      <w:rFonts w:ascii="Arial" w:hAnsi="Arial" w:cs="Arial"/>
      <w:b/>
      <w:sz w:val="20"/>
      <w:szCs w:val="20"/>
    </w:rPr>
  </w:style>
  <w:style w:type="paragraph" w:customStyle="1" w:styleId="SousLegende">
    <w:name w:val="SousLegende"/>
    <w:basedOn w:val="Normal"/>
    <w:qFormat/>
    <w:rsid w:val="0042717A"/>
    <w:rPr>
      <w:rFonts w:ascii="Arial" w:hAnsi="Arial" w:cs="Arial"/>
      <w:sz w:val="16"/>
      <w:szCs w:val="16"/>
    </w:rPr>
  </w:style>
  <w:style w:type="character" w:styleId="Mentionnonrsolue">
    <w:name w:val="Unresolved Mention"/>
    <w:basedOn w:val="Policepardfaut"/>
    <w:uiPriority w:val="99"/>
    <w:semiHidden/>
    <w:unhideWhenUsed/>
    <w:rsid w:val="0052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875">
      <w:bodyDiv w:val="1"/>
      <w:marLeft w:val="0"/>
      <w:marRight w:val="0"/>
      <w:marTop w:val="0"/>
      <w:marBottom w:val="0"/>
      <w:divBdr>
        <w:top w:val="none" w:sz="0" w:space="0" w:color="auto"/>
        <w:left w:val="none" w:sz="0" w:space="0" w:color="auto"/>
        <w:bottom w:val="none" w:sz="0" w:space="0" w:color="auto"/>
        <w:right w:val="none" w:sz="0" w:space="0" w:color="auto"/>
      </w:divBdr>
      <w:divsChild>
        <w:div w:id="1124229597">
          <w:marLeft w:val="0"/>
          <w:marRight w:val="0"/>
          <w:marTop w:val="0"/>
          <w:marBottom w:val="0"/>
          <w:divBdr>
            <w:top w:val="none" w:sz="0" w:space="0" w:color="auto"/>
            <w:left w:val="none" w:sz="0" w:space="0" w:color="auto"/>
            <w:bottom w:val="none" w:sz="0" w:space="0" w:color="auto"/>
            <w:right w:val="none" w:sz="0" w:space="0" w:color="auto"/>
          </w:divBdr>
        </w:div>
      </w:divsChild>
    </w:div>
    <w:div w:id="158204457">
      <w:bodyDiv w:val="1"/>
      <w:marLeft w:val="0"/>
      <w:marRight w:val="0"/>
      <w:marTop w:val="0"/>
      <w:marBottom w:val="0"/>
      <w:divBdr>
        <w:top w:val="none" w:sz="0" w:space="0" w:color="auto"/>
        <w:left w:val="none" w:sz="0" w:space="0" w:color="auto"/>
        <w:bottom w:val="none" w:sz="0" w:space="0" w:color="auto"/>
        <w:right w:val="none" w:sz="0" w:space="0" w:color="auto"/>
      </w:divBdr>
    </w:div>
    <w:div w:id="263654533">
      <w:bodyDiv w:val="1"/>
      <w:marLeft w:val="0"/>
      <w:marRight w:val="0"/>
      <w:marTop w:val="0"/>
      <w:marBottom w:val="0"/>
      <w:divBdr>
        <w:top w:val="none" w:sz="0" w:space="0" w:color="auto"/>
        <w:left w:val="none" w:sz="0" w:space="0" w:color="auto"/>
        <w:bottom w:val="none" w:sz="0" w:space="0" w:color="auto"/>
        <w:right w:val="none" w:sz="0" w:space="0" w:color="auto"/>
      </w:divBdr>
    </w:div>
    <w:div w:id="348416384">
      <w:bodyDiv w:val="1"/>
      <w:marLeft w:val="0"/>
      <w:marRight w:val="0"/>
      <w:marTop w:val="0"/>
      <w:marBottom w:val="0"/>
      <w:divBdr>
        <w:top w:val="none" w:sz="0" w:space="0" w:color="auto"/>
        <w:left w:val="none" w:sz="0" w:space="0" w:color="auto"/>
        <w:bottom w:val="none" w:sz="0" w:space="0" w:color="auto"/>
        <w:right w:val="none" w:sz="0" w:space="0" w:color="auto"/>
      </w:divBdr>
    </w:div>
    <w:div w:id="397286107">
      <w:bodyDiv w:val="1"/>
      <w:marLeft w:val="0"/>
      <w:marRight w:val="0"/>
      <w:marTop w:val="0"/>
      <w:marBottom w:val="0"/>
      <w:divBdr>
        <w:top w:val="none" w:sz="0" w:space="0" w:color="auto"/>
        <w:left w:val="none" w:sz="0" w:space="0" w:color="auto"/>
        <w:bottom w:val="none" w:sz="0" w:space="0" w:color="auto"/>
        <w:right w:val="none" w:sz="0" w:space="0" w:color="auto"/>
      </w:divBdr>
    </w:div>
    <w:div w:id="399598976">
      <w:bodyDiv w:val="1"/>
      <w:marLeft w:val="0"/>
      <w:marRight w:val="0"/>
      <w:marTop w:val="0"/>
      <w:marBottom w:val="0"/>
      <w:divBdr>
        <w:top w:val="none" w:sz="0" w:space="0" w:color="auto"/>
        <w:left w:val="none" w:sz="0" w:space="0" w:color="auto"/>
        <w:bottom w:val="none" w:sz="0" w:space="0" w:color="auto"/>
        <w:right w:val="none" w:sz="0" w:space="0" w:color="auto"/>
      </w:divBdr>
    </w:div>
    <w:div w:id="421142418">
      <w:bodyDiv w:val="1"/>
      <w:marLeft w:val="0"/>
      <w:marRight w:val="0"/>
      <w:marTop w:val="0"/>
      <w:marBottom w:val="0"/>
      <w:divBdr>
        <w:top w:val="none" w:sz="0" w:space="0" w:color="auto"/>
        <w:left w:val="none" w:sz="0" w:space="0" w:color="auto"/>
        <w:bottom w:val="none" w:sz="0" w:space="0" w:color="auto"/>
        <w:right w:val="none" w:sz="0" w:space="0" w:color="auto"/>
      </w:divBdr>
    </w:div>
    <w:div w:id="426772406">
      <w:bodyDiv w:val="1"/>
      <w:marLeft w:val="0"/>
      <w:marRight w:val="0"/>
      <w:marTop w:val="0"/>
      <w:marBottom w:val="0"/>
      <w:divBdr>
        <w:top w:val="none" w:sz="0" w:space="0" w:color="auto"/>
        <w:left w:val="none" w:sz="0" w:space="0" w:color="auto"/>
        <w:bottom w:val="none" w:sz="0" w:space="0" w:color="auto"/>
        <w:right w:val="none" w:sz="0" w:space="0" w:color="auto"/>
      </w:divBdr>
      <w:divsChild>
        <w:div w:id="693073428">
          <w:marLeft w:val="0"/>
          <w:marRight w:val="0"/>
          <w:marTop w:val="0"/>
          <w:marBottom w:val="0"/>
          <w:divBdr>
            <w:top w:val="none" w:sz="0" w:space="0" w:color="auto"/>
            <w:left w:val="none" w:sz="0" w:space="0" w:color="auto"/>
            <w:bottom w:val="none" w:sz="0" w:space="0" w:color="auto"/>
            <w:right w:val="none" w:sz="0" w:space="0" w:color="auto"/>
          </w:divBdr>
        </w:div>
      </w:divsChild>
    </w:div>
    <w:div w:id="555044102">
      <w:bodyDiv w:val="1"/>
      <w:marLeft w:val="0"/>
      <w:marRight w:val="0"/>
      <w:marTop w:val="0"/>
      <w:marBottom w:val="0"/>
      <w:divBdr>
        <w:top w:val="none" w:sz="0" w:space="0" w:color="auto"/>
        <w:left w:val="none" w:sz="0" w:space="0" w:color="auto"/>
        <w:bottom w:val="none" w:sz="0" w:space="0" w:color="auto"/>
        <w:right w:val="none" w:sz="0" w:space="0" w:color="auto"/>
      </w:divBdr>
    </w:div>
    <w:div w:id="584456828">
      <w:bodyDiv w:val="1"/>
      <w:marLeft w:val="0"/>
      <w:marRight w:val="0"/>
      <w:marTop w:val="0"/>
      <w:marBottom w:val="0"/>
      <w:divBdr>
        <w:top w:val="none" w:sz="0" w:space="0" w:color="auto"/>
        <w:left w:val="none" w:sz="0" w:space="0" w:color="auto"/>
        <w:bottom w:val="none" w:sz="0" w:space="0" w:color="auto"/>
        <w:right w:val="none" w:sz="0" w:space="0" w:color="auto"/>
      </w:divBdr>
    </w:div>
    <w:div w:id="625887498">
      <w:bodyDiv w:val="1"/>
      <w:marLeft w:val="0"/>
      <w:marRight w:val="0"/>
      <w:marTop w:val="0"/>
      <w:marBottom w:val="0"/>
      <w:divBdr>
        <w:top w:val="none" w:sz="0" w:space="0" w:color="auto"/>
        <w:left w:val="none" w:sz="0" w:space="0" w:color="auto"/>
        <w:bottom w:val="none" w:sz="0" w:space="0" w:color="auto"/>
        <w:right w:val="none" w:sz="0" w:space="0" w:color="auto"/>
      </w:divBdr>
    </w:div>
    <w:div w:id="680665746">
      <w:bodyDiv w:val="1"/>
      <w:marLeft w:val="0"/>
      <w:marRight w:val="0"/>
      <w:marTop w:val="0"/>
      <w:marBottom w:val="0"/>
      <w:divBdr>
        <w:top w:val="none" w:sz="0" w:space="0" w:color="auto"/>
        <w:left w:val="none" w:sz="0" w:space="0" w:color="auto"/>
        <w:bottom w:val="none" w:sz="0" w:space="0" w:color="auto"/>
        <w:right w:val="none" w:sz="0" w:space="0" w:color="auto"/>
      </w:divBdr>
    </w:div>
    <w:div w:id="694187079">
      <w:bodyDiv w:val="1"/>
      <w:marLeft w:val="0"/>
      <w:marRight w:val="0"/>
      <w:marTop w:val="0"/>
      <w:marBottom w:val="0"/>
      <w:divBdr>
        <w:top w:val="none" w:sz="0" w:space="0" w:color="auto"/>
        <w:left w:val="none" w:sz="0" w:space="0" w:color="auto"/>
        <w:bottom w:val="none" w:sz="0" w:space="0" w:color="auto"/>
        <w:right w:val="none" w:sz="0" w:space="0" w:color="auto"/>
      </w:divBdr>
      <w:divsChild>
        <w:div w:id="1935554291">
          <w:marLeft w:val="0"/>
          <w:marRight w:val="0"/>
          <w:marTop w:val="0"/>
          <w:marBottom w:val="0"/>
          <w:divBdr>
            <w:top w:val="none" w:sz="0" w:space="0" w:color="auto"/>
            <w:left w:val="none" w:sz="0" w:space="0" w:color="auto"/>
            <w:bottom w:val="none" w:sz="0" w:space="0" w:color="auto"/>
            <w:right w:val="none" w:sz="0" w:space="0" w:color="auto"/>
          </w:divBdr>
        </w:div>
      </w:divsChild>
    </w:div>
    <w:div w:id="803305951">
      <w:bodyDiv w:val="1"/>
      <w:marLeft w:val="0"/>
      <w:marRight w:val="0"/>
      <w:marTop w:val="0"/>
      <w:marBottom w:val="0"/>
      <w:divBdr>
        <w:top w:val="none" w:sz="0" w:space="0" w:color="auto"/>
        <w:left w:val="none" w:sz="0" w:space="0" w:color="auto"/>
        <w:bottom w:val="none" w:sz="0" w:space="0" w:color="auto"/>
        <w:right w:val="none" w:sz="0" w:space="0" w:color="auto"/>
      </w:divBdr>
    </w:div>
    <w:div w:id="930897741">
      <w:bodyDiv w:val="1"/>
      <w:marLeft w:val="0"/>
      <w:marRight w:val="0"/>
      <w:marTop w:val="0"/>
      <w:marBottom w:val="0"/>
      <w:divBdr>
        <w:top w:val="none" w:sz="0" w:space="0" w:color="auto"/>
        <w:left w:val="none" w:sz="0" w:space="0" w:color="auto"/>
        <w:bottom w:val="none" w:sz="0" w:space="0" w:color="auto"/>
        <w:right w:val="none" w:sz="0" w:space="0" w:color="auto"/>
      </w:divBdr>
    </w:div>
    <w:div w:id="982082549">
      <w:bodyDiv w:val="1"/>
      <w:marLeft w:val="0"/>
      <w:marRight w:val="0"/>
      <w:marTop w:val="0"/>
      <w:marBottom w:val="0"/>
      <w:divBdr>
        <w:top w:val="none" w:sz="0" w:space="0" w:color="auto"/>
        <w:left w:val="none" w:sz="0" w:space="0" w:color="auto"/>
        <w:bottom w:val="none" w:sz="0" w:space="0" w:color="auto"/>
        <w:right w:val="none" w:sz="0" w:space="0" w:color="auto"/>
      </w:divBdr>
    </w:div>
    <w:div w:id="1395009250">
      <w:bodyDiv w:val="1"/>
      <w:marLeft w:val="0"/>
      <w:marRight w:val="0"/>
      <w:marTop w:val="0"/>
      <w:marBottom w:val="0"/>
      <w:divBdr>
        <w:top w:val="none" w:sz="0" w:space="0" w:color="auto"/>
        <w:left w:val="none" w:sz="0" w:space="0" w:color="auto"/>
        <w:bottom w:val="none" w:sz="0" w:space="0" w:color="auto"/>
        <w:right w:val="none" w:sz="0" w:space="0" w:color="auto"/>
      </w:divBdr>
    </w:div>
    <w:div w:id="1416977529">
      <w:bodyDiv w:val="1"/>
      <w:marLeft w:val="0"/>
      <w:marRight w:val="0"/>
      <w:marTop w:val="0"/>
      <w:marBottom w:val="0"/>
      <w:divBdr>
        <w:top w:val="none" w:sz="0" w:space="0" w:color="auto"/>
        <w:left w:val="none" w:sz="0" w:space="0" w:color="auto"/>
        <w:bottom w:val="none" w:sz="0" w:space="0" w:color="auto"/>
        <w:right w:val="none" w:sz="0" w:space="0" w:color="auto"/>
      </w:divBdr>
    </w:div>
    <w:div w:id="1455752432">
      <w:bodyDiv w:val="1"/>
      <w:marLeft w:val="0"/>
      <w:marRight w:val="0"/>
      <w:marTop w:val="0"/>
      <w:marBottom w:val="0"/>
      <w:divBdr>
        <w:top w:val="none" w:sz="0" w:space="0" w:color="auto"/>
        <w:left w:val="none" w:sz="0" w:space="0" w:color="auto"/>
        <w:bottom w:val="none" w:sz="0" w:space="0" w:color="auto"/>
        <w:right w:val="none" w:sz="0" w:space="0" w:color="auto"/>
      </w:divBdr>
    </w:div>
    <w:div w:id="1472551001">
      <w:bodyDiv w:val="1"/>
      <w:marLeft w:val="0"/>
      <w:marRight w:val="0"/>
      <w:marTop w:val="0"/>
      <w:marBottom w:val="0"/>
      <w:divBdr>
        <w:top w:val="none" w:sz="0" w:space="0" w:color="auto"/>
        <w:left w:val="none" w:sz="0" w:space="0" w:color="auto"/>
        <w:bottom w:val="none" w:sz="0" w:space="0" w:color="auto"/>
        <w:right w:val="none" w:sz="0" w:space="0" w:color="auto"/>
      </w:divBdr>
    </w:div>
    <w:div w:id="1524636451">
      <w:bodyDiv w:val="1"/>
      <w:marLeft w:val="0"/>
      <w:marRight w:val="0"/>
      <w:marTop w:val="0"/>
      <w:marBottom w:val="0"/>
      <w:divBdr>
        <w:top w:val="none" w:sz="0" w:space="0" w:color="auto"/>
        <w:left w:val="none" w:sz="0" w:space="0" w:color="auto"/>
        <w:bottom w:val="none" w:sz="0" w:space="0" w:color="auto"/>
        <w:right w:val="none" w:sz="0" w:space="0" w:color="auto"/>
      </w:divBdr>
    </w:div>
    <w:div w:id="1655259436">
      <w:bodyDiv w:val="1"/>
      <w:marLeft w:val="0"/>
      <w:marRight w:val="0"/>
      <w:marTop w:val="0"/>
      <w:marBottom w:val="0"/>
      <w:divBdr>
        <w:top w:val="none" w:sz="0" w:space="0" w:color="auto"/>
        <w:left w:val="none" w:sz="0" w:space="0" w:color="auto"/>
        <w:bottom w:val="none" w:sz="0" w:space="0" w:color="auto"/>
        <w:right w:val="none" w:sz="0" w:space="0" w:color="auto"/>
      </w:divBdr>
    </w:div>
    <w:div w:id="1703045909">
      <w:bodyDiv w:val="1"/>
      <w:marLeft w:val="0"/>
      <w:marRight w:val="0"/>
      <w:marTop w:val="0"/>
      <w:marBottom w:val="0"/>
      <w:divBdr>
        <w:top w:val="none" w:sz="0" w:space="0" w:color="auto"/>
        <w:left w:val="none" w:sz="0" w:space="0" w:color="auto"/>
        <w:bottom w:val="none" w:sz="0" w:space="0" w:color="auto"/>
        <w:right w:val="none" w:sz="0" w:space="0" w:color="auto"/>
      </w:divBdr>
    </w:div>
    <w:div w:id="1728408371">
      <w:bodyDiv w:val="1"/>
      <w:marLeft w:val="0"/>
      <w:marRight w:val="0"/>
      <w:marTop w:val="0"/>
      <w:marBottom w:val="0"/>
      <w:divBdr>
        <w:top w:val="none" w:sz="0" w:space="0" w:color="auto"/>
        <w:left w:val="none" w:sz="0" w:space="0" w:color="auto"/>
        <w:bottom w:val="none" w:sz="0" w:space="0" w:color="auto"/>
        <w:right w:val="none" w:sz="0" w:space="0" w:color="auto"/>
      </w:divBdr>
    </w:div>
    <w:div w:id="1876888760">
      <w:bodyDiv w:val="1"/>
      <w:marLeft w:val="0"/>
      <w:marRight w:val="0"/>
      <w:marTop w:val="0"/>
      <w:marBottom w:val="0"/>
      <w:divBdr>
        <w:top w:val="none" w:sz="0" w:space="0" w:color="auto"/>
        <w:left w:val="none" w:sz="0" w:space="0" w:color="auto"/>
        <w:bottom w:val="none" w:sz="0" w:space="0" w:color="auto"/>
        <w:right w:val="none" w:sz="0" w:space="0" w:color="auto"/>
      </w:divBdr>
    </w:div>
    <w:div w:id="20990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dx.doi.org/10.1051/limn/201305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x.doi.org/10.1002/tox.22228." TargetMode="External"/><Relationship Id="rId7" Type="http://schemas.openxmlformats.org/officeDocument/2006/relationships/settings" Target="settings.xml"/><Relationship Id="rId12" Type="http://schemas.openxmlformats.org/officeDocument/2006/relationships/hyperlink" Target="http://dx.doi.org/10.1016/j.scitotenv.2015.12.164." TargetMode="External"/><Relationship Id="rId17" Type="http://schemas.openxmlformats.org/officeDocument/2006/relationships/hyperlink" Target="http://www.mir.gdynia.pl/no/documents/atlas_2_sec.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dx.doi.org/10.1002/047167558X.ch12." TargetMode="External"/><Relationship Id="rId20" Type="http://schemas.openxmlformats.org/officeDocument/2006/relationships/hyperlink" Target="http://dx.doi.org/10.3389/fmic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x.doi.org/10.1155/2011/524276" TargetMode="External"/><Relationship Id="rId23" Type="http://schemas.openxmlformats.org/officeDocument/2006/relationships/hyperlink" Target="http://www.who.int/water_sanitation_health/bathing/srwe1execsum/en/index7.html)." TargetMode="External"/><Relationship Id="rId10" Type="http://schemas.openxmlformats.org/officeDocument/2006/relationships/endnotes" Target="endnotes.xml"/><Relationship Id="rId19" Type="http://schemas.openxmlformats.org/officeDocument/2006/relationships/hyperlink" Target="http://dx.doi.org/10.1093/obo/9780199830060-00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toxnet.nlm.nih.gov/cgi-bin/sis/search/a?dbs+hsdb:@term+@DOCNO+55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FA4AAF8EE4AB78D540114174B2E96"/>
        <w:category>
          <w:name w:val="Général"/>
          <w:gallery w:val="placeholder"/>
        </w:category>
        <w:types>
          <w:type w:val="bbPlcHdr"/>
        </w:types>
        <w:behaviors>
          <w:behavior w:val="content"/>
        </w:behaviors>
        <w:guid w:val="{4676490C-37B7-495B-AD7B-F4ADFBB1E273}"/>
      </w:docPartPr>
      <w:docPartBody>
        <w:p w:rsidR="00B324D2" w:rsidRDefault="00B324D2">
          <w:pPr>
            <w:pStyle w:val="413FA4AAF8EE4AB78D540114174B2E96"/>
          </w:pPr>
          <w:r w:rsidRPr="002E29D6">
            <w:rPr>
              <w:rStyle w:val="Textedelespacerserv"/>
            </w:rPr>
            <w:t>Cliquez ou appuyez ici pour entrer du texte.</w:t>
          </w:r>
        </w:p>
      </w:docPartBody>
    </w:docPart>
    <w:docPart>
      <w:docPartPr>
        <w:name w:val="45AA0CC022BC4DE383A244FAB7066BCB"/>
        <w:category>
          <w:name w:val="Général"/>
          <w:gallery w:val="placeholder"/>
        </w:category>
        <w:types>
          <w:type w:val="bbPlcHdr"/>
        </w:types>
        <w:behaviors>
          <w:behavior w:val="content"/>
        </w:behaviors>
        <w:guid w:val="{9EA0D938-7E06-434E-9ACC-40497A20FF8A}"/>
      </w:docPartPr>
      <w:docPartBody>
        <w:p w:rsidR="00B324D2" w:rsidRDefault="00B324D2">
          <w:pPr>
            <w:pStyle w:val="45AA0CC022BC4DE383A244FAB7066BCB"/>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8AD4F38243D4573BED20487247BEA31"/>
        <w:category>
          <w:name w:val="Général"/>
          <w:gallery w:val="placeholder"/>
        </w:category>
        <w:types>
          <w:type w:val="bbPlcHdr"/>
        </w:types>
        <w:behaviors>
          <w:behavior w:val="content"/>
        </w:behaviors>
        <w:guid w:val="{5F7FE53C-4FAE-405B-9C19-AC56B3E8BF84}"/>
      </w:docPartPr>
      <w:docPartBody>
        <w:p w:rsidR="00B324D2" w:rsidRDefault="00B324D2">
          <w:pPr>
            <w:pStyle w:val="18AD4F38243D4573BED20487247BEA31"/>
          </w:pPr>
          <w:r w:rsidRPr="00033AB1">
            <w:rPr>
              <w:highlight w:val="yellow"/>
            </w:rPr>
            <w:t>Nom du journal à renseigner</w:t>
          </w:r>
          <w:r w:rsidRPr="00033AB1">
            <w:t>.</w:t>
          </w:r>
        </w:p>
      </w:docPartBody>
    </w:docPart>
    <w:docPart>
      <w:docPartPr>
        <w:name w:val="AC74914ED5224382A3EDE072B6F52FE2"/>
        <w:category>
          <w:name w:val="Général"/>
          <w:gallery w:val="placeholder"/>
        </w:category>
        <w:types>
          <w:type w:val="bbPlcHdr"/>
        </w:types>
        <w:behaviors>
          <w:behavior w:val="content"/>
        </w:behaviors>
        <w:guid w:val="{FEA72004-04B0-4159-A82B-5FD46A55476C}"/>
      </w:docPartPr>
      <w:docPartBody>
        <w:p w:rsidR="00B324D2" w:rsidRDefault="00B324D2">
          <w:pPr>
            <w:pStyle w:val="AC74914ED5224382A3EDE072B6F52FE2"/>
          </w:pPr>
          <w:r w:rsidRPr="00033AB1">
            <w:rPr>
              <w:highlight w:val="yellow"/>
            </w:rPr>
            <w:t>XX Lien à renseigner XX</w:t>
          </w:r>
          <w:r w:rsidRPr="00033AB1">
            <w:t xml:space="preserve"> </w:t>
          </w:r>
        </w:p>
      </w:docPartBody>
    </w:docPart>
    <w:docPart>
      <w:docPartPr>
        <w:name w:val="869D49E5E87846C59CF37CD57F67B5C2"/>
        <w:category>
          <w:name w:val="Général"/>
          <w:gallery w:val="placeholder"/>
        </w:category>
        <w:types>
          <w:type w:val="bbPlcHdr"/>
        </w:types>
        <w:behaviors>
          <w:behavior w:val="content"/>
        </w:behaviors>
        <w:guid w:val="{E1FE2DCB-78D1-45C7-A7A1-4D92F1EF8C47}"/>
      </w:docPartPr>
      <w:docPartBody>
        <w:p w:rsidR="00B324D2" w:rsidRDefault="00B324D2">
          <w:pPr>
            <w:pStyle w:val="869D49E5E87846C59CF37CD57F67B5C2"/>
          </w:pPr>
          <w:r w:rsidRPr="0062102A">
            <w:rPr>
              <w:rStyle w:val="Textedelespacerserv"/>
            </w:rPr>
            <w:t>Choisissez un élément.</w:t>
          </w:r>
        </w:p>
      </w:docPartBody>
    </w:docPart>
    <w:docPart>
      <w:docPartPr>
        <w:name w:val="B49685615C3A4CECA448C34CB2E319FF"/>
        <w:category>
          <w:name w:val="Général"/>
          <w:gallery w:val="placeholder"/>
        </w:category>
        <w:types>
          <w:type w:val="bbPlcHdr"/>
        </w:types>
        <w:behaviors>
          <w:behavior w:val="content"/>
        </w:behaviors>
        <w:guid w:val="{B6B4E816-41C6-4994-9153-8C0CA87DBC91}"/>
      </w:docPartPr>
      <w:docPartBody>
        <w:p w:rsidR="00B324D2" w:rsidRDefault="00B324D2">
          <w:pPr>
            <w:pStyle w:val="B49685615C3A4CECA448C34CB2E319FF"/>
          </w:pPr>
          <w:r w:rsidRPr="00134E5A">
            <w:rPr>
              <w:highlight w:val="yellow"/>
            </w:rPr>
            <w:t>Lorem ipsum</w:t>
          </w:r>
          <w:r w:rsidRPr="00134E5A">
            <w:t>.</w:t>
          </w:r>
        </w:p>
      </w:docPartBody>
    </w:docPart>
    <w:docPart>
      <w:docPartPr>
        <w:name w:val="0AD1E9AF6DC84F57950BD17642A3C361"/>
        <w:category>
          <w:name w:val="Général"/>
          <w:gallery w:val="placeholder"/>
        </w:category>
        <w:types>
          <w:type w:val="bbPlcHdr"/>
        </w:types>
        <w:behaviors>
          <w:behavior w:val="content"/>
        </w:behaviors>
        <w:guid w:val="{60923A0A-E417-4DE5-BA74-87C7A24B477B}"/>
      </w:docPartPr>
      <w:docPartBody>
        <w:p w:rsidR="00B324D2" w:rsidRDefault="00B324D2">
          <w:pPr>
            <w:pStyle w:val="0AD1E9AF6DC84F57950BD17642A3C361"/>
          </w:pPr>
          <w:r w:rsidRPr="002938A8">
            <w:rPr>
              <w:highlight w:val="yellow"/>
            </w:rPr>
            <w:t>Lorem ipsum dolor sit amet, consectetur adipiscing elit. Integer vestibulum, ligula sed hendrerit dignissim, dui ex lacinia elit, imperdiet semper orci tellus at justo. Sed volutpat nunc nec tincidunt vulputate. Sed porttitor neque eget dui commodo tincidunt. Aliquam vel cursus lacus. Phasellus sed ante sed arcu dignissim mattis ut eu quam. Nullam quis erat hendrerit, interdum sapien lacinia, suscipit orci. Vivamus commodo dapibus nibh. Nunc sed justo eget est porta feugiat. Aenean sit amet mauris porta, volutpat urna quis, suscipit neque. Curabitur sed ex ultricies, pulvinar leo sit amet, rhoncus velit. Suspendisse ut ullamcorper neque. Lorem ipsum dolor sit amet, consectetur adipiscing elit. Integer vestibulum, ligula sed hendrerit dignissim, dui ex lacinia elit, imperdiet semper orci tellus at justo. Sed volutpat nunc nec tincidunt vulputate. Sed porttitor neque eget dui commodo tincidunt. Aliquam vel cursus lacus. Phasellus sed ante sed arcu dignissim mattis ut eu quam. Nullam quis erat hendrerit, interdum sapien lacinia, suscipit orci. Vivamus commodo dapibus nibh. Nunc sed justo eget est porta feugiat. Aenean sit amet mauris porta, volutpat urna quis, suscipit neque. Curabitur sed ex ultricies, pulvinar leo sit amet, rhoncus velit. Suspendisse ut ullamcorper neque.</w:t>
          </w:r>
        </w:p>
      </w:docPartBody>
    </w:docPart>
    <w:docPart>
      <w:docPartPr>
        <w:name w:val="77C85E07C7234CA3900A4803359D45D7"/>
        <w:category>
          <w:name w:val="Général"/>
          <w:gallery w:val="placeholder"/>
        </w:category>
        <w:types>
          <w:type w:val="bbPlcHdr"/>
        </w:types>
        <w:behaviors>
          <w:behavior w:val="content"/>
        </w:behaviors>
        <w:guid w:val="{0D0DD138-D4E9-4D24-A11B-5B117946D859}"/>
      </w:docPartPr>
      <w:docPartBody>
        <w:p w:rsidR="00B324D2" w:rsidRPr="00957E7B" w:rsidRDefault="00B324D2" w:rsidP="00B324D2">
          <w:pPr>
            <w:pStyle w:val="Partie"/>
            <w:rPr>
              <w:highlight w:val="yellow"/>
            </w:rPr>
          </w:pPr>
          <w:r w:rsidRPr="00957E7B">
            <w:rPr>
              <w:highlight w:val="yellow"/>
            </w:rPr>
            <w:t>Lorem ipsum dolor sit amet, consectetur adipiscing elit. Aliquam ultricies maximus sem. Curabitur aliquet a risus nec tincidunt. Praesent tellus diam, viverra eu aliquam quis, mattis nec mauris. Donec efficitur pellentesque massa porttitor faucibus. Maecenas at sapien ut ligula faucibus viverra. Suspendisse commodo vulputate sem eget elementum. Aliquam consequat sit amet risus at efficitur. Suspendisse venenatis ante quam, eu porttitor arcu pulvinar nec. Suspendisse maximus nulla rutrum eros tempus, id ultricies ipsum viverra.</w:t>
          </w:r>
        </w:p>
        <w:p w:rsidR="00B324D2" w:rsidRPr="00957E7B" w:rsidRDefault="00B324D2" w:rsidP="00B324D2">
          <w:pPr>
            <w:pStyle w:val="Partie"/>
            <w:rPr>
              <w:highlight w:val="yellow"/>
            </w:rPr>
          </w:pPr>
          <w:r w:rsidRPr="00957E7B">
            <w:rPr>
              <w:highlight w:val="yellow"/>
            </w:rPr>
            <w:t>Donec sit amet lorem lorem. Cras sem mauris, auctor sed sem sit amet, molestie suscipit augue. Sed ut velit auctor, venenatis lectus vel, hendrerit diam. Aliquam eget nisi fringilla, sagittis magna a, fermentum dui. Vivamus dictum egestas commodo. Cras in augue tempor, finibus odio ut, elementum libero. In hac habitasse platea dictumst. Vivamus blandit commodo tellus.</w:t>
          </w:r>
        </w:p>
        <w:p w:rsidR="00B324D2" w:rsidRPr="00957E7B" w:rsidRDefault="00B324D2" w:rsidP="00B324D2">
          <w:pPr>
            <w:pStyle w:val="Partie"/>
            <w:rPr>
              <w:highlight w:val="yellow"/>
            </w:rPr>
          </w:pPr>
          <w:r w:rsidRPr="00957E7B">
            <w:rPr>
              <w:highlight w:val="yellow"/>
            </w:rPr>
            <w:t>Nam elementum diam sed tincidunt luctus. Etiam sodales venenatis eleifend. Vestibulum dignissim ligula mattis, tristique neque eget, pulvinar dolor. Donec ligula erat, posuere sit amet erat id, dictum auctor eros. Fusce rutrum ornare ante, id cursus arcu luctus quis. Orci varius natoque penatibus et magnis dis parturient montes, nascetur ridiculus mus. Mauris enim ex, viverra quis hendrerit eget, maximus eu turpis. Integer leo libero, facilisis venenatis dapibus id, tincidunt eget urna. Sed ullamcorper interdum diam quis lacinia. Suspendisse ullamcorper sodales nunc eu dictum. Aenean dui velit, condimentum volutpat nunc sit amet, fermentum mattis elit.</w:t>
          </w:r>
        </w:p>
        <w:p w:rsidR="00B324D2" w:rsidRDefault="00B324D2">
          <w:pPr>
            <w:pStyle w:val="77C85E07C7234CA3900A4803359D45D7"/>
          </w:pPr>
          <w:r w:rsidRPr="00957E7B">
            <w:rPr>
              <w:highlight w:val="yellow"/>
            </w:rPr>
            <w:t>Donec luctus elementum tortor. Aenean hendrerit nec nisi eu mollis. Sed luctus iaculis tellus. Suspendisse id purus in est efficitur faucibus. Quisque sit amet mauris id augue accumsan interdum. Nullam auctor cursus aliquet. Curabitur rhoncus porttitor massa at venenatis. Curabitur fringilla dolor nisi, nec vulputate tellus fermentum eu. Aenean sed urna nec leo eleifend elementum ut a risus. Vivamus semper magna et diam tincidunt dapibus. Morbi mi odio, tristique eu tempor ut, imperdiet in lectus. Nullam euismod, orci non fringilla porttitor, lacus lectus ultrices erat, bibendum efficitur ligula massa sit amet turpis. Donec interdum blandit lacus sed malesuada.</w:t>
          </w:r>
        </w:p>
      </w:docPartBody>
    </w:docPart>
    <w:docPart>
      <w:docPartPr>
        <w:name w:val="3299A6AAB128402F86A2E242D2ACF030"/>
        <w:category>
          <w:name w:val="Général"/>
          <w:gallery w:val="placeholder"/>
        </w:category>
        <w:types>
          <w:type w:val="bbPlcHdr"/>
        </w:types>
        <w:behaviors>
          <w:behavior w:val="content"/>
        </w:behaviors>
        <w:guid w:val="{9394547B-B043-49A5-87CA-3EA95CAF4EBF}"/>
      </w:docPartPr>
      <w:docPartBody>
        <w:p w:rsidR="00B324D2" w:rsidRDefault="00B324D2">
          <w:pPr>
            <w:pStyle w:val="3299A6AAB128402F86A2E242D2ACF030"/>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60FE24DB5F046EA8A3EF6800BDC5D7C"/>
        <w:category>
          <w:name w:val="Général"/>
          <w:gallery w:val="placeholder"/>
        </w:category>
        <w:types>
          <w:type w:val="bbPlcHdr"/>
        </w:types>
        <w:behaviors>
          <w:behavior w:val="content"/>
        </w:behaviors>
        <w:guid w:val="{F641A93B-EA89-445E-997E-485FF9435B41}"/>
      </w:docPartPr>
      <w:docPartBody>
        <w:p w:rsidR="00B324D2" w:rsidRDefault="00B324D2">
          <w:pPr>
            <w:pStyle w:val="D60FE24DB5F046EA8A3EF6800BDC5D7C"/>
          </w:pPr>
          <w:r>
            <w:t>Part 1</w:t>
          </w:r>
        </w:p>
      </w:docPartBody>
    </w:docPart>
    <w:docPart>
      <w:docPartPr>
        <w:name w:val="F6CC3AC322634CEE91BF1640DD8B8BC1"/>
        <w:category>
          <w:name w:val="Général"/>
          <w:gallery w:val="placeholder"/>
        </w:category>
        <w:types>
          <w:type w:val="bbPlcHdr"/>
        </w:types>
        <w:behaviors>
          <w:behavior w:val="content"/>
        </w:behaviors>
        <w:guid w:val="{73B18781-3321-4731-AB5B-CF2CA44841E5}"/>
      </w:docPartPr>
      <w:docPartBody>
        <w:p w:rsidR="00B324D2" w:rsidRDefault="00B324D2">
          <w:pPr>
            <w:pStyle w:val="F6CC3AC322634CEE91BF1640DD8B8BC1"/>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9B01BA64321F46C79DFA7FD1CDD80767"/>
        <w:category>
          <w:name w:val="Général"/>
          <w:gallery w:val="placeholder"/>
        </w:category>
        <w:types>
          <w:type w:val="bbPlcHdr"/>
        </w:types>
        <w:behaviors>
          <w:behavior w:val="content"/>
        </w:behaviors>
        <w:guid w:val="{C70CB523-53AD-4BBD-A8B1-E04769057F64}"/>
      </w:docPartPr>
      <w:docPartBody>
        <w:p w:rsidR="00B324D2" w:rsidRDefault="00B324D2">
          <w:pPr>
            <w:pStyle w:val="9B01BA64321F46C79DFA7FD1CDD80767"/>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09B4624A07471E9E45D532F8653E14"/>
        <w:category>
          <w:name w:val="Général"/>
          <w:gallery w:val="placeholder"/>
        </w:category>
        <w:types>
          <w:type w:val="bbPlcHdr"/>
        </w:types>
        <w:behaviors>
          <w:behavior w:val="content"/>
        </w:behaviors>
        <w:guid w:val="{383C7861-4DC0-422C-92D0-F655691116D6}"/>
      </w:docPartPr>
      <w:docPartBody>
        <w:p w:rsidR="00B324D2" w:rsidRDefault="00B324D2">
          <w:pPr>
            <w:pStyle w:val="E209B4624A07471E9E45D532F8653E14"/>
          </w:pPr>
          <w:r>
            <w:t>Part 2</w:t>
          </w:r>
        </w:p>
      </w:docPartBody>
    </w:docPart>
    <w:docPart>
      <w:docPartPr>
        <w:name w:val="183E51CBF88F4B7D866ECD3B98659F25"/>
        <w:category>
          <w:name w:val="Général"/>
          <w:gallery w:val="placeholder"/>
        </w:category>
        <w:types>
          <w:type w:val="bbPlcHdr"/>
        </w:types>
        <w:behaviors>
          <w:behavior w:val="content"/>
        </w:behaviors>
        <w:guid w:val="{6715A557-5BDA-4115-8F5D-26D59933BE71}"/>
      </w:docPartPr>
      <w:docPartBody>
        <w:p w:rsidR="00B324D2" w:rsidRDefault="00B324D2">
          <w:pPr>
            <w:pStyle w:val="183E51CBF88F4B7D866ECD3B98659F25"/>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642E9485D971435A946B00DB829EBBDA"/>
        <w:category>
          <w:name w:val="Général"/>
          <w:gallery w:val="placeholder"/>
        </w:category>
        <w:types>
          <w:type w:val="bbPlcHdr"/>
        </w:types>
        <w:behaviors>
          <w:behavior w:val="content"/>
        </w:behaviors>
        <w:guid w:val="{07654788-5E7A-4091-B991-587DD22E28C5}"/>
      </w:docPartPr>
      <w:docPartBody>
        <w:p w:rsidR="00B324D2" w:rsidRDefault="00B324D2">
          <w:pPr>
            <w:pStyle w:val="642E9485D971435A946B00DB829EBBDA"/>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6B23B57A8A47C198E7EDDB59AC0B75"/>
        <w:category>
          <w:name w:val="Général"/>
          <w:gallery w:val="placeholder"/>
        </w:category>
        <w:types>
          <w:type w:val="bbPlcHdr"/>
        </w:types>
        <w:behaviors>
          <w:behavior w:val="content"/>
        </w:behaviors>
        <w:guid w:val="{1DE4D4F9-9069-40FE-AE31-1CCF203AACE8}"/>
      </w:docPartPr>
      <w:docPartBody>
        <w:p w:rsidR="00B324D2" w:rsidRDefault="00B324D2">
          <w:pPr>
            <w:pStyle w:val="486B23B57A8A47C198E7EDDB59AC0B75"/>
          </w:pPr>
          <w:r>
            <w:t>Part 3</w:t>
          </w:r>
        </w:p>
      </w:docPartBody>
    </w:docPart>
    <w:docPart>
      <w:docPartPr>
        <w:name w:val="DEAFC57D855A4DC893BBE9FE254FA380"/>
        <w:category>
          <w:name w:val="Général"/>
          <w:gallery w:val="placeholder"/>
        </w:category>
        <w:types>
          <w:type w:val="bbPlcHdr"/>
        </w:types>
        <w:behaviors>
          <w:behavior w:val="content"/>
        </w:behaviors>
        <w:guid w:val="{E6CFD282-BCE8-4911-B5FC-2E89E8D96EE2}"/>
      </w:docPartPr>
      <w:docPartBody>
        <w:p w:rsidR="00B324D2" w:rsidRDefault="00B324D2">
          <w:pPr>
            <w:pStyle w:val="DEAFC57D855A4DC893BBE9FE254FA380"/>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89449E1EBC814866BE07292CE45B55BB"/>
        <w:category>
          <w:name w:val="Général"/>
          <w:gallery w:val="placeholder"/>
        </w:category>
        <w:types>
          <w:type w:val="bbPlcHdr"/>
        </w:types>
        <w:behaviors>
          <w:behavior w:val="content"/>
        </w:behaviors>
        <w:guid w:val="{1A4FE869-231D-4AC1-9B98-4E2568DF8C95}"/>
      </w:docPartPr>
      <w:docPartBody>
        <w:p w:rsidR="00B324D2" w:rsidRDefault="00B324D2">
          <w:pPr>
            <w:pStyle w:val="89449E1EBC814866BE07292CE45B55BB"/>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D855239F444004BC9981C281768E8A"/>
        <w:category>
          <w:name w:val="Général"/>
          <w:gallery w:val="placeholder"/>
        </w:category>
        <w:types>
          <w:type w:val="bbPlcHdr"/>
        </w:types>
        <w:behaviors>
          <w:behavior w:val="content"/>
        </w:behaviors>
        <w:guid w:val="{299B4B51-1A1B-4599-939C-4741CE31E7D8}"/>
      </w:docPartPr>
      <w:docPartBody>
        <w:p w:rsidR="00B324D2" w:rsidRDefault="00B324D2">
          <w:pPr>
            <w:pStyle w:val="A6D855239F444004BC9981C281768E8A"/>
          </w:pPr>
          <w:r>
            <w:t>Part 1</w:t>
          </w:r>
        </w:p>
      </w:docPartBody>
    </w:docPart>
    <w:docPart>
      <w:docPartPr>
        <w:name w:val="66B5ED90C2BB43E085024AD0FF6E6095"/>
        <w:category>
          <w:name w:val="Général"/>
          <w:gallery w:val="placeholder"/>
        </w:category>
        <w:types>
          <w:type w:val="bbPlcHdr"/>
        </w:types>
        <w:behaviors>
          <w:behavior w:val="content"/>
        </w:behaviors>
        <w:guid w:val="{B85998CD-C367-47E9-80E4-86C881410CAF}"/>
      </w:docPartPr>
      <w:docPartBody>
        <w:p w:rsidR="00B324D2" w:rsidRDefault="00B324D2">
          <w:pPr>
            <w:pStyle w:val="66B5ED90C2BB43E085024AD0FF6E6095"/>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34B608C06667437B97C7CC7D4CC11DB0"/>
        <w:category>
          <w:name w:val="Général"/>
          <w:gallery w:val="placeholder"/>
        </w:category>
        <w:types>
          <w:type w:val="bbPlcHdr"/>
        </w:types>
        <w:behaviors>
          <w:behavior w:val="content"/>
        </w:behaviors>
        <w:guid w:val="{16E136FD-D7DA-4BC2-AE54-45B1BD473A20}"/>
      </w:docPartPr>
      <w:docPartBody>
        <w:p w:rsidR="00B324D2" w:rsidRDefault="00B324D2">
          <w:pPr>
            <w:pStyle w:val="34B608C06667437B97C7CC7D4CC11DB0"/>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7EC892C7DB453DA6257A1E704F3A1E"/>
        <w:category>
          <w:name w:val="Général"/>
          <w:gallery w:val="placeholder"/>
        </w:category>
        <w:types>
          <w:type w:val="bbPlcHdr"/>
        </w:types>
        <w:behaviors>
          <w:behavior w:val="content"/>
        </w:behaviors>
        <w:guid w:val="{B6C429E8-2BCF-43AA-B9AD-D02881318801}"/>
      </w:docPartPr>
      <w:docPartBody>
        <w:p w:rsidR="00B324D2" w:rsidRDefault="00B324D2">
          <w:pPr>
            <w:pStyle w:val="FB7EC892C7DB453DA6257A1E704F3A1E"/>
          </w:pPr>
          <w:r>
            <w:t>Part 2</w:t>
          </w:r>
        </w:p>
      </w:docPartBody>
    </w:docPart>
    <w:docPart>
      <w:docPartPr>
        <w:name w:val="4F767E2CF7444EF4AE0315C0E6177F5B"/>
        <w:category>
          <w:name w:val="Général"/>
          <w:gallery w:val="placeholder"/>
        </w:category>
        <w:types>
          <w:type w:val="bbPlcHdr"/>
        </w:types>
        <w:behaviors>
          <w:behavior w:val="content"/>
        </w:behaviors>
        <w:guid w:val="{907FE18A-8851-4DDC-8E38-8B57009CA184}"/>
      </w:docPartPr>
      <w:docPartBody>
        <w:p w:rsidR="00B324D2" w:rsidRDefault="00B324D2">
          <w:pPr>
            <w:pStyle w:val="4F767E2CF7444EF4AE0315C0E6177F5B"/>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8D16B3AA2E56432892C6B0FE3968F7AB"/>
        <w:category>
          <w:name w:val="Général"/>
          <w:gallery w:val="placeholder"/>
        </w:category>
        <w:types>
          <w:type w:val="bbPlcHdr"/>
        </w:types>
        <w:behaviors>
          <w:behavior w:val="content"/>
        </w:behaviors>
        <w:guid w:val="{258FA3E3-6F38-4A5B-9B1F-3CE0981309F5}"/>
      </w:docPartPr>
      <w:docPartBody>
        <w:p w:rsidR="00B324D2" w:rsidRDefault="00B324D2">
          <w:pPr>
            <w:pStyle w:val="8D16B3AA2E56432892C6B0FE3968F7AB"/>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E7B9BE299104E179CA29782FB505C8A"/>
        <w:category>
          <w:name w:val="Général"/>
          <w:gallery w:val="placeholder"/>
        </w:category>
        <w:types>
          <w:type w:val="bbPlcHdr"/>
        </w:types>
        <w:behaviors>
          <w:behavior w:val="content"/>
        </w:behaviors>
        <w:guid w:val="{6FA8BDA2-86CA-4E68-9875-4A6279082B40}"/>
      </w:docPartPr>
      <w:docPartBody>
        <w:p w:rsidR="00B324D2" w:rsidRDefault="00B324D2">
          <w:pPr>
            <w:pStyle w:val="9E7B9BE299104E179CA29782FB505C8A"/>
          </w:pPr>
          <w:r>
            <w:t>Part 3</w:t>
          </w:r>
        </w:p>
      </w:docPartBody>
    </w:docPart>
    <w:docPart>
      <w:docPartPr>
        <w:name w:val="412FE9F2367544539289A9DF303C7487"/>
        <w:category>
          <w:name w:val="Général"/>
          <w:gallery w:val="placeholder"/>
        </w:category>
        <w:types>
          <w:type w:val="bbPlcHdr"/>
        </w:types>
        <w:behaviors>
          <w:behavior w:val="content"/>
        </w:behaviors>
        <w:guid w:val="{6EAFB6B5-54E0-4D59-96BD-E35B88DFDA53}"/>
      </w:docPartPr>
      <w:docPartBody>
        <w:p w:rsidR="00B324D2" w:rsidRDefault="00B324D2">
          <w:pPr>
            <w:pStyle w:val="412FE9F2367544539289A9DF303C7487"/>
          </w:pPr>
          <w:r w:rsidRPr="00697606">
            <w:t>Material and Methods.</w:t>
          </w:r>
        </w:p>
      </w:docPartBody>
    </w:docPart>
    <w:docPart>
      <w:docPartPr>
        <w:name w:val="8AECED5984F84A0498D0E1B0B86F9F8A"/>
        <w:category>
          <w:name w:val="Général"/>
          <w:gallery w:val="placeholder"/>
        </w:category>
        <w:types>
          <w:type w:val="bbPlcHdr"/>
        </w:types>
        <w:behaviors>
          <w:behavior w:val="content"/>
        </w:behaviors>
        <w:guid w:val="{502F7256-5923-4483-903E-488E8252720F}"/>
      </w:docPartPr>
      <w:docPartBody>
        <w:p w:rsidR="00B324D2" w:rsidRDefault="00B324D2">
          <w:pPr>
            <w:pStyle w:val="8AECED5984F84A0498D0E1B0B86F9F8A"/>
          </w:pPr>
          <w:r w:rsidRPr="0042717A">
            <w:rPr>
              <w:highlight w:val="magenta"/>
            </w:rPr>
            <w:t xml:space="preserve">Lorem ipsum dolor sit amet, consectetur adipiscing elit. </w:t>
          </w:r>
          <w:r w:rsidRPr="00CB4FFF">
            <w:rPr>
              <w:highlight w:val="magenta"/>
            </w:rPr>
            <w:t xml:space="preserve">Aliquam ultricies maximus sem. Curabitur aliquet a risus nec tincidunt. Praesent tellus diam, viverra eu aliquam quis, mattis nec mauris. Donec efficitur pellentesque massa porttitor faucibus. Maecenas at sapien ut ligula faucibus viverra. </w:t>
          </w:r>
          <w:r w:rsidRPr="0042717A">
            <w:rPr>
              <w:highlight w:val="magenta"/>
            </w:rPr>
            <w:t xml:space="preserve">Suspendisse commodo vulputate sem eget elementum. Aliquam consequat sit amet risus at efficitur. </w:t>
          </w:r>
          <w:r w:rsidRPr="00CB4FFF">
            <w:rPr>
              <w:highlight w:val="magenta"/>
            </w:rPr>
            <w:t>Suspendisse venenatis ante quam, eu porttitor arcu pulvinar nec. Suspendisse maximus nulla rutrum eros tempus, id ultricies ipsum viverra.</w:t>
          </w:r>
        </w:p>
      </w:docPartBody>
    </w:docPart>
    <w:docPart>
      <w:docPartPr>
        <w:name w:val="628D455D85B247CD9235F149C09EFEFE"/>
        <w:category>
          <w:name w:val="Général"/>
          <w:gallery w:val="placeholder"/>
        </w:category>
        <w:types>
          <w:type w:val="bbPlcHdr"/>
        </w:types>
        <w:behaviors>
          <w:behavior w:val="content"/>
        </w:behaviors>
        <w:guid w:val="{02B58A46-6ED6-43C4-8B93-AC13741EFA0D}"/>
      </w:docPartPr>
      <w:docPartBody>
        <w:p w:rsidR="00B324D2" w:rsidRDefault="00B324D2">
          <w:pPr>
            <w:pStyle w:val="628D455D85B247CD9235F149C09EFEFE"/>
          </w:pPr>
          <w:r w:rsidRPr="00697606">
            <w:t>Material and Methods.</w:t>
          </w:r>
        </w:p>
      </w:docPartBody>
    </w:docPart>
    <w:docPart>
      <w:docPartPr>
        <w:name w:val="50CB1E1B72FE4A2CBB8A0C0CD092419C"/>
        <w:category>
          <w:name w:val="Général"/>
          <w:gallery w:val="placeholder"/>
        </w:category>
        <w:types>
          <w:type w:val="bbPlcHdr"/>
        </w:types>
        <w:behaviors>
          <w:behavior w:val="content"/>
        </w:behaviors>
        <w:guid w:val="{316ADF30-EE04-4966-9F4A-F45C1425097F}"/>
      </w:docPartPr>
      <w:docPartBody>
        <w:p w:rsidR="00B324D2" w:rsidRDefault="00B324D2">
          <w:pPr>
            <w:pStyle w:val="50CB1E1B72FE4A2CBB8A0C0CD092419C"/>
          </w:pPr>
          <w:r w:rsidRPr="00951155">
            <w:rPr>
              <w:highlight w:val="magenta"/>
              <w:lang w:val="en-US"/>
            </w:rPr>
            <w:t xml:space="preserve">Lorem ipsum dolor sit amet, consectetur adipiscing elit. </w:t>
          </w:r>
          <w:r w:rsidRPr="00684AFE">
            <w:rPr>
              <w:highlight w:val="magenta"/>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magenta"/>
              <w:lang w:val="en-US"/>
            </w:rPr>
            <w:t xml:space="preserve">Suspendisse commodo vulputate sem eget elementum. Aliquam consequat sit amet risus at efficitur. </w:t>
          </w:r>
          <w:r w:rsidRPr="00684AFE">
            <w:rPr>
              <w:highlight w:val="magenta"/>
            </w:rPr>
            <w:t>Suspendisse venenatis ante quam, eu porttitor arcu pulvinar nec. Suspendisse maximus nulla rutrum eros tempus, id ultricies ipsum viverra</w:t>
          </w:r>
        </w:p>
      </w:docPartBody>
    </w:docPart>
    <w:docPart>
      <w:docPartPr>
        <w:name w:val="370A0177884448B4844877CB29F706BF"/>
        <w:category>
          <w:name w:val="Général"/>
          <w:gallery w:val="placeholder"/>
        </w:category>
        <w:types>
          <w:type w:val="bbPlcHdr"/>
        </w:types>
        <w:behaviors>
          <w:behavior w:val="content"/>
        </w:behaviors>
        <w:guid w:val="{E938604C-ABE7-47DA-AC94-2DFE86874F5F}"/>
      </w:docPartPr>
      <w:docPartBody>
        <w:p w:rsidR="00B324D2" w:rsidRPr="0042717A" w:rsidRDefault="00B324D2" w:rsidP="00B324D2">
          <w:pPr>
            <w:pStyle w:val="RfrencesAcknoledgment"/>
            <w:rPr>
              <w:highlight w:val="yellow"/>
            </w:rPr>
          </w:pPr>
          <w:r w:rsidRPr="0042717A">
            <w:rPr>
              <w:highlight w:val="yellow"/>
            </w:rPr>
            <w:t>Abrahams P.W., Steigmajer J. 2003. Soil Ingestion by Sheep Grazing the Metal Enriched Floodplain Soils of Mid-Wales. Environ. Geochemistry Health 25, 17-24.</w:t>
          </w:r>
        </w:p>
        <w:p w:rsidR="00B324D2" w:rsidRPr="0042717A" w:rsidRDefault="00B324D2" w:rsidP="00B324D2">
          <w:pPr>
            <w:pStyle w:val="RfrencesAcknoledgment"/>
            <w:rPr>
              <w:highlight w:val="yellow"/>
            </w:rPr>
          </w:pPr>
          <w:r w:rsidRPr="0042717A">
            <w:rPr>
              <w:highlight w:val="yellow"/>
            </w:rPr>
            <w:t>Adolphs, J., Kleinjung, F., Numata, J., Mielke, H., Abraham, K., Schafft, H., Muller-Graf, C., Greiner, M. 2013. A probabilistic model for the carry-over of PCDD/Fs from feed to growing pigs. Chemosphere 93, 474-479.</w:t>
          </w:r>
        </w:p>
        <w:p w:rsidR="00B324D2" w:rsidRPr="0042717A" w:rsidRDefault="00B324D2" w:rsidP="00B324D2">
          <w:pPr>
            <w:pStyle w:val="RfrencesAcknoledgment"/>
            <w:rPr>
              <w:highlight w:val="yellow"/>
            </w:rPr>
          </w:pPr>
          <w:r w:rsidRPr="0042717A">
            <w:rPr>
              <w:highlight w:val="yellow"/>
            </w:rPr>
            <w:t>ATSDR, 2000. Toxicological profile for polychlorinated biphenyls (PCBs). Atlanta: Agency for Toxic Substances and Disease Registry, November 2000. https://www.atsdr.cdc.gov/ToxProfiles/tp17.pdf.</w:t>
          </w:r>
        </w:p>
        <w:p w:rsidR="00B324D2" w:rsidRPr="0042717A" w:rsidRDefault="00B324D2" w:rsidP="00B324D2">
          <w:pPr>
            <w:pStyle w:val="RfrencesAcknoledgment"/>
            <w:rPr>
              <w:highlight w:val="yellow"/>
            </w:rPr>
          </w:pPr>
          <w:r w:rsidRPr="0042717A">
            <w:rPr>
              <w:highlight w:val="yellow"/>
            </w:rPr>
            <w:t>ATSDR, 2005 « Toxicological profile for Hexachlorocyclohexane. Atlanta: Agency for Toxic Substances and Disease Registry, September 2003. https://www.atsdr.cdc.gov/ToxProfiles/tp43.pdf.</w:t>
          </w:r>
        </w:p>
        <w:p w:rsidR="00B324D2" w:rsidRPr="0042717A" w:rsidRDefault="00B324D2" w:rsidP="00B324D2">
          <w:pPr>
            <w:pStyle w:val="RfrencesAcknoledgment"/>
            <w:rPr>
              <w:highlight w:val="yellow"/>
            </w:rPr>
          </w:pPr>
          <w:r w:rsidRPr="0042717A">
            <w:rPr>
              <w:highlight w:val="yellow"/>
            </w:rPr>
            <w:t>ATSDR, 2017. Toxicological profile for Polybrominated Diphenyl Ethers (PBDEs). » Atlanta: Agency for Toxic Substances and Disease Registry, March 2017. https://www.atsdr.cdc.gov/toxprofiles/tp207.pdf.</w:t>
          </w:r>
        </w:p>
        <w:p w:rsidR="00B324D2" w:rsidRPr="0042717A" w:rsidRDefault="00B324D2" w:rsidP="00B324D2">
          <w:pPr>
            <w:pStyle w:val="RfrencesAcknoledgment"/>
            <w:rPr>
              <w:highlight w:val="yellow"/>
            </w:rPr>
          </w:pPr>
          <w:r w:rsidRPr="0042717A">
            <w:rPr>
              <w:highlight w:val="yellow"/>
            </w:rPr>
            <w:t>ATSDR, 2020. Toxicological profile for DDT, DDE, and DDD. Atlanta: Agency for Toxic Substances and Disease Registry, March 2020. https://www.atsdr.cdc.gov/ToxProfiles/tp35.pdf.</w:t>
          </w:r>
        </w:p>
        <w:p w:rsidR="00B324D2" w:rsidRPr="0042717A" w:rsidRDefault="00B324D2" w:rsidP="00B324D2">
          <w:pPr>
            <w:pStyle w:val="RfrencesAcknoledgment"/>
            <w:rPr>
              <w:highlight w:val="yellow"/>
            </w:rPr>
          </w:pPr>
          <w:r w:rsidRPr="0042717A">
            <w:rPr>
              <w:highlight w:val="yellow"/>
            </w:rPr>
            <w:t>Aulakh, R.S., Bedi, J.S., Sharma, J.K., Joia, B.S., Ockerman, H.W. 2006. Organochlorine pesticide residues in poultry feed, chicken muscle and eggs at a poultry farm in Punjab, India. J. Sci. Food Agric. 86, 741-744.</w:t>
          </w:r>
        </w:p>
        <w:p w:rsidR="00B324D2" w:rsidRPr="0042717A" w:rsidRDefault="00B324D2" w:rsidP="00B324D2">
          <w:pPr>
            <w:pStyle w:val="RfrencesAcknoledgment"/>
            <w:rPr>
              <w:highlight w:val="yellow"/>
            </w:rPr>
          </w:pPr>
          <w:r w:rsidRPr="0042717A">
            <w:rPr>
              <w:highlight w:val="yellow"/>
            </w:rPr>
            <w:t>Bley T.A.G., Bessei W. 2008. Recording of individual feed intake and feeding behavior of Pekin ducks kept in groups. Poultry Sci. 87, 215-221.</w:t>
          </w:r>
        </w:p>
        <w:p w:rsidR="00B324D2" w:rsidRPr="0042717A" w:rsidRDefault="00B324D2" w:rsidP="00B324D2">
          <w:pPr>
            <w:pStyle w:val="RfrencesAcknoledgment"/>
            <w:rPr>
              <w:highlight w:val="yellow"/>
            </w:rPr>
          </w:pPr>
          <w:r w:rsidRPr="0042717A">
            <w:rPr>
              <w:highlight w:val="yellow"/>
            </w:rPr>
            <w:t>Brambilla, G., Fochi, I., Falce, M., De Filippis, S.P., Ubaldi, A., Di Domenico, A. 2008. PCDD and PCDF depletion in milk from dairy cows according to the herd metabolic scenario. Chemosphere 73, 216-219.</w:t>
          </w:r>
        </w:p>
        <w:p w:rsidR="00B324D2" w:rsidRPr="0042717A" w:rsidRDefault="00B324D2" w:rsidP="00B324D2">
          <w:pPr>
            <w:pStyle w:val="RfrencesAcknoledgment"/>
            <w:rPr>
              <w:highlight w:val="yellow"/>
            </w:rPr>
          </w:pPr>
          <w:r w:rsidRPr="0042717A">
            <w:rPr>
              <w:highlight w:val="yellow"/>
            </w:rPr>
            <w:t>Bryan, A. 2012. PCDD/F and PCB levels in beef from cattle raised on flood plainsS. Organohalogen Compounds 74, 5.</w:t>
          </w:r>
        </w:p>
        <w:p w:rsidR="00B324D2" w:rsidRPr="0042717A" w:rsidRDefault="00B324D2" w:rsidP="00B324D2">
          <w:pPr>
            <w:pStyle w:val="RfrencesAcknoledgment"/>
            <w:rPr>
              <w:highlight w:val="yellow"/>
            </w:rPr>
          </w:pPr>
          <w:r w:rsidRPr="0042717A">
            <w:rPr>
              <w:highlight w:val="yellow"/>
            </w:rPr>
            <w:t>Casarett, L.J., Doull, J. 2008. Casarett and Doull’s Toxicology: The Basic Science of Poisons. 6th éd. Curtis D. Klaassen, McGraw-Hill Medical Pub. Division.</w:t>
          </w:r>
        </w:p>
        <w:p w:rsidR="00B324D2" w:rsidRPr="0042717A" w:rsidRDefault="00B324D2" w:rsidP="00B324D2">
          <w:pPr>
            <w:pStyle w:val="RfrencesAcknoledgment"/>
            <w:rPr>
              <w:highlight w:val="yellow"/>
            </w:rPr>
          </w:pPr>
          <w:r w:rsidRPr="0042717A">
            <w:rPr>
              <w:highlight w:val="yellow"/>
            </w:rPr>
            <w:t>Collas C., Mahieu M., Tricheur A., Crini N., Badot P.M., Archimède H., Rychen G., Feidt C., Jurjanz S. 2019. Cattle exposure to chlordecone through soil intakes. The case-study of tropical grazing practices in the French West Indies. Sci. Tot. Environ. 668, 161-170.</w:t>
          </w:r>
        </w:p>
        <w:p w:rsidR="00B324D2" w:rsidRPr="0042717A" w:rsidRDefault="00B324D2" w:rsidP="00B324D2">
          <w:pPr>
            <w:pStyle w:val="RfrencesAcknoledgment"/>
            <w:rPr>
              <w:highlight w:val="yellow"/>
            </w:rPr>
          </w:pPr>
          <w:r w:rsidRPr="0042717A">
            <w:rPr>
              <w:highlight w:val="yellow"/>
            </w:rPr>
            <w:t>Costera, A., Feidt, C., Marchand, P., Le Bizec, B., Rychen, G. 2006. PCDD/F and PCB transfer to milk in goats exposed to a longterm intake of contaminated hay. Chemosphere 64, 650–657.</w:t>
          </w:r>
        </w:p>
        <w:p w:rsidR="00B324D2" w:rsidRPr="0042717A" w:rsidRDefault="00B324D2" w:rsidP="00B324D2">
          <w:pPr>
            <w:pStyle w:val="RfrencesAcknoledgment"/>
            <w:rPr>
              <w:highlight w:val="yellow"/>
            </w:rPr>
          </w:pPr>
          <w:r w:rsidRPr="0042717A">
            <w:rPr>
              <w:highlight w:val="yellow"/>
            </w:rPr>
            <w:t>Delannoy, M., Girardet, J.-M., Djelti, F., Yen Potin, F., Cakir-Kiefer, C. 2020. Affinity of chlordecone and chlordecol for human serum lipoproteins. Environ. Toxic. Pharmac. in press. https://doi.org/10.1016/j.etap.2020.103486</w:t>
          </w:r>
        </w:p>
        <w:p w:rsidR="00B324D2" w:rsidRPr="0042717A" w:rsidRDefault="00B324D2" w:rsidP="00B324D2">
          <w:pPr>
            <w:pStyle w:val="RfrencesAcknoledgment"/>
            <w:rPr>
              <w:highlight w:val="yellow"/>
            </w:rPr>
          </w:pPr>
          <w:r w:rsidRPr="0042717A">
            <w:rPr>
              <w:highlight w:val="yellow"/>
            </w:rPr>
            <w:t>Diletti, G., Ceci, R., Ippoliti, C., Ferri, N., Marchi, E., Pirito, L., Scortichini, L. 2014. PCDD/F and DL-PCB transfer to milk in buffaloes exposed to contaminated feed. Organohalogen. Comp. 76, 1557-1560.</w:t>
          </w:r>
        </w:p>
        <w:p w:rsidR="00B324D2" w:rsidRPr="0042717A" w:rsidRDefault="00B324D2" w:rsidP="00B324D2">
          <w:pPr>
            <w:pStyle w:val="RfrencesAcknoledgment"/>
            <w:rPr>
              <w:highlight w:val="yellow"/>
            </w:rPr>
          </w:pPr>
          <w:r w:rsidRPr="0042717A">
            <w:rPr>
              <w:highlight w:val="yellow"/>
            </w:rPr>
            <w:t>Drouillard, K.G., Norstrom R.J. 2003. The influence of diet properties and feeding rates on PCB toxicokinetics in the ring dove. Arch. Environ. Contam. Toxic. 44, 97</w:t>
          </w:r>
          <w:r w:rsidRPr="0042717A">
            <w:rPr>
              <w:highlight w:val="yellow"/>
            </w:rPr>
            <w:noBreakHyphen/>
            <w:t>106.</w:t>
          </w:r>
        </w:p>
        <w:p w:rsidR="00B324D2" w:rsidRPr="0042717A" w:rsidRDefault="00B324D2" w:rsidP="00B324D2">
          <w:pPr>
            <w:pStyle w:val="RfrencesAcknoledgment"/>
            <w:rPr>
              <w:highlight w:val="yellow"/>
            </w:rPr>
          </w:pPr>
          <w:r w:rsidRPr="0042717A">
            <w:rPr>
              <w:highlight w:val="yellow"/>
            </w:rPr>
            <w:t xml:space="preserve">Feil, V.J., Huwe, J., Zaylskie, R.G., Davison, K.L. 2000. Chlorinated Dibenzo-p-dioxin and Dibenzofuran Concentrations inBeef Animals from a Feeding Study. J. Agric. Food Chem. 48,6163−6173. </w:t>
          </w:r>
        </w:p>
        <w:p w:rsidR="00B324D2" w:rsidRPr="0042717A" w:rsidRDefault="00B324D2" w:rsidP="00B324D2">
          <w:pPr>
            <w:pStyle w:val="RfrencesAcknoledgment"/>
            <w:rPr>
              <w:highlight w:val="yellow"/>
            </w:rPr>
          </w:pPr>
          <w:r w:rsidRPr="0042717A">
            <w:rPr>
              <w:highlight w:val="yellow"/>
            </w:rPr>
            <w:t>Fernandes, A.; Foxall, C.; Lovett, A.; Rose, M.; Dowding, A. 2011. The assimilation of dioxins and PCB in conventionally reared farm animals: occurrence and biotransfer factors. Chemosphere 83, 815-822, doi:10.1016/j.chemosphere.2011.02.083.</w:t>
          </w:r>
        </w:p>
        <w:p w:rsidR="00B324D2" w:rsidRPr="0042717A" w:rsidRDefault="00B324D2" w:rsidP="00B324D2">
          <w:pPr>
            <w:pStyle w:val="RfrencesAcknoledgment"/>
            <w:rPr>
              <w:highlight w:val="yellow"/>
            </w:rPr>
          </w:pPr>
          <w:r w:rsidRPr="0042717A">
            <w:rPr>
              <w:highlight w:val="yellow"/>
            </w:rPr>
            <w:t>Firestone, D., Clower Jr, M., Borsetti, A.P., Teske, R.H., Long, P.E. 1979. Polychlorodibenzo-p-dioxin and pentachlorophenol residues in milk and blood of cows fed technical pentachlorophenol. J. Agric. Food Chem. 27, 1171–1177.</w:t>
          </w:r>
        </w:p>
        <w:p w:rsidR="00B324D2" w:rsidRPr="0042717A" w:rsidRDefault="00B324D2" w:rsidP="00B324D2">
          <w:pPr>
            <w:pStyle w:val="RfrencesAcknoledgment"/>
            <w:rPr>
              <w:highlight w:val="yellow"/>
            </w:rPr>
          </w:pPr>
          <w:r w:rsidRPr="0042717A">
            <w:rPr>
              <w:highlight w:val="yellow"/>
            </w:rPr>
            <w:t xml:space="preserve">Fournier, A., Feidt, C., Marchand, Ph., Venisseau, A., Le Bizec, B., Seiller, N., Engel, E., Ratel, J., Travel, A., Jondreville, C. 2011. Kinetic study of </w:t>
          </w:r>
          <w:r w:rsidRPr="0042717A">
            <w:rPr>
              <w:highlight w:val="yellow"/>
            </w:rPr>
            <w:t> hexabromocyclododecane orally given to laying hens (Gallus domesticus). Environ. Sci. Poll. Res. 19, 440-447.</w:t>
          </w:r>
        </w:p>
        <w:p w:rsidR="00B324D2" w:rsidRPr="0042717A" w:rsidRDefault="00B324D2" w:rsidP="00B324D2">
          <w:pPr>
            <w:pStyle w:val="RfrencesAcknoledgment"/>
            <w:rPr>
              <w:highlight w:val="yellow"/>
            </w:rPr>
          </w:pPr>
          <w:r w:rsidRPr="0042717A">
            <w:rPr>
              <w:highlight w:val="yellow"/>
            </w:rPr>
            <w:t>Fournier, A., Rychen, G., Marchand, P., Toussaint, H., Le Bizec, B., Feidt, C. 2013. Polychlorinated biphenyl (PCB) decontamination kinetics in lactating goats (Capra hircus) following a contaminated corn silage exposure. J. Agric. Food Chem. 61, 7156–7164.</w:t>
          </w:r>
        </w:p>
        <w:p w:rsidR="00B324D2" w:rsidRPr="0042717A" w:rsidRDefault="00B324D2" w:rsidP="00B324D2">
          <w:pPr>
            <w:pStyle w:val="RfrencesAcknoledgment"/>
            <w:rPr>
              <w:highlight w:val="yellow"/>
            </w:rPr>
          </w:pPr>
          <w:r w:rsidRPr="0042717A">
            <w:rPr>
              <w:highlight w:val="yellow"/>
            </w:rPr>
            <w:t>Fries, G.F., Marrow, G.S. 1975. Excretion of polybrominated biphenyls into the milk of cows. J. Dairy Sci. 58, 947–951.</w:t>
          </w:r>
        </w:p>
        <w:p w:rsidR="00B324D2" w:rsidRPr="0042717A" w:rsidRDefault="00B324D2" w:rsidP="00B324D2">
          <w:pPr>
            <w:pStyle w:val="RfrencesAcknoledgment"/>
            <w:rPr>
              <w:highlight w:val="yellow"/>
            </w:rPr>
          </w:pPr>
          <w:r w:rsidRPr="0042717A">
            <w:rPr>
              <w:highlight w:val="yellow"/>
            </w:rPr>
            <w:t>Fries G.F., Marrow G.S., Snow P.A. 1982. Soil Ingestion by Dairy Cattle. J. Dairy Sci. 65, 611-618.</w:t>
          </w:r>
        </w:p>
        <w:p w:rsidR="00B324D2" w:rsidRPr="0042717A" w:rsidRDefault="00B324D2" w:rsidP="00B324D2">
          <w:pPr>
            <w:pStyle w:val="RfrencesAcknoledgment"/>
            <w:rPr>
              <w:highlight w:val="yellow"/>
            </w:rPr>
          </w:pPr>
          <w:r w:rsidRPr="0042717A">
            <w:rPr>
              <w:highlight w:val="yellow"/>
            </w:rPr>
            <w:t>Fries, G.F., Paustenbach, D.J., Mather, D.B., Luksenburg, W.J. 1999. A congener specific evaluation of the transfer of polychlorinated dibenzo-p-dioxins and dibenzofurans to milk of cows following ingestion of pentachlorophenol treated wood. Environ. Sci. Technol. 33, 1165-1170.</w:t>
          </w:r>
        </w:p>
        <w:p w:rsidR="00B324D2" w:rsidRPr="0042717A" w:rsidRDefault="00B324D2" w:rsidP="00B324D2">
          <w:pPr>
            <w:pStyle w:val="RfrencesAcknoledgment"/>
            <w:rPr>
              <w:highlight w:val="yellow"/>
            </w:rPr>
          </w:pPr>
          <w:r w:rsidRPr="0042717A">
            <w:rPr>
              <w:highlight w:val="yellow"/>
            </w:rPr>
            <w:t>Fries, G.F., Paustenbach, D.J., Luksenburg, W.J. 2002.  Complete mass balance of dietary polychlorinated dibenzo-p-dioxins and dibenzofurans in dairy cattle and characterization of the apparent synthesis of hepta- and octachlorodioxins. J. Agric. Food Chem 50, 4226-4231.</w:t>
          </w:r>
        </w:p>
        <w:p w:rsidR="00B324D2" w:rsidRPr="0042717A" w:rsidRDefault="00B324D2" w:rsidP="00B324D2">
          <w:pPr>
            <w:pStyle w:val="RfrencesAcknoledgment"/>
            <w:rPr>
              <w:highlight w:val="yellow"/>
            </w:rPr>
          </w:pPr>
          <w:r w:rsidRPr="0042717A">
            <w:rPr>
              <w:highlight w:val="yellow"/>
            </w:rPr>
            <w:t>Furusawa, N., Morita, Y. 2001. Residual profile of DDT in egg yolks of laying hens following an oral application. NZ J. Agric. Res. 44, 297–300.</w:t>
          </w:r>
        </w:p>
        <w:p w:rsidR="00B324D2" w:rsidRPr="0042717A" w:rsidRDefault="00B324D2" w:rsidP="00B324D2">
          <w:pPr>
            <w:pStyle w:val="RfrencesAcknoledgment"/>
            <w:rPr>
              <w:highlight w:val="yellow"/>
            </w:rPr>
          </w:pPr>
          <w:r w:rsidRPr="0042717A">
            <w:rPr>
              <w:highlight w:val="yellow"/>
            </w:rPr>
            <w:t>Gobas F.A.P.C., Kelly, B.C., Arnot, J.A. 2003. Quantitative structure activity relationships for predicting the bioaccumulation of POPs in terrestrial food webs. QSAR &amp; Combinatorial Science 22, 329-336.</w:t>
          </w:r>
        </w:p>
        <w:p w:rsidR="00B324D2" w:rsidRPr="0042717A" w:rsidRDefault="00B324D2" w:rsidP="00B324D2">
          <w:pPr>
            <w:pStyle w:val="RfrencesAcknoledgment"/>
            <w:rPr>
              <w:highlight w:val="yellow"/>
            </w:rPr>
          </w:pPr>
          <w:r w:rsidRPr="0042717A">
            <w:rPr>
              <w:highlight w:val="yellow"/>
            </w:rPr>
            <w:t>Healy W.B. 1968. Ingestion of soil by dairy cows. NZ. J. Agric. Res. 11, 487-499.</w:t>
          </w:r>
        </w:p>
        <w:p w:rsidR="00B324D2" w:rsidRPr="0042717A" w:rsidRDefault="00B324D2" w:rsidP="00B324D2">
          <w:pPr>
            <w:pStyle w:val="RfrencesAcknoledgment"/>
            <w:rPr>
              <w:highlight w:val="yellow"/>
            </w:rPr>
          </w:pPr>
          <w:r w:rsidRPr="0042717A">
            <w:rPr>
              <w:highlight w:val="yellow"/>
            </w:rPr>
            <w:t>Holford, N.H.G. 2012. Pharmacokinetics &amp; pharmacodynamics: rational dosing &amp; the time course of drug action, 11th ed, Basic &amp; clinical pharmacology. McGraw-Hill Medical, New York.</w:t>
          </w:r>
        </w:p>
        <w:p w:rsidR="00B324D2" w:rsidRPr="0042717A" w:rsidRDefault="00B324D2" w:rsidP="00B324D2">
          <w:pPr>
            <w:pStyle w:val="RfrencesAcknoledgment"/>
            <w:rPr>
              <w:highlight w:val="yellow"/>
            </w:rPr>
          </w:pPr>
          <w:r w:rsidRPr="0042717A">
            <w:rPr>
              <w:highlight w:val="yellow"/>
            </w:rPr>
            <w:t>Hoogenboom, L.A., Kan, C.A., Bovee, T.F., van der Weg, G., Onsteng, C., Traag, W.A. 2004. Residues of dioxins and PCBs in fat of growing pigs and broilers fed contaminated feed. Chemosphere 57, 35-42.</w:t>
          </w:r>
        </w:p>
        <w:p w:rsidR="00B324D2" w:rsidRPr="0042717A" w:rsidRDefault="00B324D2" w:rsidP="00B324D2">
          <w:pPr>
            <w:pStyle w:val="RfrencesAcknoledgment"/>
            <w:rPr>
              <w:highlight w:val="yellow"/>
            </w:rPr>
          </w:pPr>
          <w:r w:rsidRPr="0042717A">
            <w:rPr>
              <w:highlight w:val="yellow"/>
            </w:rPr>
            <w:t>Hoogenboom, L.A., Kan, C.A., Zeilmaker, M.J., van Eijkeren, J., Traag, W.A. 2006. Carry-over of dioxins and PCBs from feed and soil to eggs at low contamination levels – influence of mycotoxin binders on the carry-over from feed to eggs. Food Addit. Contam. 23, S18-S27.</w:t>
          </w:r>
        </w:p>
        <w:p w:rsidR="00B324D2" w:rsidRPr="0042717A" w:rsidRDefault="00B324D2" w:rsidP="00B324D2">
          <w:pPr>
            <w:pStyle w:val="RfrencesAcknoledgment"/>
            <w:rPr>
              <w:highlight w:val="yellow"/>
            </w:rPr>
          </w:pPr>
          <w:r w:rsidRPr="0042717A">
            <w:rPr>
              <w:highlight w:val="yellow"/>
            </w:rPr>
            <w:t>Hoogenboom, L.A., Klop, A., Herbes, R., van Eijkeren, J.C.H., Zeilmaker, M.J., van Vuuren, A.M., Traag, W.A., 2015 a. Carry-over of polychlorinated dibenzo-p-dioxins and dibenzofurans (PCDD/Fs) and polychlorinated biphenyls (PCBs) in dairy cows fed smoke contaminated maize silage or sugar beet pulp. Chemosphere 137, 214-220.</w:t>
          </w:r>
        </w:p>
        <w:p w:rsidR="00B324D2" w:rsidRPr="0042717A" w:rsidRDefault="00B324D2" w:rsidP="00B324D2">
          <w:pPr>
            <w:pStyle w:val="RfrencesAcknoledgment"/>
            <w:rPr>
              <w:highlight w:val="yellow"/>
            </w:rPr>
          </w:pPr>
          <w:r w:rsidRPr="0042717A">
            <w:rPr>
              <w:highlight w:val="yellow"/>
            </w:rPr>
            <w:t>Hoogenboom, R.L.A.P.; Stark, M.L.; Spolders, M.; Zeilmaker, M.J.; Traag, W.A.; ten Dam, G.; Schafft, H.A. 2015 (b). Accumulation of polychlorinated dibenzo-p-dioxins, dibenzofurans, and biphenyls in livers of young sheep. Chemosphere, 122, 137–144, doi:10.1016/j.chemosphere.2014.11.030.</w:t>
          </w:r>
        </w:p>
        <w:p w:rsidR="00B324D2" w:rsidRPr="0042717A" w:rsidRDefault="00B324D2" w:rsidP="00B324D2">
          <w:pPr>
            <w:pStyle w:val="RfrencesAcknoledgment"/>
            <w:rPr>
              <w:highlight w:val="yellow"/>
            </w:rPr>
          </w:pPr>
          <w:r w:rsidRPr="0042717A">
            <w:rPr>
              <w:highlight w:val="yellow"/>
            </w:rPr>
            <w:t>Huwe, J.K., Smith, D.J. 2005. Laboratory and on-farm studies on the bioaccumulation and elimination of dioxins from a contaminated mineral supplement fed to dairy cows. J. Agric. Food Chem. 53, 2362-2370.</w:t>
          </w:r>
        </w:p>
        <w:p w:rsidR="00B324D2" w:rsidRPr="0042717A" w:rsidRDefault="00B324D2" w:rsidP="00B324D2">
          <w:pPr>
            <w:pStyle w:val="RfrencesAcknoledgment"/>
            <w:rPr>
              <w:highlight w:val="yellow"/>
            </w:rPr>
          </w:pPr>
          <w:r w:rsidRPr="0042717A">
            <w:rPr>
              <w:highlight w:val="yellow"/>
            </w:rPr>
            <w:t xml:space="preserve">Jolliffe, I., Penny, K. 2002. Comparison of multivariate outlier detection methods - Authors response. J. Royal Statistics Soc. – Series D The Statistician 51, 396-397. </w:t>
          </w:r>
        </w:p>
        <w:p w:rsidR="00B324D2" w:rsidRPr="0042717A" w:rsidRDefault="00B324D2" w:rsidP="00B324D2">
          <w:pPr>
            <w:pStyle w:val="RfrencesAcknoledgment"/>
            <w:rPr>
              <w:highlight w:val="yellow"/>
            </w:rPr>
          </w:pPr>
          <w:r w:rsidRPr="0042717A">
            <w:rPr>
              <w:highlight w:val="yellow"/>
            </w:rPr>
            <w:t>Jondreville C., Travel A., Besnard J., Feidt C. 2010. Intake of herbage and soil by free-range laying hens offered a complete diet compared to a whole-wheat diet. XIIIth European Poultry Conference, Tours, France, 23-27 August.</w:t>
          </w:r>
        </w:p>
        <w:p w:rsidR="00B324D2" w:rsidRPr="0042717A" w:rsidRDefault="00B324D2" w:rsidP="00B324D2">
          <w:pPr>
            <w:pStyle w:val="RfrencesAcknoledgment"/>
            <w:rPr>
              <w:highlight w:val="yellow"/>
            </w:rPr>
          </w:pPr>
          <w:r w:rsidRPr="0042717A">
            <w:rPr>
              <w:highlight w:val="yellow"/>
            </w:rPr>
            <w:t xml:space="preserve">Jones, K.C., Stratford, J.A., Tidridge, P., Waterhouse, K.S., Johnston, A.E. 1989. Polynuclear aromatic hydrocarbons in an agricultural soil: Long-term changes in profile distribution. Environ. Poll. 56, 337–351. </w:t>
          </w:r>
        </w:p>
        <w:p w:rsidR="00B324D2" w:rsidRPr="0042717A" w:rsidRDefault="00B324D2" w:rsidP="00B324D2">
          <w:pPr>
            <w:pStyle w:val="RfrencesAcknoledgment"/>
            <w:rPr>
              <w:highlight w:val="yellow"/>
            </w:rPr>
          </w:pPr>
          <w:r w:rsidRPr="0042717A">
            <w:rPr>
              <w:highlight w:val="yellow"/>
            </w:rPr>
            <w:t>Jurjanz S., Feidt C., Pérez-Prieto L.A., Ribeiro Filho H.M.N., Rychen G., Delagarde R. 2012. Soil intake of lactating dairy cows in intensive strip-grazing systems. Animal 6, 1350-1359.</w:t>
          </w:r>
        </w:p>
        <w:p w:rsidR="00B324D2" w:rsidRPr="0042717A" w:rsidRDefault="00B324D2" w:rsidP="00B324D2">
          <w:pPr>
            <w:pStyle w:val="RfrencesAcknoledgment"/>
            <w:rPr>
              <w:highlight w:val="yellow"/>
            </w:rPr>
          </w:pPr>
          <w:r w:rsidRPr="0042717A">
            <w:rPr>
              <w:highlight w:val="yellow"/>
            </w:rPr>
            <w:t>Kaewkot, C., Ruangsuriya, J., Kreuzer, M., Jaturasitha, S. 2020. Carcass and meat quality of crossbreds of Thai indigenous chickens and Rhode Island Red layer chickens as compared with the purebreds and with broilers. Animal Prod. Sci. 60, 454-463.</w:t>
          </w:r>
        </w:p>
        <w:p w:rsidR="00B324D2" w:rsidRPr="0042717A" w:rsidRDefault="00B324D2" w:rsidP="00B324D2">
          <w:pPr>
            <w:pStyle w:val="RfrencesAcknoledgment"/>
            <w:rPr>
              <w:highlight w:val="yellow"/>
            </w:rPr>
          </w:pPr>
          <w:r w:rsidRPr="0042717A">
            <w:rPr>
              <w:highlight w:val="yellow"/>
            </w:rPr>
            <w:t>Kaewmanee, T., Benjakul, S., Visessanguan, W. 2009. Changes in chemical composition, physical properties and microstructure of duck egg as influenced by salting. Food Chem. 112, 560-569.</w:t>
          </w:r>
        </w:p>
        <w:p w:rsidR="00B324D2" w:rsidRPr="0042717A" w:rsidRDefault="00B324D2" w:rsidP="00B324D2">
          <w:pPr>
            <w:pStyle w:val="RfrencesAcknoledgment"/>
            <w:rPr>
              <w:rFonts w:eastAsia="Arial"/>
              <w:highlight w:val="yellow"/>
            </w:rPr>
          </w:pPr>
          <w:r w:rsidRPr="0042717A">
            <w:rPr>
              <w:highlight w:val="yellow"/>
            </w:rPr>
            <w:t xml:space="preserve">Kelly, B.C., Gobas, F.A.P.C., McLachlan, M.S. 2004. Intestinal absorption and biomagnification of organic contaminants in fish, wildlife, and humans. </w:t>
          </w:r>
          <w:r w:rsidRPr="0042717A">
            <w:rPr>
              <w:rFonts w:eastAsia="Arial"/>
              <w:highlight w:val="yellow"/>
            </w:rPr>
            <w:t>Environ. Toxic. Chem. 23, 2324–2336.</w:t>
          </w:r>
        </w:p>
        <w:p w:rsidR="00B324D2" w:rsidRPr="0042717A" w:rsidRDefault="00B324D2" w:rsidP="00B324D2">
          <w:pPr>
            <w:pStyle w:val="RfrencesAcknoledgment"/>
            <w:rPr>
              <w:highlight w:val="yellow"/>
            </w:rPr>
          </w:pPr>
          <w:r w:rsidRPr="0042717A">
            <w:rPr>
              <w:highlight w:val="yellow"/>
            </w:rPr>
            <w:t>Kerst, M., Waller, U., Reifenhäuser, W., Körner, W. 2004. Carry-over rates of dioxin-like PCB from grass to cow’s milk. Organohalogen. Comp. 66, 2412-2415.</w:t>
          </w:r>
        </w:p>
        <w:p w:rsidR="00B324D2" w:rsidRPr="0042717A" w:rsidRDefault="00B324D2" w:rsidP="00B324D2">
          <w:pPr>
            <w:pStyle w:val="RfrencesAcknoledgment"/>
            <w:rPr>
              <w:highlight w:val="yellow"/>
            </w:rPr>
          </w:pPr>
          <w:r w:rsidRPr="0042717A">
            <w:rPr>
              <w:highlight w:val="yellow"/>
            </w:rPr>
            <w:t>Kierkegaard, A., Asplund, L., de Wit, C.A., McLachlan, M.S., Thomas, G.O., Sweetman, A.J., Jones, K.C. 2007. Fate of higher brominated PBDEs in dairy cows. Environ. Sci. Technol. 41, 417-423.</w:t>
          </w:r>
        </w:p>
        <w:p w:rsidR="00B324D2" w:rsidRPr="0042717A" w:rsidRDefault="00B324D2" w:rsidP="00B324D2">
          <w:pPr>
            <w:pStyle w:val="RfrencesAcknoledgment"/>
            <w:rPr>
              <w:highlight w:val="yellow"/>
            </w:rPr>
          </w:pPr>
          <w:r w:rsidRPr="0042717A">
            <w:rPr>
              <w:highlight w:val="yellow"/>
            </w:rPr>
            <w:t>Kierkegaard, A., de Wit, C.A., Asplund, L., McLachlan, M.S., Thomas, G.O., Sweetman, A.J., Jones, K.C. 2009. A mass balance of tri-hexabrominated diphenyl ethers in lactating cows. Environ. Sci. Technol. 43, 2602-2607.</w:t>
          </w:r>
        </w:p>
        <w:p w:rsidR="00B324D2" w:rsidRPr="0042717A" w:rsidRDefault="00B324D2" w:rsidP="00B324D2">
          <w:pPr>
            <w:pStyle w:val="RfrencesAcknoledgment"/>
            <w:rPr>
              <w:highlight w:val="yellow"/>
            </w:rPr>
          </w:pPr>
          <w:r w:rsidRPr="0042717A">
            <w:rPr>
              <w:highlight w:val="yellow"/>
            </w:rPr>
            <w:t>Kohli J., Wyndham, C., Smylie, M., Safe, S. 1978. Metabolism of bromobiphenyls. Biochem. Pharm. 27, 1245-1249.</w:t>
          </w:r>
        </w:p>
        <w:p w:rsidR="00B324D2" w:rsidRPr="0042717A" w:rsidRDefault="00B324D2" w:rsidP="00B324D2">
          <w:pPr>
            <w:pStyle w:val="RfrencesAcknoledgment"/>
            <w:rPr>
              <w:highlight w:val="yellow"/>
            </w:rPr>
          </w:pPr>
          <w:r w:rsidRPr="0042717A">
            <w:rPr>
              <w:highlight w:val="yellow"/>
            </w:rPr>
            <w:t>Kuroki, J., Nobuyuki K., Hidetoshi Y. 1986. High Affinity of 2,3,4,7,8-Pentachlorodibenzofuran to Cytochrome P-450 in the Hepatic Microsomes of Rats. Chemosphere 15, 731</w:t>
          </w:r>
          <w:r w:rsidRPr="0042717A">
            <w:rPr>
              <w:highlight w:val="yellow"/>
            </w:rPr>
            <w:noBreakHyphen/>
            <w:t>38.</w:t>
          </w:r>
        </w:p>
        <w:p w:rsidR="00B324D2" w:rsidRPr="0042717A" w:rsidRDefault="00B324D2" w:rsidP="00B324D2">
          <w:pPr>
            <w:pStyle w:val="RfrencesAcknoledgment"/>
            <w:rPr>
              <w:highlight w:val="yellow"/>
            </w:rPr>
          </w:pPr>
          <w:r w:rsidRPr="0042717A">
            <w:rPr>
              <w:highlight w:val="yellow"/>
            </w:rPr>
            <w:t xml:space="preserve">Lorenzi, V., Angelone, B., Ferretti, E., Galli, A., Tonoli, M., Donati, M., Fusi, F., Zanardi, G., Ghidini, S., Bertocchi, L. 2020. PCDD/Fs, DL-PCBs and NDF-PCBs, in Dairy Cows: Carryover in Milk from a Controlled Feeding Study. J. Agric. Food Chem. https://dx.doi.org/10.1021/acs.jafc.9b08180. </w:t>
          </w:r>
        </w:p>
        <w:p w:rsidR="00B324D2" w:rsidRPr="0042717A" w:rsidRDefault="00B324D2" w:rsidP="00B324D2">
          <w:pPr>
            <w:pStyle w:val="RfrencesAcknoledgment"/>
            <w:rPr>
              <w:highlight w:val="yellow"/>
            </w:rPr>
          </w:pPr>
          <w:r w:rsidRPr="0042717A">
            <w:rPr>
              <w:highlight w:val="yellow"/>
            </w:rPr>
            <w:t>Lutz, R.J., Dedrick, R.L., Matthews, H.B., Eling, T.E., Anderson, M.W. 1977. Preliminary pharmacokinetic model for several chlorinated biphenyls in rat. Drug Metabolism Disposition 5, 386-396.</w:t>
          </w:r>
        </w:p>
        <w:p w:rsidR="00B324D2" w:rsidRPr="0042717A" w:rsidRDefault="00B324D2" w:rsidP="00B324D2">
          <w:pPr>
            <w:pStyle w:val="RfrencesAcknoledgment"/>
            <w:rPr>
              <w:highlight w:val="yellow"/>
            </w:rPr>
          </w:pPr>
          <w:r w:rsidRPr="0042717A">
            <w:rPr>
              <w:highlight w:val="yellow"/>
            </w:rPr>
            <w:t xml:space="preserve">Malisch, R. 2000. Increase of the PCDD/PCDF-contamination of milk, butter and meat samples by the use of contaminated citrus pulp. Chemosphere 40, 1041-1053. </w:t>
          </w:r>
        </w:p>
        <w:p w:rsidR="00B324D2" w:rsidRPr="0042717A" w:rsidRDefault="00B324D2" w:rsidP="00B324D2">
          <w:pPr>
            <w:pStyle w:val="RfrencesAcknoledgment"/>
            <w:rPr>
              <w:highlight w:val="yellow"/>
            </w:rPr>
          </w:pPr>
          <w:r w:rsidRPr="0042717A">
            <w:rPr>
              <w:highlight w:val="yellow"/>
            </w:rPr>
            <w:t>Matthews, H.B., Dedrick, R.L. 1984. Pharmacokinetics of PCBs. Annual Review Pharm. Toxic. 24, 85-103.</w:t>
          </w:r>
        </w:p>
        <w:p w:rsidR="00B324D2" w:rsidRPr="0042717A" w:rsidRDefault="00B324D2" w:rsidP="00B324D2">
          <w:pPr>
            <w:pStyle w:val="RfrencesAcknoledgment"/>
            <w:rPr>
              <w:highlight w:val="yellow"/>
            </w:rPr>
          </w:pPr>
          <w:r w:rsidRPr="0042717A">
            <w:rPr>
              <w:highlight w:val="yellow"/>
            </w:rPr>
            <w:t>McLachlan, M.S., Thoma, H., Reissinger, M., Hutzinger, O. 1990. PCDD/F in an agricultural food chain Part 1: PCDD/F mass balance of a lactating cow. Chemosphere 20, 1013–1020.</w:t>
          </w:r>
        </w:p>
        <w:p w:rsidR="00B324D2" w:rsidRPr="0042717A" w:rsidRDefault="00B324D2" w:rsidP="00B324D2">
          <w:pPr>
            <w:pStyle w:val="RfrencesAcknoledgment"/>
            <w:rPr>
              <w:highlight w:val="yellow"/>
            </w:rPr>
          </w:pPr>
          <w:r w:rsidRPr="0042717A">
            <w:rPr>
              <w:highlight w:val="yellow"/>
            </w:rPr>
            <w:t xml:space="preserve">McLachlan, M.S. 1993. Digestive tract absorption of polychlorinated dibenzo-p-dioxins, dibenzofurans, and biphenyls in a nursing infant. Toxic. Applied Pharmacology 123, 68-72.  </w:t>
          </w:r>
        </w:p>
        <w:p w:rsidR="00B324D2" w:rsidRPr="0042717A" w:rsidRDefault="00B324D2" w:rsidP="00B324D2">
          <w:pPr>
            <w:pStyle w:val="RfrencesAcknoledgment"/>
            <w:rPr>
              <w:highlight w:val="yellow"/>
            </w:rPr>
          </w:pPr>
          <w:r w:rsidRPr="0042717A">
            <w:rPr>
              <w:highlight w:val="yellow"/>
            </w:rPr>
            <w:t>Morck, A., Hakk, H., Orn, U., Wehler, E.K. 2003. Decabromodiphenyl ether in the rat: absorption, distribution, metabolism, and excretion. Drug Metab. Dispos. 31, 900-907.</w:t>
          </w:r>
        </w:p>
        <w:p w:rsidR="00B324D2" w:rsidRPr="0042717A" w:rsidRDefault="00B324D2" w:rsidP="00B324D2">
          <w:pPr>
            <w:pStyle w:val="RfrencesAcknoledgment"/>
            <w:rPr>
              <w:highlight w:val="yellow"/>
            </w:rPr>
          </w:pPr>
          <w:r w:rsidRPr="0042717A">
            <w:rPr>
              <w:highlight w:val="yellow"/>
            </w:rPr>
            <w:t>Ohtake, F., Baba, A., Takada, I., Okada, M., Iwasaki, K., Miki, H., Takahashi, S., Kouzmenko, A., Nohara, K., Chiba, T., Fujii-Kuriyama, Y., Kato, S. 2007. Dioxin receptor is a ligand-dependent E3 ubiquitin ligase. Nature 446, 562–566.</w:t>
          </w:r>
        </w:p>
        <w:p w:rsidR="00B324D2" w:rsidRPr="0042717A" w:rsidRDefault="00B324D2" w:rsidP="00B324D2">
          <w:pPr>
            <w:pStyle w:val="RfrencesAcknoledgment"/>
            <w:rPr>
              <w:highlight w:val="yellow"/>
            </w:rPr>
          </w:pPr>
          <w:r w:rsidRPr="0042717A">
            <w:rPr>
              <w:highlight w:val="yellow"/>
            </w:rPr>
            <w:t>Olling, M., Derks, H.J.G.M., Berende, P.L.M., Liem, A.K.D., DeJong, A.P.J.M. 1991. Toxicokinetics of 8 C13-labeled polychlorinated dibenzo-p-dioxins and 13 dibenzo-p-furans in lactating cows. Chemosphere 23, 1377-1385.</w:t>
          </w:r>
        </w:p>
        <w:p w:rsidR="00B324D2" w:rsidRPr="0042717A" w:rsidRDefault="00B324D2" w:rsidP="00B324D2">
          <w:pPr>
            <w:pStyle w:val="RfrencesAcknoledgment"/>
            <w:rPr>
              <w:highlight w:val="yellow"/>
            </w:rPr>
          </w:pPr>
          <w:r w:rsidRPr="0042717A">
            <w:rPr>
              <w:highlight w:val="yellow"/>
            </w:rPr>
            <w:t xml:space="preserve">Ounnas, F., Feidt, C., Toussaint, H., Marchand, Ph., Le Bizec, B., Rychen G., Jurjanz, S. 2010. Polychlorinated biphenyl and low polybrominated dephenyl ether transfer to milk in lactating goats chronically exposed to contaminated soil. Environ. Sci. Technol. 44, 2682-2688.  </w:t>
          </w:r>
        </w:p>
        <w:p w:rsidR="00B324D2" w:rsidRPr="0042717A" w:rsidRDefault="00B324D2" w:rsidP="00B324D2">
          <w:pPr>
            <w:pStyle w:val="RfrencesAcknoledgment"/>
            <w:rPr>
              <w:highlight w:val="yellow"/>
            </w:rPr>
          </w:pPr>
          <w:r w:rsidRPr="0042717A">
            <w:rPr>
              <w:highlight w:val="yellow"/>
            </w:rPr>
            <w:t>Parera, J., Abalos, M., Perez-Vendrell, A.M., Brufau, J., de Juan, F., Escribano, F., Abad, E., Rivera, J. 2008. Occurrence and bioaccumulation study of PCDD and PCDF from mineral feed additives. Chemosphere 73, S252-S260.</w:t>
          </w:r>
        </w:p>
        <w:p w:rsidR="00B324D2" w:rsidRPr="0042717A" w:rsidRDefault="00B324D2" w:rsidP="00B324D2">
          <w:pPr>
            <w:pStyle w:val="RfrencesAcknoledgment"/>
            <w:rPr>
              <w:highlight w:val="yellow"/>
            </w:rPr>
          </w:pPr>
          <w:r w:rsidRPr="0042717A">
            <w:rPr>
              <w:highlight w:val="yellow"/>
            </w:rPr>
            <w:t xml:space="preserve">Pan, J., Gai, N., Tang, H., Chen, S., Chen, D., Lu, G., Yang, Y. 2014. Organochlorine pesticides and polychlorinated biphenyls in grass, yak muscle, liver and milk in Ruoergai high altitude prairie, the eastern edge of Qinghai-Tibet plateau. Sci. Tot. Environ. 491-492, 131-137. </w:t>
          </w:r>
        </w:p>
        <w:p w:rsidR="00B324D2" w:rsidRPr="0042717A" w:rsidRDefault="00B324D2" w:rsidP="00B324D2">
          <w:pPr>
            <w:pStyle w:val="RfrencesAcknoledgment"/>
            <w:rPr>
              <w:highlight w:val="yellow"/>
            </w:rPr>
          </w:pPr>
          <w:r w:rsidRPr="0042717A">
            <w:rPr>
              <w:highlight w:val="yellow"/>
            </w:rPr>
            <w:t>Petreas, M., Goldman, L.R., Hayward, D.G., Chang, R.R., Flattery, J.J., Wiesmuller, T., Stephens R.D., Fry, D.M., Rappe, C., Bergek S., Hjelt, M. 1991. Biotransfer and bioaccumulation of PCDD PCDFs from soil – controlled exposure studies of chickens. Chemosphere 23, 1731-1741.</w:t>
          </w:r>
        </w:p>
        <w:p w:rsidR="00B324D2" w:rsidRPr="0042717A" w:rsidRDefault="00B324D2" w:rsidP="00B324D2">
          <w:pPr>
            <w:pStyle w:val="RfrencesAcknoledgment"/>
            <w:rPr>
              <w:highlight w:val="yellow"/>
            </w:rPr>
          </w:pPr>
          <w:r w:rsidRPr="0042717A">
            <w:rPr>
              <w:highlight w:val="yellow"/>
            </w:rPr>
            <w:t>Pirard, C., De Pauw, E. 2005. Uptake of polychlorodibenzo-p-dioxins, polychlorodibenzofurans and coplanar polychlorobiphenyls in chickens. Environ. Int. 31, 585-591.</w:t>
          </w:r>
        </w:p>
        <w:p w:rsidR="00B324D2" w:rsidRPr="0042717A" w:rsidRDefault="00B324D2" w:rsidP="00B324D2">
          <w:pPr>
            <w:pStyle w:val="RfrencesAcknoledgment"/>
            <w:rPr>
              <w:highlight w:val="yellow"/>
            </w:rPr>
          </w:pPr>
          <w:r w:rsidRPr="0042717A">
            <w:rPr>
              <w:highlight w:val="yellow"/>
            </w:rPr>
            <w:t xml:space="preserve">Pirard, C,. De Pauw, E. 2006. Toxicokinetic study of dioxins and furans in laying chickens. Environment international, 32, 466-469, doi:10.1016/j.envint.2005.10.005. </w:t>
          </w:r>
        </w:p>
        <w:p w:rsidR="00B324D2" w:rsidRPr="0042717A" w:rsidRDefault="00B324D2" w:rsidP="00B324D2">
          <w:pPr>
            <w:pStyle w:val="RfrencesAcknoledgment"/>
            <w:rPr>
              <w:highlight w:val="yellow"/>
            </w:rPr>
          </w:pPr>
          <w:r w:rsidRPr="0042717A">
            <w:rPr>
              <w:highlight w:val="yellow"/>
            </w:rPr>
            <w:t>Piskorska-Pliszczynska, J., Mikolajczyk, S., Warenik-Bany, M., Maszewski, S., Strucinski, P. 2014. Soil as a source of dioxin contamination in eggs from free-range hens on a Polish farm. Sci. Tot. Environ. 466-467, 447-454.</w:t>
          </w:r>
        </w:p>
        <w:p w:rsidR="00B324D2" w:rsidRPr="0042717A" w:rsidRDefault="00B324D2" w:rsidP="00B324D2">
          <w:pPr>
            <w:pStyle w:val="RfrencesAcknoledgment"/>
            <w:rPr>
              <w:highlight w:val="yellow"/>
            </w:rPr>
          </w:pPr>
          <w:r w:rsidRPr="0042717A">
            <w:rPr>
              <w:highlight w:val="yellow"/>
            </w:rPr>
            <w:t>Richter, W., McLachlan, M.S. 2001. Uptake and transfer of PCDD/Fs by cattle fed naturally contaminated feedstuffs and feed contaminated as a result of sewage sludge application. 2. Non lactating cows. J. Agric. Food Chem. 49, 5857-5865.</w:t>
          </w:r>
        </w:p>
        <w:p w:rsidR="00B324D2" w:rsidRPr="0042717A" w:rsidRDefault="00B324D2" w:rsidP="00B324D2">
          <w:pPr>
            <w:pStyle w:val="RfrencesAcknoledgment"/>
            <w:rPr>
              <w:highlight w:val="yellow"/>
            </w:rPr>
          </w:pPr>
          <w:r w:rsidRPr="0042717A">
            <w:rPr>
              <w:highlight w:val="yellow"/>
            </w:rPr>
            <w:t>Rose, M., Fernandes, A., Foxall, C., Dowding, A. 2012. Transfer and uptake of polychlorinated dibenzo-p-dioxins and furans (PCDD/Fs) and polychlorinated biphenyls (PCBs) into meat and organs of indoor and outdoor reared pigs. Food Additives and Contaminants 29, 431-448.</w:t>
          </w:r>
        </w:p>
        <w:p w:rsidR="00B324D2" w:rsidRPr="0042717A" w:rsidRDefault="00B324D2" w:rsidP="00B324D2">
          <w:pPr>
            <w:pStyle w:val="RfrencesAcknoledgment"/>
            <w:rPr>
              <w:rFonts w:eastAsia="Arial"/>
              <w:highlight w:val="yellow"/>
            </w:rPr>
          </w:pPr>
          <w:r w:rsidRPr="0042717A">
            <w:rPr>
              <w:rFonts w:eastAsia="Arial"/>
              <w:highlight w:val="yellow"/>
            </w:rPr>
            <w:t>Sanford, P. 1992.Physiological Principles in Medicine: Digestive System Physiology. Edward Arnold, London, UK.</w:t>
          </w:r>
        </w:p>
        <w:p w:rsidR="00B324D2" w:rsidRPr="0042717A" w:rsidRDefault="00B324D2" w:rsidP="00B324D2">
          <w:pPr>
            <w:pStyle w:val="RfrencesAcknoledgment"/>
            <w:rPr>
              <w:rFonts w:eastAsia="Arial"/>
              <w:highlight w:val="yellow"/>
            </w:rPr>
          </w:pPr>
          <w:r w:rsidRPr="0042717A">
            <w:rPr>
              <w:rFonts w:eastAsia="Arial"/>
              <w:highlight w:val="yellow"/>
            </w:rPr>
            <w:t>Schuler, F., Schmid, P., Schlatter C. 1997. Transfer of airborne polychlorinated dibenzo-p-dioxins and dibenzofurans into dairy milk. J. Agric. Food. Chem. 45, 4162-4167.</w:t>
          </w:r>
        </w:p>
        <w:p w:rsidR="00B324D2" w:rsidRPr="0042717A" w:rsidRDefault="00B324D2" w:rsidP="00B324D2">
          <w:pPr>
            <w:pStyle w:val="RfrencesAcknoledgment"/>
            <w:rPr>
              <w:highlight w:val="yellow"/>
            </w:rPr>
          </w:pPr>
          <w:r w:rsidRPr="0042717A">
            <w:rPr>
              <w:rFonts w:eastAsia="Arial"/>
              <w:highlight w:val="yellow"/>
            </w:rPr>
            <w:t>Shih, S.J., Wang, IC, Wu, K.Y., Li, H.W., Wang, L.C., Chang-Chien, G.P. 2009. Uptake of polychlorinated dibenzo-p-dioxins and dibenzofurans in laying ducks. J. Environ. Sci. Health – Series A Toxic Hazardous Subst. and Environ Engin. 44, 799-807.</w:t>
          </w:r>
        </w:p>
        <w:p w:rsidR="00B324D2" w:rsidRPr="0042717A" w:rsidRDefault="00B324D2" w:rsidP="00B324D2">
          <w:pPr>
            <w:pStyle w:val="RfrencesAcknoledgment"/>
            <w:rPr>
              <w:highlight w:val="yellow"/>
            </w:rPr>
          </w:pPr>
          <w:r w:rsidRPr="0042717A">
            <w:rPr>
              <w:highlight w:val="yellow"/>
            </w:rPr>
            <w:t>Shen, H.; Henkelman, B.; Rambeck, W.; Mayer, R.; Wehr, U.; Schramm, K. 2012. Physiologically based persistent organic pollutant accumulation in pig tissues and their edible safety differences: an in vivo study. Food Chemistry, 132, 1830-1835..</w:t>
          </w:r>
        </w:p>
        <w:p w:rsidR="00B324D2" w:rsidRPr="0042717A" w:rsidRDefault="00B324D2" w:rsidP="00B324D2">
          <w:pPr>
            <w:pStyle w:val="RfrencesAcknoledgment"/>
            <w:rPr>
              <w:highlight w:val="yellow"/>
            </w:rPr>
          </w:pPr>
          <w:r w:rsidRPr="0042717A">
            <w:rPr>
              <w:highlight w:val="yellow"/>
            </w:rPr>
            <w:t>Slob, W., Olling, M., Derks, H.J.G.M., De Jong, A.J.P.M., 1995. Congener-specific bioavailability of PCDD/F and coplanar PCBs in cows: laboratory and field measurements. Chemosphere 31, 3827-3838.</w:t>
          </w:r>
        </w:p>
        <w:p w:rsidR="00B324D2" w:rsidRPr="0042717A" w:rsidRDefault="00B324D2" w:rsidP="00B324D2">
          <w:pPr>
            <w:pStyle w:val="RfrencesAcknoledgment"/>
            <w:rPr>
              <w:highlight w:val="yellow"/>
            </w:rPr>
          </w:pPr>
          <w:r w:rsidRPr="0042717A">
            <w:rPr>
              <w:highlight w:val="yellow"/>
            </w:rPr>
            <w:t>Soine, P.J., Blanke, R.V., Guzellian, P.S., Schwartz, C.C. 1982. Preferential binding of chlordecone to the protein and high-density lipoprotein fractions of plasma from Humans and other species. J. Toxic. Environm. Health 9, 107-118.</w:t>
          </w:r>
        </w:p>
        <w:p w:rsidR="00B324D2" w:rsidRPr="0042717A" w:rsidRDefault="00B324D2" w:rsidP="00B324D2">
          <w:pPr>
            <w:pStyle w:val="RfrencesAcknoledgment"/>
            <w:rPr>
              <w:highlight w:val="yellow"/>
            </w:rPr>
          </w:pPr>
          <w:r w:rsidRPr="0042717A">
            <w:rPr>
              <w:highlight w:val="yellow"/>
            </w:rPr>
            <w:t>Spitaler, M.; Iben, C.; Tausch, H. 2005. Dioxin residues in the edible tissue of finishing pigs after dioxin feeding. Journal of animal physiology and animal nutrition, 89, 65-71.</w:t>
          </w:r>
        </w:p>
        <w:p w:rsidR="00B324D2" w:rsidRPr="0042717A" w:rsidRDefault="00B324D2" w:rsidP="00B324D2">
          <w:pPr>
            <w:pStyle w:val="RfrencesAcknoledgment"/>
            <w:rPr>
              <w:highlight w:val="yellow"/>
            </w:rPr>
          </w:pPr>
          <w:r w:rsidRPr="0042717A">
            <w:rPr>
              <w:highlight w:val="yellow"/>
            </w:rPr>
            <w:t>Stapelton, H.M., Alaee, M., Letcher, R.J., Baker, J.E. 2004. Debromination of the flame retardant decabromodiphenyl ether by juvenile carp (Cyprinus carpio) following dietary exposure. Environ. Sci. Technol. 38, 112-119.</w:t>
          </w:r>
        </w:p>
        <w:p w:rsidR="00B324D2" w:rsidRPr="0042717A" w:rsidRDefault="00B324D2" w:rsidP="00B324D2">
          <w:pPr>
            <w:pStyle w:val="RfrencesAcknoledgment"/>
            <w:rPr>
              <w:highlight w:val="yellow"/>
            </w:rPr>
          </w:pPr>
          <w:r w:rsidRPr="0042717A">
            <w:rPr>
              <w:highlight w:val="yellow"/>
            </w:rPr>
            <w:t>Stevens, J.B., Gerbec, E.N., 1988. Dioxin in the Agricultural Food Chain. Risk Analysis 8, 329–335.</w:t>
          </w:r>
        </w:p>
        <w:p w:rsidR="00B324D2" w:rsidRPr="0042717A" w:rsidRDefault="00B324D2" w:rsidP="00B324D2">
          <w:pPr>
            <w:pStyle w:val="RfrencesAcknoledgment"/>
            <w:rPr>
              <w:highlight w:val="yellow"/>
            </w:rPr>
          </w:pPr>
          <w:r w:rsidRPr="0042717A">
            <w:rPr>
              <w:highlight w:val="yellow"/>
            </w:rPr>
            <w:t xml:space="preserve">Tao, S., Liu, W.X., Li, X.Q., Zhou, D.X., Li, X., Yang, Y.F., Yue, D.P., Coveney, R.M. 2009. Organochlorine pesticide residuals in chickens and eggs at a poultry farm in Beijing, China. Environ. Poll. 157, 497-502. </w:t>
          </w:r>
        </w:p>
        <w:p w:rsidR="00B324D2" w:rsidRPr="0042717A" w:rsidRDefault="00B324D2" w:rsidP="00B324D2">
          <w:pPr>
            <w:pStyle w:val="RfrencesAcknoledgment"/>
            <w:rPr>
              <w:highlight w:val="yellow"/>
            </w:rPr>
          </w:pPr>
          <w:r w:rsidRPr="0042717A">
            <w:rPr>
              <w:highlight w:val="yellow"/>
            </w:rPr>
            <w:t>Thomas, G.O., Sweetman, A.J., Jones, K.C. 1999. Metabolism and body-burden of PCBs in lactating dairy cows. Chemosphere 39, 1533-1544.</w:t>
          </w:r>
        </w:p>
        <w:p w:rsidR="00B324D2" w:rsidRPr="0042717A" w:rsidRDefault="00B324D2" w:rsidP="00B324D2">
          <w:pPr>
            <w:pStyle w:val="RfrencesAcknoledgment"/>
            <w:rPr>
              <w:highlight w:val="yellow"/>
            </w:rPr>
          </w:pPr>
          <w:r w:rsidRPr="0042717A">
            <w:rPr>
              <w:highlight w:val="yellow"/>
            </w:rPr>
            <w:t xml:space="preserve">Thorpe, S., Kelly, M.; Startin, J.; Harrison, N.; Rose, M. 2001. Concentration changes for 5 PCDD/F congeners after administration in beef cattle. Chemosphere, 43, 869-879. </w:t>
          </w:r>
        </w:p>
        <w:p w:rsidR="00B324D2" w:rsidRPr="0042717A" w:rsidRDefault="00B324D2" w:rsidP="00B324D2">
          <w:pPr>
            <w:pStyle w:val="RfrencesAcknoledgment"/>
            <w:rPr>
              <w:highlight w:val="yellow"/>
            </w:rPr>
          </w:pPr>
          <w:r w:rsidRPr="0042717A">
            <w:rPr>
              <w:highlight w:val="yellow"/>
            </w:rPr>
            <w:t>Traag, W.; Kan, K.; Zeilmaker, M.; Hoogerbrugge, R.; van Eijkeren, J. 2004 Carry-over of dioxins and PCBs from feed and soil to eggs at low contamination levels, 77</w:t>
          </w:r>
        </w:p>
        <w:p w:rsidR="00B324D2" w:rsidRPr="0042717A" w:rsidRDefault="00B324D2" w:rsidP="00B324D2">
          <w:pPr>
            <w:pStyle w:val="RfrencesAcknoledgment"/>
            <w:rPr>
              <w:highlight w:val="yellow"/>
            </w:rPr>
          </w:pPr>
          <w:r w:rsidRPr="0042717A">
            <w:rPr>
              <w:highlight w:val="yellow"/>
            </w:rPr>
            <w:t>Traag, W.A., Kan, C.A., van der Weg, G., Onsteng, C., Hoogenboom, L.A. 2006. Residues of dioxins (PCDD/Fs) and PCBs in eggs, fat and livers of laying hens following consumption of contaminated feed. Chemosphere 65, 1518-1525.</w:t>
          </w:r>
        </w:p>
        <w:p w:rsidR="00B324D2" w:rsidRPr="0042717A" w:rsidRDefault="00B324D2" w:rsidP="00B324D2">
          <w:pPr>
            <w:pStyle w:val="RfrencesAcknoledgment"/>
            <w:rPr>
              <w:highlight w:val="yellow"/>
            </w:rPr>
          </w:pPr>
          <w:r w:rsidRPr="0042717A">
            <w:rPr>
              <w:highlight w:val="yellow"/>
            </w:rPr>
            <w:t xml:space="preserve">Tuinstra, L.; Roos, A.; Berende, P.; Rhijn, J.;  Traag, W.; Mengelers, M. 1992. Excretion of polychlorinated dibenzo-p-dioxins and -furans in milk of cow fed on dioxins in the dry period. J. Agric. Food Chem. 40, 1772-1776. </w:t>
          </w:r>
        </w:p>
        <w:p w:rsidR="00B324D2" w:rsidRPr="0042717A" w:rsidRDefault="00B324D2" w:rsidP="00B324D2">
          <w:pPr>
            <w:pStyle w:val="RfrencesAcknoledgment"/>
            <w:rPr>
              <w:highlight w:val="yellow"/>
            </w:rPr>
          </w:pPr>
          <w:r w:rsidRPr="0042717A">
            <w:rPr>
              <w:highlight w:val="yellow"/>
            </w:rPr>
            <w:t>Watanabe, M.; Kunisue, T.;  Tao, L.; Kannan, K.; Subramanian, A.; Tanabe, S.; Iwata, H. 2010. Dioxin-like and perfuuorinated compounds in pigs in an indian open waste dumping site: toxicokinetics and effects on hepatic cytochrome p450 and blood plasma hormones. Environmental Toxicology and Chemistry, 29, n7, pp. 1551-1560. DOI: 10.1002/etc.189.</w:t>
          </w:r>
        </w:p>
        <w:p w:rsidR="00B324D2" w:rsidRDefault="00B324D2">
          <w:pPr>
            <w:pStyle w:val="370A0177884448B4844877CB29F706BF"/>
          </w:pPr>
          <w:r w:rsidRPr="0042717A">
            <w:rPr>
              <w:highlight w:val="yellow"/>
            </w:rPr>
            <w:t>Wittsiepe, J.; Erlenkamper, B.; Welge, P.; Hack, A.; Wilhelm, M. 2007. Bioavailability of PCDD/F from contaminated soil in young Goettingen minipigs. Chemosphere, 67, S355-S364, doi:10.1016/j.chemosphere.2006.05.129</w:t>
          </w:r>
        </w:p>
      </w:docPartBody>
    </w:docPart>
    <w:docPart>
      <w:docPartPr>
        <w:name w:val="3E0EBE87D46C43AA9C7F6D7DD8ED65A4"/>
        <w:category>
          <w:name w:val="Général"/>
          <w:gallery w:val="placeholder"/>
        </w:category>
        <w:types>
          <w:type w:val="bbPlcHdr"/>
        </w:types>
        <w:behaviors>
          <w:behavior w:val="content"/>
        </w:behaviors>
        <w:guid w:val="{202D1633-E6BA-4F98-9F31-713A21E327C8}"/>
      </w:docPartPr>
      <w:docPartBody>
        <w:p w:rsidR="00B324D2" w:rsidRDefault="00B324D2">
          <w:pPr>
            <w:pStyle w:val="3E0EBE87D46C43AA9C7F6D7DD8ED65A4"/>
          </w:pPr>
          <w:r w:rsidRPr="00191327">
            <w:rPr>
              <w:highlight w:val="yellow"/>
            </w:rPr>
            <w:t>The authors thank warmly for the French-Kazakh scholarship Abaï-Verne supporting this PhD project as well as Thomas Schulze for English proofreading.</w:t>
          </w:r>
        </w:p>
      </w:docPartBody>
    </w:docPart>
    <w:docPart>
      <w:docPartPr>
        <w:name w:val="029EC803C91E402985CAF6F0CC877F51"/>
        <w:category>
          <w:name w:val="Général"/>
          <w:gallery w:val="placeholder"/>
        </w:category>
        <w:types>
          <w:type w:val="bbPlcHdr"/>
        </w:types>
        <w:behaviors>
          <w:behavior w:val="content"/>
        </w:behaviors>
        <w:guid w:val="{3CAD89BB-E83E-40E0-9F5C-84E445FEECED}"/>
      </w:docPartPr>
      <w:docPartBody>
        <w:p w:rsidR="00B324D2" w:rsidRDefault="00B324D2" w:rsidP="00B324D2">
          <w:pPr>
            <w:pStyle w:val="029EC803C91E402985CAF6F0CC877F51"/>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180C064E604AA0B1460A94AED0DDFF"/>
        <w:category>
          <w:name w:val="Général"/>
          <w:gallery w:val="placeholder"/>
        </w:category>
        <w:types>
          <w:type w:val="bbPlcHdr"/>
        </w:types>
        <w:behaviors>
          <w:behavior w:val="content"/>
        </w:behaviors>
        <w:guid w:val="{D1654070-F2B3-4E44-9D69-9B8FB015B4EB}"/>
      </w:docPartPr>
      <w:docPartBody>
        <w:p w:rsidR="00B324D2" w:rsidRDefault="00B324D2" w:rsidP="00B324D2">
          <w:pPr>
            <w:pStyle w:val="58180C064E604AA0B1460A94AED0DDFF"/>
          </w:pPr>
          <w:r>
            <w:t>Part 3</w:t>
          </w:r>
        </w:p>
      </w:docPartBody>
    </w:docPart>
    <w:docPart>
      <w:docPartPr>
        <w:name w:val="5603E3CCA1DF479C9C3C340C6F3824BB"/>
        <w:category>
          <w:name w:val="Général"/>
          <w:gallery w:val="placeholder"/>
        </w:category>
        <w:types>
          <w:type w:val="bbPlcHdr"/>
        </w:types>
        <w:behaviors>
          <w:behavior w:val="content"/>
        </w:behaviors>
        <w:guid w:val="{55F0CD28-A2D0-4E8E-ADF6-FE8ADE10D545}"/>
      </w:docPartPr>
      <w:docPartBody>
        <w:p w:rsidR="00B324D2" w:rsidRDefault="00B324D2" w:rsidP="00B324D2">
          <w:pPr>
            <w:pStyle w:val="5603E3CCA1DF479C9C3C340C6F3824BB"/>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A5070A0AAE5742DAA9E6B178A264E34E"/>
        <w:category>
          <w:name w:val="Général"/>
          <w:gallery w:val="placeholder"/>
        </w:category>
        <w:types>
          <w:type w:val="bbPlcHdr"/>
        </w:types>
        <w:behaviors>
          <w:behavior w:val="content"/>
        </w:behaviors>
        <w:guid w:val="{0B9A451C-CDAD-49E8-A1C0-8BD888C79680}"/>
      </w:docPartPr>
      <w:docPartBody>
        <w:p w:rsidR="00B324D2" w:rsidRDefault="00B324D2" w:rsidP="00B324D2">
          <w:pPr>
            <w:pStyle w:val="A5070A0AAE5742DAA9E6B178A264E34E"/>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1E3467C1624950AF62FD13026A440E"/>
        <w:category>
          <w:name w:val="Général"/>
          <w:gallery w:val="placeholder"/>
        </w:category>
        <w:types>
          <w:type w:val="bbPlcHdr"/>
        </w:types>
        <w:behaviors>
          <w:behavior w:val="content"/>
        </w:behaviors>
        <w:guid w:val="{37D7856A-CB2B-4D52-B508-59BD59EAE8D3}"/>
      </w:docPartPr>
      <w:docPartBody>
        <w:p w:rsidR="00B324D2" w:rsidRDefault="00B324D2" w:rsidP="00B324D2">
          <w:pPr>
            <w:pStyle w:val="101E3467C1624950AF62FD13026A440E"/>
          </w:pPr>
          <w:r>
            <w:t>Part 3</w:t>
          </w:r>
        </w:p>
      </w:docPartBody>
    </w:docPart>
    <w:docPart>
      <w:docPartPr>
        <w:name w:val="2D55BBBCB36D411586D0D6DDFF117B82"/>
        <w:category>
          <w:name w:val="Général"/>
          <w:gallery w:val="placeholder"/>
        </w:category>
        <w:types>
          <w:type w:val="bbPlcHdr"/>
        </w:types>
        <w:behaviors>
          <w:behavior w:val="content"/>
        </w:behaviors>
        <w:guid w:val="{F681AFCC-D943-4610-99CC-A6BEB196F1EE}"/>
      </w:docPartPr>
      <w:docPartBody>
        <w:p w:rsidR="00B324D2" w:rsidRDefault="00B324D2" w:rsidP="00B324D2">
          <w:pPr>
            <w:pStyle w:val="2D55BBBCB36D411586D0D6DDFF117B82"/>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238318E8D9D54301BE2467EE3FE76041"/>
        <w:category>
          <w:name w:val="Général"/>
          <w:gallery w:val="placeholder"/>
        </w:category>
        <w:types>
          <w:type w:val="bbPlcHdr"/>
        </w:types>
        <w:behaviors>
          <w:behavior w:val="content"/>
        </w:behaviors>
        <w:guid w:val="{0AEF3BE2-7891-4D4A-B8EF-AF7A98FEC2A5}"/>
      </w:docPartPr>
      <w:docPartBody>
        <w:p w:rsidR="00B324D2" w:rsidRDefault="00B324D2" w:rsidP="00B324D2">
          <w:pPr>
            <w:pStyle w:val="238318E8D9D54301BE2467EE3FE76041"/>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09A6718EE544A8DA12B20D7D9F04E06"/>
        <w:category>
          <w:name w:val="Général"/>
          <w:gallery w:val="placeholder"/>
        </w:category>
        <w:types>
          <w:type w:val="bbPlcHdr"/>
        </w:types>
        <w:behaviors>
          <w:behavior w:val="content"/>
        </w:behaviors>
        <w:guid w:val="{548A431B-F71B-40BC-AC6A-C757EA3CBC1B}"/>
      </w:docPartPr>
      <w:docPartBody>
        <w:p w:rsidR="00B324D2" w:rsidRDefault="00B324D2" w:rsidP="00B324D2">
          <w:pPr>
            <w:pStyle w:val="F09A6718EE544A8DA12B20D7D9F04E06"/>
          </w:pPr>
          <w:r>
            <w:t>Part 3</w:t>
          </w:r>
        </w:p>
      </w:docPartBody>
    </w:docPart>
    <w:docPart>
      <w:docPartPr>
        <w:name w:val="32207CC89AD44758AD7576DE805BD924"/>
        <w:category>
          <w:name w:val="Général"/>
          <w:gallery w:val="placeholder"/>
        </w:category>
        <w:types>
          <w:type w:val="bbPlcHdr"/>
        </w:types>
        <w:behaviors>
          <w:behavior w:val="content"/>
        </w:behaviors>
        <w:guid w:val="{B46F079D-4A59-4BFC-9CAD-DFF92269445E}"/>
      </w:docPartPr>
      <w:docPartBody>
        <w:p w:rsidR="00B324D2" w:rsidRDefault="00B324D2" w:rsidP="00B324D2">
          <w:pPr>
            <w:pStyle w:val="32207CC89AD44758AD7576DE805BD924"/>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1F87CA6E38FE4EC187E98BBB8517E866"/>
        <w:category>
          <w:name w:val="Général"/>
          <w:gallery w:val="placeholder"/>
        </w:category>
        <w:types>
          <w:type w:val="bbPlcHdr"/>
        </w:types>
        <w:behaviors>
          <w:behavior w:val="content"/>
        </w:behaviors>
        <w:guid w:val="{25005247-6105-48BC-B7B2-AAFDF2CA4A8F}"/>
      </w:docPartPr>
      <w:docPartBody>
        <w:p w:rsidR="00B324D2" w:rsidRDefault="00B324D2" w:rsidP="00B324D2">
          <w:pPr>
            <w:pStyle w:val="1F87CA6E38FE4EC187E98BBB8517E866"/>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CA7BB14E474FFBAEA6416E584CD2E9"/>
        <w:category>
          <w:name w:val="Général"/>
          <w:gallery w:val="placeholder"/>
        </w:category>
        <w:types>
          <w:type w:val="bbPlcHdr"/>
        </w:types>
        <w:behaviors>
          <w:behavior w:val="content"/>
        </w:behaviors>
        <w:guid w:val="{C93F520F-A205-4B41-B467-54DD0A05A1FF}"/>
      </w:docPartPr>
      <w:docPartBody>
        <w:p w:rsidR="00B324D2" w:rsidRDefault="00B324D2" w:rsidP="00B324D2">
          <w:pPr>
            <w:pStyle w:val="FCCA7BB14E474FFBAEA6416E584CD2E9"/>
          </w:pPr>
          <w:r>
            <w:t>Part 3</w:t>
          </w:r>
        </w:p>
      </w:docPartBody>
    </w:docPart>
    <w:docPart>
      <w:docPartPr>
        <w:name w:val="E8915CB0763A4A0888AE51A30EB5F694"/>
        <w:category>
          <w:name w:val="Général"/>
          <w:gallery w:val="placeholder"/>
        </w:category>
        <w:types>
          <w:type w:val="bbPlcHdr"/>
        </w:types>
        <w:behaviors>
          <w:behavior w:val="content"/>
        </w:behaviors>
        <w:guid w:val="{4AFB02B2-7C31-45EE-9C4D-408C8DE7BBED}"/>
      </w:docPartPr>
      <w:docPartBody>
        <w:p w:rsidR="00B324D2" w:rsidRDefault="00B324D2" w:rsidP="00B324D2">
          <w:pPr>
            <w:pStyle w:val="E8915CB0763A4A0888AE51A30EB5F694"/>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A2569388CB9D4F53BBD4875BD2A07101"/>
        <w:category>
          <w:name w:val="Général"/>
          <w:gallery w:val="placeholder"/>
        </w:category>
        <w:types>
          <w:type w:val="bbPlcHdr"/>
        </w:types>
        <w:behaviors>
          <w:behavior w:val="content"/>
        </w:behaviors>
        <w:guid w:val="{684818D8-5D54-4299-A308-E55D55B7A92A}"/>
      </w:docPartPr>
      <w:docPartBody>
        <w:p w:rsidR="00B324D2" w:rsidRDefault="00B324D2" w:rsidP="00B324D2">
          <w:pPr>
            <w:pStyle w:val="A2569388CB9D4F53BBD4875BD2A07101"/>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AB7C5EA2604EEDB8A1A8854AAA4DF3"/>
        <w:category>
          <w:name w:val="Général"/>
          <w:gallery w:val="placeholder"/>
        </w:category>
        <w:types>
          <w:type w:val="bbPlcHdr"/>
        </w:types>
        <w:behaviors>
          <w:behavior w:val="content"/>
        </w:behaviors>
        <w:guid w:val="{0ED15AE9-8F9F-4EFE-964A-8BA10F92AF50}"/>
      </w:docPartPr>
      <w:docPartBody>
        <w:p w:rsidR="00B324D2" w:rsidRDefault="00B324D2" w:rsidP="00B324D2">
          <w:pPr>
            <w:pStyle w:val="D2AB7C5EA2604EEDB8A1A8854AAA4DF3"/>
          </w:pPr>
          <w:r>
            <w:t>Part 3</w:t>
          </w:r>
        </w:p>
      </w:docPartBody>
    </w:docPart>
    <w:docPart>
      <w:docPartPr>
        <w:name w:val="C7323776288C4512BE4A205BE2828F65"/>
        <w:category>
          <w:name w:val="Général"/>
          <w:gallery w:val="placeholder"/>
        </w:category>
        <w:types>
          <w:type w:val="bbPlcHdr"/>
        </w:types>
        <w:behaviors>
          <w:behavior w:val="content"/>
        </w:behaviors>
        <w:guid w:val="{6729E42A-A2C8-4CA2-8D56-99662B89B9B4}"/>
      </w:docPartPr>
      <w:docPartBody>
        <w:p w:rsidR="00B324D2" w:rsidRDefault="00B324D2" w:rsidP="00B324D2">
          <w:pPr>
            <w:pStyle w:val="C7323776288C4512BE4A205BE2828F65"/>
          </w:pPr>
          <w:r w:rsidRPr="00822658">
            <w:rPr>
              <w:highlight w:val="cyan"/>
              <w:lang w:val="en-US"/>
            </w:rPr>
            <w:t xml:space="preserve">Lorem ipsum dolor sit amet, consectetur adipiscing elit. </w:t>
          </w:r>
          <w:r w:rsidRPr="00822658">
            <w:rPr>
              <w:highlight w:val="cyan"/>
            </w:rPr>
            <w:t xml:space="preserve">Aliquam ultricies maximus sem. Curabitur aliquet a risus nec tincidunt. Praesent tellus diam, viverra eu aliquam quis, mattis nec mauris. Donec efficitur pellentesque massa porttitor faucibus. Maecenas at sapien ut ligula faucibus viverra. </w:t>
          </w:r>
          <w:r w:rsidRPr="00822658">
            <w:rPr>
              <w:highlight w:val="cyan"/>
              <w:lang w:val="en-US"/>
            </w:rPr>
            <w:t xml:space="preserve">Suspendisse commodo vulputate sem eget elementum. Aliquam consequat sit amet risus at efficitur. </w:t>
          </w:r>
          <w:r w:rsidRPr="00822658">
            <w:rPr>
              <w:highlight w:val="cyan"/>
            </w:rPr>
            <w:t>Suspendisse venenatis ante quam, eu porttitor arcu pulvinar nec. Suspendisse maximus nulla rutrum eros tempus, id ultricies ipsum viverra.</w:t>
          </w:r>
        </w:p>
      </w:docPartBody>
    </w:docPart>
    <w:docPart>
      <w:docPartPr>
        <w:name w:val="ECE86BEB849747CBA4BFDC2694871C7B"/>
        <w:category>
          <w:name w:val="Général"/>
          <w:gallery w:val="placeholder"/>
        </w:category>
        <w:types>
          <w:type w:val="bbPlcHdr"/>
        </w:types>
        <w:behaviors>
          <w:behavior w:val="content"/>
        </w:behaviors>
        <w:guid w:val="{10CB76A4-87D3-4AC7-9A5F-D2952891B746}"/>
      </w:docPartPr>
      <w:docPartBody>
        <w:p w:rsidR="00B324D2" w:rsidRDefault="00B324D2" w:rsidP="00B324D2">
          <w:pPr>
            <w:pStyle w:val="ECE86BEB849747CBA4BFDC2694871C7B"/>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BB0C2E16D9A44D6A7ED475268DA9427"/>
        <w:category>
          <w:name w:val="Général"/>
          <w:gallery w:val="placeholder"/>
        </w:category>
        <w:types>
          <w:type w:val="bbPlcHdr"/>
        </w:types>
        <w:behaviors>
          <w:behavior w:val="content"/>
        </w:behaviors>
        <w:guid w:val="{1267460A-3563-4176-A5F4-8A17109F23CE}"/>
      </w:docPartPr>
      <w:docPartBody>
        <w:p w:rsidR="00B324D2" w:rsidRDefault="00B324D2" w:rsidP="00B324D2">
          <w:pPr>
            <w:pStyle w:val="DBB0C2E16D9A44D6A7ED475268DA9427"/>
          </w:pPr>
          <w:r>
            <w:t>Part 3</w:t>
          </w:r>
        </w:p>
      </w:docPartBody>
    </w:docPart>
    <w:docPart>
      <w:docPartPr>
        <w:name w:val="E84340F236AA48BF866F5B477C1CE5F6"/>
        <w:category>
          <w:name w:val="Général"/>
          <w:gallery w:val="placeholder"/>
        </w:category>
        <w:types>
          <w:type w:val="bbPlcHdr"/>
        </w:types>
        <w:behaviors>
          <w:behavior w:val="content"/>
        </w:behaviors>
        <w:guid w:val="{88385AAE-188D-47F9-B228-72E710AFBC50}"/>
      </w:docPartPr>
      <w:docPartBody>
        <w:p w:rsidR="00B324D2" w:rsidRDefault="00B324D2" w:rsidP="00B324D2">
          <w:pPr>
            <w:pStyle w:val="E84340F236AA48BF866F5B477C1CE5F6"/>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8D277A16F70645278B8316AC6AF13F0A"/>
        <w:category>
          <w:name w:val="Général"/>
          <w:gallery w:val="placeholder"/>
        </w:category>
        <w:types>
          <w:type w:val="bbPlcHdr"/>
        </w:types>
        <w:behaviors>
          <w:behavior w:val="content"/>
        </w:behaviors>
        <w:guid w:val="{1ADA9B3E-3C06-4477-8C42-607A2B1775B4}"/>
      </w:docPartPr>
      <w:docPartBody>
        <w:p w:rsidR="00B324D2" w:rsidRDefault="00B324D2" w:rsidP="00B324D2">
          <w:pPr>
            <w:pStyle w:val="8D277A16F70645278B8316AC6AF13F0A"/>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089BAAB78049E3909CBCA072B86CBF"/>
        <w:category>
          <w:name w:val="Général"/>
          <w:gallery w:val="placeholder"/>
        </w:category>
        <w:types>
          <w:type w:val="bbPlcHdr"/>
        </w:types>
        <w:behaviors>
          <w:behavior w:val="content"/>
        </w:behaviors>
        <w:guid w:val="{A88F2E57-AA95-4696-88A8-91629AA62C84}"/>
      </w:docPartPr>
      <w:docPartBody>
        <w:p w:rsidR="00B324D2" w:rsidRDefault="00B324D2" w:rsidP="00B324D2">
          <w:pPr>
            <w:pStyle w:val="BC089BAAB78049E3909CBCA072B86CBF"/>
          </w:pPr>
          <w:r>
            <w:t>Part 3</w:t>
          </w:r>
        </w:p>
      </w:docPartBody>
    </w:docPart>
    <w:docPart>
      <w:docPartPr>
        <w:name w:val="32DF80E11B1349959D1F9DA31AFB0D1C"/>
        <w:category>
          <w:name w:val="Général"/>
          <w:gallery w:val="placeholder"/>
        </w:category>
        <w:types>
          <w:type w:val="bbPlcHdr"/>
        </w:types>
        <w:behaviors>
          <w:behavior w:val="content"/>
        </w:behaviors>
        <w:guid w:val="{B6B9B4C7-DFBC-4DB5-9DF0-28E56F1CB701}"/>
      </w:docPartPr>
      <w:docPartBody>
        <w:p w:rsidR="00B324D2" w:rsidRDefault="00B324D2" w:rsidP="00B324D2">
          <w:pPr>
            <w:pStyle w:val="32DF80E11B1349959D1F9DA31AFB0D1C"/>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AA0A4828859543D2861B780A6227A8F4"/>
        <w:category>
          <w:name w:val="Général"/>
          <w:gallery w:val="placeholder"/>
        </w:category>
        <w:types>
          <w:type w:val="bbPlcHdr"/>
        </w:types>
        <w:behaviors>
          <w:behavior w:val="content"/>
        </w:behaviors>
        <w:guid w:val="{47E57A69-1B70-403C-B82A-9D1F4E85E48A}"/>
      </w:docPartPr>
      <w:docPartBody>
        <w:p w:rsidR="00B324D2" w:rsidRDefault="00B324D2" w:rsidP="00B324D2">
          <w:pPr>
            <w:pStyle w:val="AA0A4828859543D2861B780A6227A8F4"/>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DFA83E157634699A6A7BDE034DB84D9"/>
        <w:category>
          <w:name w:val="Général"/>
          <w:gallery w:val="placeholder"/>
        </w:category>
        <w:types>
          <w:type w:val="bbPlcHdr"/>
        </w:types>
        <w:behaviors>
          <w:behavior w:val="content"/>
        </w:behaviors>
        <w:guid w:val="{C561FA9D-37E9-4894-979A-516681662290}"/>
      </w:docPartPr>
      <w:docPartBody>
        <w:p w:rsidR="00B324D2" w:rsidRDefault="00B324D2" w:rsidP="00B324D2">
          <w:pPr>
            <w:pStyle w:val="1DFA83E157634699A6A7BDE034DB84D9"/>
          </w:pPr>
          <w:r>
            <w:t>Part 3</w:t>
          </w:r>
        </w:p>
      </w:docPartBody>
    </w:docPart>
    <w:docPart>
      <w:docPartPr>
        <w:name w:val="025F7CDA4C3B4A948543BB68625BB277"/>
        <w:category>
          <w:name w:val="Général"/>
          <w:gallery w:val="placeholder"/>
        </w:category>
        <w:types>
          <w:type w:val="bbPlcHdr"/>
        </w:types>
        <w:behaviors>
          <w:behavior w:val="content"/>
        </w:behaviors>
        <w:guid w:val="{FB4A2FB9-2001-48C2-83B5-A9EB52A04ED3}"/>
      </w:docPartPr>
      <w:docPartBody>
        <w:p w:rsidR="00B324D2" w:rsidRDefault="00B324D2" w:rsidP="00B324D2">
          <w:pPr>
            <w:pStyle w:val="025F7CDA4C3B4A948543BB68625BB277"/>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FEF8AA5D26BF427796E0414E1343B07A"/>
        <w:category>
          <w:name w:val="Général"/>
          <w:gallery w:val="placeholder"/>
        </w:category>
        <w:types>
          <w:type w:val="bbPlcHdr"/>
        </w:types>
        <w:behaviors>
          <w:behavior w:val="content"/>
        </w:behaviors>
        <w:guid w:val="{16769EB3-0AFC-4800-9F2A-429F59A12E82}"/>
      </w:docPartPr>
      <w:docPartBody>
        <w:p w:rsidR="00B324D2" w:rsidRDefault="00B324D2" w:rsidP="00B324D2">
          <w:pPr>
            <w:pStyle w:val="FEF8AA5D26BF427796E0414E1343B07A"/>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EE14D97253477BA0C3139EAEB092F3"/>
        <w:category>
          <w:name w:val="Général"/>
          <w:gallery w:val="placeholder"/>
        </w:category>
        <w:types>
          <w:type w:val="bbPlcHdr"/>
        </w:types>
        <w:behaviors>
          <w:behavior w:val="content"/>
        </w:behaviors>
        <w:guid w:val="{9A278F26-C031-456C-8312-8185997F86EC}"/>
      </w:docPartPr>
      <w:docPartBody>
        <w:p w:rsidR="00B324D2" w:rsidRDefault="00B324D2" w:rsidP="00B324D2">
          <w:pPr>
            <w:pStyle w:val="65EE14D97253477BA0C3139EAEB092F3"/>
          </w:pPr>
          <w:r>
            <w:t>Part 3</w:t>
          </w:r>
        </w:p>
      </w:docPartBody>
    </w:docPart>
    <w:docPart>
      <w:docPartPr>
        <w:name w:val="1BDEB3F530364B1285500E40FC65651D"/>
        <w:category>
          <w:name w:val="Général"/>
          <w:gallery w:val="placeholder"/>
        </w:category>
        <w:types>
          <w:type w:val="bbPlcHdr"/>
        </w:types>
        <w:behaviors>
          <w:behavior w:val="content"/>
        </w:behaviors>
        <w:guid w:val="{56B4E0C9-F678-4F04-9A8C-14EED57916BF}"/>
      </w:docPartPr>
      <w:docPartBody>
        <w:p w:rsidR="00B324D2" w:rsidRDefault="00B324D2" w:rsidP="00B324D2">
          <w:pPr>
            <w:pStyle w:val="1BDEB3F530364B1285500E40FC65651D"/>
          </w:pPr>
          <w:r w:rsidRPr="00951155">
            <w:rPr>
              <w:highlight w:val="green"/>
              <w:lang w:val="en-US"/>
            </w:rPr>
            <w:t xml:space="preserve">Lorem ipsum dolor sit amet, consectetur adipiscing elit. </w:t>
          </w:r>
          <w:r w:rsidRPr="00951155">
            <w:rPr>
              <w:highlight w:val="green"/>
            </w:rPr>
            <w:t xml:space="preserve">Aliquam ultricies maximus sem. Curabitur aliquet a risus nec tincidunt. Praesent tellus diam, viverra eu aliquam quis, mattis nec mauris. Donec efficitur pellentesque massa porttitor faucibus. Maecenas at sapien ut ligula faucibus viverra. </w:t>
          </w:r>
          <w:r w:rsidRPr="00951155">
            <w:rPr>
              <w:highlight w:val="green"/>
              <w:lang w:val="en-US"/>
            </w:rPr>
            <w:t xml:space="preserve">Suspendisse commodo vulputate sem eget elementum. Aliquam consequat sit amet risus at efficitur. </w:t>
          </w:r>
          <w:r w:rsidRPr="00951155">
            <w:rPr>
              <w:highlight w:val="green"/>
            </w:rPr>
            <w:t>Suspendisse venenatis ante quam, eu porttitor arcu pulvinar nec. Suspendisse maximus nulla rutrum eros tempus, id ultricies ipsum viverra.</w:t>
          </w:r>
        </w:p>
      </w:docPartBody>
    </w:docPart>
    <w:docPart>
      <w:docPartPr>
        <w:name w:val="65FAA78B201843F49EDBD1C31699956C"/>
        <w:category>
          <w:name w:val="Général"/>
          <w:gallery w:val="placeholder"/>
        </w:category>
        <w:types>
          <w:type w:val="bbPlcHdr"/>
        </w:types>
        <w:behaviors>
          <w:behavior w:val="content"/>
        </w:behaviors>
        <w:guid w:val="{F102541B-00E9-4231-8063-BB5D1B9AA4BE}"/>
      </w:docPartPr>
      <w:docPartBody>
        <w:p w:rsidR="003C4C47" w:rsidRDefault="00ED112C" w:rsidP="00ED112C">
          <w:pPr>
            <w:pStyle w:val="65FAA78B201843F49EDBD1C31699956C"/>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32CB8224A84FAE8D87EFB70BE891A0"/>
        <w:category>
          <w:name w:val="Général"/>
          <w:gallery w:val="placeholder"/>
        </w:category>
        <w:types>
          <w:type w:val="bbPlcHdr"/>
        </w:types>
        <w:behaviors>
          <w:behavior w:val="content"/>
        </w:behaviors>
        <w:guid w:val="{A6981130-A371-44F0-9831-CDA912F5D477}"/>
      </w:docPartPr>
      <w:docPartBody>
        <w:p w:rsidR="003C4C47" w:rsidRDefault="00ED112C" w:rsidP="00ED112C">
          <w:pPr>
            <w:pStyle w:val="A632CB8224A84FAE8D87EFB70BE891A0"/>
          </w:pPr>
          <w:r w:rsidRPr="002E29D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909598E5C0542C5B86C3C1A75DAF6BD"/>
        <w:category>
          <w:name w:val="Général"/>
          <w:gallery w:val="placeholder"/>
        </w:category>
        <w:types>
          <w:type w:val="bbPlcHdr"/>
        </w:types>
        <w:behaviors>
          <w:behavior w:val="content"/>
        </w:behaviors>
        <w:guid w:val="{7004F02C-1D16-4FE1-9CE5-E384908CF5EC}"/>
      </w:docPartPr>
      <w:docPartBody>
        <w:p w:rsidR="003C4C47" w:rsidRDefault="00ED112C" w:rsidP="00ED112C">
          <w:pPr>
            <w:pStyle w:val="1909598E5C0542C5B86C3C1A75DAF6BD"/>
          </w:pPr>
          <w:r w:rsidRPr="002E29D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D2"/>
    <w:rsid w:val="003C4C47"/>
    <w:rsid w:val="00B324D2"/>
    <w:rsid w:val="00ED1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112C"/>
    <w:rPr>
      <w:color w:val="808080"/>
    </w:rPr>
  </w:style>
  <w:style w:type="paragraph" w:customStyle="1" w:styleId="413FA4AAF8EE4AB78D540114174B2E96">
    <w:name w:val="413FA4AAF8EE4AB78D540114174B2E96"/>
  </w:style>
  <w:style w:type="paragraph" w:customStyle="1" w:styleId="45AA0CC022BC4DE383A244FAB7066BCB">
    <w:name w:val="45AA0CC022BC4DE383A244FAB7066BCB"/>
  </w:style>
  <w:style w:type="paragraph" w:customStyle="1" w:styleId="18AD4F38243D4573BED20487247BEA31">
    <w:name w:val="18AD4F38243D4573BED20487247BEA31"/>
  </w:style>
  <w:style w:type="paragraph" w:customStyle="1" w:styleId="AC74914ED5224382A3EDE072B6F52FE2">
    <w:name w:val="AC74914ED5224382A3EDE072B6F52FE2"/>
  </w:style>
  <w:style w:type="paragraph" w:customStyle="1" w:styleId="869D49E5E87846C59CF37CD57F67B5C2">
    <w:name w:val="869D49E5E87846C59CF37CD57F67B5C2"/>
  </w:style>
  <w:style w:type="paragraph" w:customStyle="1" w:styleId="B49685615C3A4CECA448C34CB2E319FF">
    <w:name w:val="B49685615C3A4CECA448C34CB2E319FF"/>
  </w:style>
  <w:style w:type="paragraph" w:customStyle="1" w:styleId="0AD1E9AF6DC84F57950BD17642A3C361">
    <w:name w:val="0AD1E9AF6DC84F57950BD17642A3C361"/>
  </w:style>
  <w:style w:type="paragraph" w:customStyle="1" w:styleId="Partie">
    <w:name w:val="Partie"/>
    <w:basedOn w:val="NormalWeb"/>
    <w:link w:val="PartieCar"/>
    <w:qFormat/>
    <w:pPr>
      <w:spacing w:before="100" w:beforeAutospacing="1" w:after="100" w:afterAutospacing="1" w:line="240" w:lineRule="auto"/>
      <w:jc w:val="both"/>
    </w:pPr>
    <w:rPr>
      <w:rFonts w:ascii="Arial" w:eastAsia="Times New Roman" w:hAnsi="Arial" w:cs="Arial"/>
      <w:color w:val="000000"/>
      <w:sz w:val="20"/>
      <w:szCs w:val="20"/>
    </w:rPr>
  </w:style>
  <w:style w:type="character" w:customStyle="1" w:styleId="PartieCar">
    <w:name w:val="Partie Car"/>
    <w:basedOn w:val="Policepardfaut"/>
    <w:link w:val="Partie"/>
    <w:rPr>
      <w:rFonts w:ascii="Arial" w:eastAsia="Times New Roman" w:hAnsi="Arial" w:cs="Arial"/>
      <w:color w:val="000000"/>
      <w:sz w:val="20"/>
      <w:szCs w:val="20"/>
    </w:rPr>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77C85E07C7234CA3900A4803359D45D7">
    <w:name w:val="77C85E07C7234CA3900A4803359D45D7"/>
  </w:style>
  <w:style w:type="paragraph" w:customStyle="1" w:styleId="91BC03AC681242A4BC94C7ED1717F689">
    <w:name w:val="91BC03AC681242A4BC94C7ED1717F689"/>
  </w:style>
  <w:style w:type="paragraph" w:customStyle="1" w:styleId="3299A6AAB128402F86A2E242D2ACF030">
    <w:name w:val="3299A6AAB128402F86A2E242D2ACF030"/>
  </w:style>
  <w:style w:type="paragraph" w:customStyle="1" w:styleId="D60FE24DB5F046EA8A3EF6800BDC5D7C">
    <w:name w:val="D60FE24DB5F046EA8A3EF6800BDC5D7C"/>
  </w:style>
  <w:style w:type="paragraph" w:customStyle="1" w:styleId="F6CC3AC322634CEE91BF1640DD8B8BC1">
    <w:name w:val="F6CC3AC322634CEE91BF1640DD8B8BC1"/>
  </w:style>
  <w:style w:type="paragraph" w:customStyle="1" w:styleId="9B01BA64321F46C79DFA7FD1CDD80767">
    <w:name w:val="9B01BA64321F46C79DFA7FD1CDD80767"/>
  </w:style>
  <w:style w:type="paragraph" w:customStyle="1" w:styleId="E209B4624A07471E9E45D532F8653E14">
    <w:name w:val="E209B4624A07471E9E45D532F8653E14"/>
  </w:style>
  <w:style w:type="paragraph" w:customStyle="1" w:styleId="183E51CBF88F4B7D866ECD3B98659F25">
    <w:name w:val="183E51CBF88F4B7D866ECD3B98659F25"/>
  </w:style>
  <w:style w:type="paragraph" w:customStyle="1" w:styleId="642E9485D971435A946B00DB829EBBDA">
    <w:name w:val="642E9485D971435A946B00DB829EBBDA"/>
  </w:style>
  <w:style w:type="paragraph" w:customStyle="1" w:styleId="486B23B57A8A47C198E7EDDB59AC0B75">
    <w:name w:val="486B23B57A8A47C198E7EDDB59AC0B75"/>
  </w:style>
  <w:style w:type="paragraph" w:customStyle="1" w:styleId="DEAFC57D855A4DC893BBE9FE254FA380">
    <w:name w:val="DEAFC57D855A4DC893BBE9FE254FA380"/>
  </w:style>
  <w:style w:type="paragraph" w:customStyle="1" w:styleId="C7F9474931124CEB8842C1120CF81693">
    <w:name w:val="C7F9474931124CEB8842C1120CF81693"/>
  </w:style>
  <w:style w:type="paragraph" w:customStyle="1" w:styleId="89449E1EBC814866BE07292CE45B55BB">
    <w:name w:val="89449E1EBC814866BE07292CE45B55BB"/>
  </w:style>
  <w:style w:type="paragraph" w:customStyle="1" w:styleId="A6D855239F444004BC9981C281768E8A">
    <w:name w:val="A6D855239F444004BC9981C281768E8A"/>
  </w:style>
  <w:style w:type="paragraph" w:customStyle="1" w:styleId="66B5ED90C2BB43E085024AD0FF6E6095">
    <w:name w:val="66B5ED90C2BB43E085024AD0FF6E6095"/>
  </w:style>
  <w:style w:type="paragraph" w:customStyle="1" w:styleId="34B608C06667437B97C7CC7D4CC11DB0">
    <w:name w:val="34B608C06667437B97C7CC7D4CC11DB0"/>
  </w:style>
  <w:style w:type="paragraph" w:customStyle="1" w:styleId="FB7EC892C7DB453DA6257A1E704F3A1E">
    <w:name w:val="FB7EC892C7DB453DA6257A1E704F3A1E"/>
  </w:style>
  <w:style w:type="paragraph" w:customStyle="1" w:styleId="4F767E2CF7444EF4AE0315C0E6177F5B">
    <w:name w:val="4F767E2CF7444EF4AE0315C0E6177F5B"/>
  </w:style>
  <w:style w:type="paragraph" w:customStyle="1" w:styleId="8D16B3AA2E56432892C6B0FE3968F7AB">
    <w:name w:val="8D16B3AA2E56432892C6B0FE3968F7AB"/>
  </w:style>
  <w:style w:type="paragraph" w:customStyle="1" w:styleId="9E7B9BE299104E179CA29782FB505C8A">
    <w:name w:val="9E7B9BE299104E179CA29782FB505C8A"/>
  </w:style>
  <w:style w:type="paragraph" w:customStyle="1" w:styleId="F544B99D10F541A2915D09112AC3461B">
    <w:name w:val="F544B99D10F541A2915D09112AC3461B"/>
  </w:style>
  <w:style w:type="paragraph" w:customStyle="1" w:styleId="412FE9F2367544539289A9DF303C7487">
    <w:name w:val="412FE9F2367544539289A9DF303C7487"/>
  </w:style>
  <w:style w:type="paragraph" w:customStyle="1" w:styleId="8AECED5984F84A0498D0E1B0B86F9F8A">
    <w:name w:val="8AECED5984F84A0498D0E1B0B86F9F8A"/>
  </w:style>
  <w:style w:type="paragraph" w:customStyle="1" w:styleId="1B9B04223DC0467DBC4FCCD98735455D">
    <w:name w:val="1B9B04223DC0467DBC4FCCD98735455D"/>
  </w:style>
  <w:style w:type="paragraph" w:customStyle="1" w:styleId="64E12E0F727140AABE73F1AD834E94CA">
    <w:name w:val="64E12E0F727140AABE73F1AD834E94CA"/>
  </w:style>
  <w:style w:type="paragraph" w:customStyle="1" w:styleId="4E3311E9A14D43D4950C814867C66E57">
    <w:name w:val="4E3311E9A14D43D4950C814867C66E57"/>
  </w:style>
  <w:style w:type="paragraph" w:customStyle="1" w:styleId="CA058AA6414944399B5A95870CB53B5A">
    <w:name w:val="CA058AA6414944399B5A95870CB53B5A"/>
  </w:style>
  <w:style w:type="paragraph" w:customStyle="1" w:styleId="19E38D26393B4516858545BD45B97C3C">
    <w:name w:val="19E38D26393B4516858545BD45B97C3C"/>
  </w:style>
  <w:style w:type="paragraph" w:customStyle="1" w:styleId="68B10B2908A54A5B8F336C4EF7089E02">
    <w:name w:val="68B10B2908A54A5B8F336C4EF7089E02"/>
  </w:style>
  <w:style w:type="paragraph" w:customStyle="1" w:styleId="7052B22F38BE4B1E8F7DA2149461F3FB">
    <w:name w:val="7052B22F38BE4B1E8F7DA2149461F3FB"/>
  </w:style>
  <w:style w:type="paragraph" w:customStyle="1" w:styleId="BF97E9C8C16F46A3B0FA0A757ED373CD">
    <w:name w:val="BF97E9C8C16F46A3B0FA0A757ED373CD"/>
  </w:style>
  <w:style w:type="paragraph" w:customStyle="1" w:styleId="628D455D85B247CD9235F149C09EFEFE">
    <w:name w:val="628D455D85B247CD9235F149C09EFEFE"/>
  </w:style>
  <w:style w:type="paragraph" w:customStyle="1" w:styleId="50CB1E1B72FE4A2CBB8A0C0CD092419C">
    <w:name w:val="50CB1E1B72FE4A2CBB8A0C0CD092419C"/>
  </w:style>
  <w:style w:type="paragraph" w:customStyle="1" w:styleId="DDFA09DBFE464036B9071CEAB123FC2E">
    <w:name w:val="DDFA09DBFE464036B9071CEAB123FC2E"/>
  </w:style>
  <w:style w:type="paragraph" w:customStyle="1" w:styleId="Legend">
    <w:name w:val="Legend"/>
    <w:basedOn w:val="Normal"/>
    <w:qFormat/>
    <w:pPr>
      <w:spacing w:after="0" w:line="240" w:lineRule="auto"/>
    </w:pPr>
    <w:rPr>
      <w:rFonts w:ascii="Arial" w:eastAsiaTheme="minorHAnsi" w:hAnsi="Arial" w:cs="Arial"/>
      <w:sz w:val="14"/>
      <w:szCs w:val="20"/>
      <w:shd w:val="clear" w:color="auto" w:fill="FFFFFF"/>
      <w:lang w:val="en-US" w:eastAsia="en-US"/>
    </w:rPr>
  </w:style>
  <w:style w:type="paragraph" w:customStyle="1" w:styleId="AD52A3FD42754402B5DB0C48F5DDA0F0">
    <w:name w:val="AD52A3FD42754402B5DB0C48F5DDA0F0"/>
  </w:style>
  <w:style w:type="paragraph" w:customStyle="1" w:styleId="RfrencesAcknoledgment">
    <w:name w:val="RéférencesAcknoledgment"/>
    <w:basedOn w:val="Normal"/>
    <w:qFormat/>
    <w:pPr>
      <w:spacing w:after="0" w:line="240" w:lineRule="auto"/>
      <w:ind w:firstLine="170"/>
      <w:jc w:val="both"/>
    </w:pPr>
    <w:rPr>
      <w:rFonts w:ascii="Arial" w:eastAsia="Times New Roman" w:hAnsi="Arial" w:cs="Arial"/>
      <w:sz w:val="14"/>
      <w:szCs w:val="14"/>
      <w:lang w:val="en-US"/>
    </w:rPr>
  </w:style>
  <w:style w:type="paragraph" w:customStyle="1" w:styleId="370A0177884448B4844877CB29F706BF">
    <w:name w:val="370A0177884448B4844877CB29F706BF"/>
  </w:style>
  <w:style w:type="paragraph" w:customStyle="1" w:styleId="3E0EBE87D46C43AA9C7F6D7DD8ED65A4">
    <w:name w:val="3E0EBE87D46C43AA9C7F6D7DD8ED65A4"/>
  </w:style>
  <w:style w:type="paragraph" w:customStyle="1" w:styleId="029EC803C91E402985CAF6F0CC877F51">
    <w:name w:val="029EC803C91E402985CAF6F0CC877F51"/>
    <w:rsid w:val="00B324D2"/>
  </w:style>
  <w:style w:type="paragraph" w:customStyle="1" w:styleId="58180C064E604AA0B1460A94AED0DDFF">
    <w:name w:val="58180C064E604AA0B1460A94AED0DDFF"/>
    <w:rsid w:val="00B324D2"/>
  </w:style>
  <w:style w:type="paragraph" w:customStyle="1" w:styleId="5603E3CCA1DF479C9C3C340C6F3824BB">
    <w:name w:val="5603E3CCA1DF479C9C3C340C6F3824BB"/>
    <w:rsid w:val="00B324D2"/>
  </w:style>
  <w:style w:type="paragraph" w:customStyle="1" w:styleId="A5070A0AAE5742DAA9E6B178A264E34E">
    <w:name w:val="A5070A0AAE5742DAA9E6B178A264E34E"/>
    <w:rsid w:val="00B324D2"/>
  </w:style>
  <w:style w:type="paragraph" w:customStyle="1" w:styleId="101E3467C1624950AF62FD13026A440E">
    <w:name w:val="101E3467C1624950AF62FD13026A440E"/>
    <w:rsid w:val="00B324D2"/>
  </w:style>
  <w:style w:type="paragraph" w:customStyle="1" w:styleId="2D55BBBCB36D411586D0D6DDFF117B82">
    <w:name w:val="2D55BBBCB36D411586D0D6DDFF117B82"/>
    <w:rsid w:val="00B324D2"/>
  </w:style>
  <w:style w:type="paragraph" w:customStyle="1" w:styleId="238318E8D9D54301BE2467EE3FE76041">
    <w:name w:val="238318E8D9D54301BE2467EE3FE76041"/>
    <w:rsid w:val="00B324D2"/>
  </w:style>
  <w:style w:type="paragraph" w:customStyle="1" w:styleId="F09A6718EE544A8DA12B20D7D9F04E06">
    <w:name w:val="F09A6718EE544A8DA12B20D7D9F04E06"/>
    <w:rsid w:val="00B324D2"/>
  </w:style>
  <w:style w:type="paragraph" w:customStyle="1" w:styleId="32207CC89AD44758AD7576DE805BD924">
    <w:name w:val="32207CC89AD44758AD7576DE805BD924"/>
    <w:rsid w:val="00B324D2"/>
  </w:style>
  <w:style w:type="paragraph" w:customStyle="1" w:styleId="1F87CA6E38FE4EC187E98BBB8517E866">
    <w:name w:val="1F87CA6E38FE4EC187E98BBB8517E866"/>
    <w:rsid w:val="00B324D2"/>
  </w:style>
  <w:style w:type="paragraph" w:customStyle="1" w:styleId="FCCA7BB14E474FFBAEA6416E584CD2E9">
    <w:name w:val="FCCA7BB14E474FFBAEA6416E584CD2E9"/>
    <w:rsid w:val="00B324D2"/>
  </w:style>
  <w:style w:type="paragraph" w:customStyle="1" w:styleId="E8915CB0763A4A0888AE51A30EB5F694">
    <w:name w:val="E8915CB0763A4A0888AE51A30EB5F694"/>
    <w:rsid w:val="00B324D2"/>
  </w:style>
  <w:style w:type="paragraph" w:customStyle="1" w:styleId="A2569388CB9D4F53BBD4875BD2A07101">
    <w:name w:val="A2569388CB9D4F53BBD4875BD2A07101"/>
    <w:rsid w:val="00B324D2"/>
  </w:style>
  <w:style w:type="paragraph" w:customStyle="1" w:styleId="D2AB7C5EA2604EEDB8A1A8854AAA4DF3">
    <w:name w:val="D2AB7C5EA2604EEDB8A1A8854AAA4DF3"/>
    <w:rsid w:val="00B324D2"/>
  </w:style>
  <w:style w:type="paragraph" w:customStyle="1" w:styleId="C7323776288C4512BE4A205BE2828F65">
    <w:name w:val="C7323776288C4512BE4A205BE2828F65"/>
    <w:rsid w:val="00B324D2"/>
  </w:style>
  <w:style w:type="paragraph" w:customStyle="1" w:styleId="ECE86BEB849747CBA4BFDC2694871C7B">
    <w:name w:val="ECE86BEB849747CBA4BFDC2694871C7B"/>
    <w:rsid w:val="00B324D2"/>
  </w:style>
  <w:style w:type="paragraph" w:customStyle="1" w:styleId="DBB0C2E16D9A44D6A7ED475268DA9427">
    <w:name w:val="DBB0C2E16D9A44D6A7ED475268DA9427"/>
    <w:rsid w:val="00B324D2"/>
  </w:style>
  <w:style w:type="paragraph" w:customStyle="1" w:styleId="E84340F236AA48BF866F5B477C1CE5F6">
    <w:name w:val="E84340F236AA48BF866F5B477C1CE5F6"/>
    <w:rsid w:val="00B324D2"/>
  </w:style>
  <w:style w:type="paragraph" w:customStyle="1" w:styleId="8D277A16F70645278B8316AC6AF13F0A">
    <w:name w:val="8D277A16F70645278B8316AC6AF13F0A"/>
    <w:rsid w:val="00B324D2"/>
  </w:style>
  <w:style w:type="paragraph" w:customStyle="1" w:styleId="BC089BAAB78049E3909CBCA072B86CBF">
    <w:name w:val="BC089BAAB78049E3909CBCA072B86CBF"/>
    <w:rsid w:val="00B324D2"/>
  </w:style>
  <w:style w:type="paragraph" w:customStyle="1" w:styleId="32DF80E11B1349959D1F9DA31AFB0D1C">
    <w:name w:val="32DF80E11B1349959D1F9DA31AFB0D1C"/>
    <w:rsid w:val="00B324D2"/>
  </w:style>
  <w:style w:type="paragraph" w:customStyle="1" w:styleId="AA0A4828859543D2861B780A6227A8F4">
    <w:name w:val="AA0A4828859543D2861B780A6227A8F4"/>
    <w:rsid w:val="00B324D2"/>
  </w:style>
  <w:style w:type="paragraph" w:customStyle="1" w:styleId="1DFA83E157634699A6A7BDE034DB84D9">
    <w:name w:val="1DFA83E157634699A6A7BDE034DB84D9"/>
    <w:rsid w:val="00B324D2"/>
  </w:style>
  <w:style w:type="paragraph" w:customStyle="1" w:styleId="025F7CDA4C3B4A948543BB68625BB277">
    <w:name w:val="025F7CDA4C3B4A948543BB68625BB277"/>
    <w:rsid w:val="00B324D2"/>
  </w:style>
  <w:style w:type="paragraph" w:customStyle="1" w:styleId="FEF8AA5D26BF427796E0414E1343B07A">
    <w:name w:val="FEF8AA5D26BF427796E0414E1343B07A"/>
    <w:rsid w:val="00B324D2"/>
  </w:style>
  <w:style w:type="paragraph" w:customStyle="1" w:styleId="65EE14D97253477BA0C3139EAEB092F3">
    <w:name w:val="65EE14D97253477BA0C3139EAEB092F3"/>
    <w:rsid w:val="00B324D2"/>
  </w:style>
  <w:style w:type="paragraph" w:customStyle="1" w:styleId="1BDEB3F530364B1285500E40FC65651D">
    <w:name w:val="1BDEB3F530364B1285500E40FC65651D"/>
    <w:rsid w:val="00B324D2"/>
  </w:style>
  <w:style w:type="paragraph" w:customStyle="1" w:styleId="65FAA78B201843F49EDBD1C31699956C">
    <w:name w:val="65FAA78B201843F49EDBD1C31699956C"/>
    <w:rsid w:val="00ED112C"/>
  </w:style>
  <w:style w:type="paragraph" w:customStyle="1" w:styleId="A632CB8224A84FAE8D87EFB70BE891A0">
    <w:name w:val="A632CB8224A84FAE8D87EFB70BE891A0"/>
    <w:rsid w:val="00ED112C"/>
  </w:style>
  <w:style w:type="paragraph" w:customStyle="1" w:styleId="1909598E5C0542C5B86C3C1A75DAF6BD">
    <w:name w:val="1909598E5C0542C5B86C3C1A75DAF6BD"/>
    <w:rsid w:val="00ED1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D65E9BD58BF4BBCB48AC7A5F020E6" ma:contentTypeVersion="7" ma:contentTypeDescription="Crée un document." ma:contentTypeScope="" ma:versionID="fba1ea09a11ca8dc0a6a2f1769eed6f1">
  <xsd:schema xmlns:xsd="http://www.w3.org/2001/XMLSchema" xmlns:xs="http://www.w3.org/2001/XMLSchema" xmlns:p="http://schemas.microsoft.com/office/2006/metadata/properties" xmlns:ns3="c6539720-95fa-4b6a-9395-de1b6ef7f40c" xmlns:ns4="395c724f-58e7-4ff3-b70d-2fab5230e633" targetNamespace="http://schemas.microsoft.com/office/2006/metadata/properties" ma:root="true" ma:fieldsID="5829481bb7ca76347641148f188e5907" ns3:_="" ns4:_="">
    <xsd:import namespace="c6539720-95fa-4b6a-9395-de1b6ef7f40c"/>
    <xsd:import namespace="395c724f-58e7-4ff3-b70d-2fab5230e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9720-95fa-4b6a-9395-de1b6ef7f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c724f-58e7-4ff3-b70d-2fab5230e63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FFD2-4303-4D1A-BD23-4105790DDA27}">
  <ds:schemaRefs>
    <ds:schemaRef ds:uri="http://schemas.microsoft.com/sharepoint/v3/contenttype/forms"/>
  </ds:schemaRefs>
</ds:datastoreItem>
</file>

<file path=customXml/itemProps2.xml><?xml version="1.0" encoding="utf-8"?>
<ds:datastoreItem xmlns:ds="http://schemas.openxmlformats.org/officeDocument/2006/customXml" ds:itemID="{DA0E995D-C14A-41F7-B5F4-F4B6363C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9720-95fa-4b6a-9395-de1b6ef7f40c"/>
    <ds:schemaRef ds:uri="395c724f-58e7-4ff3-b70d-2fab5230e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7947F-32D2-413F-BC2D-E8F4096B1B32}">
  <ds:schemaRefs>
    <ds:schemaRef ds:uri="395c724f-58e7-4ff3-b70d-2fab5230e633"/>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c6539720-95fa-4b6a-9395-de1b6ef7f40c"/>
    <ds:schemaRef ds:uri="http://schemas.microsoft.com/office/2006/metadata/properties"/>
  </ds:schemaRefs>
</ds:datastoreItem>
</file>

<file path=customXml/itemProps4.xml><?xml version="1.0" encoding="utf-8"?>
<ds:datastoreItem xmlns:ds="http://schemas.openxmlformats.org/officeDocument/2006/customXml" ds:itemID="{C87F30ED-D97B-4BF8-82ED-AE0CF43F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7546</Words>
  <Characters>41503</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Morel</dc:creator>
  <cp:keywords/>
  <dc:description/>
  <cp:lastModifiedBy>Matthieu Delannoy</cp:lastModifiedBy>
  <cp:revision>2</cp:revision>
  <cp:lastPrinted>2020-09-13T11:35:00Z</cp:lastPrinted>
  <dcterms:created xsi:type="dcterms:W3CDTF">2022-10-27T08:56:00Z</dcterms:created>
  <dcterms:modified xsi:type="dcterms:W3CDTF">2022-10-27T08:56:00Z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0x010100685D65E9BD58BF4BBCB48AC7A5F020E6</vt:lpwstr>
  </property>
  <property fmtid="{D5CDD505-2E9C-101B-9397-08002B2CF9AE}" pid="3" name="ZOTERO_PREF_1">
    <vt:lpwstr>&lt;data data-version="3" zotero-version="5.0.88"&gt;&lt;session id="7rUIF3Wb"/&gt;&lt;style id="http://www.zotero.org/styles/environmental-toxicology-and-pharmacology" hasBibliography="1" bibliographyStyleHasBeenSet="1"/&gt;&lt;prefs&gt;&lt;pref name="fieldType" value="Field"/&gt;&lt;pr</vt:lpwstr>
  </property>
  <property fmtid="{D5CDD505-2E9C-101B-9397-08002B2CF9AE}" pid="4" name="ZOTERO_PREF_2">
    <vt:lpwstr>ef name="automaticJournalAbbreviations" value="true"/&gt;&lt;/prefs&gt;&lt;/data&gt;</vt:lpwstr>
  </property>
</Properties>
</file>