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E2" w:rsidRPr="000022E2" w:rsidRDefault="000022E2" w:rsidP="000022E2">
      <w:pPr>
        <w:autoSpaceDE w:val="0"/>
        <w:autoSpaceDN w:val="0"/>
        <w:adjustRightInd w:val="0"/>
        <w:spacing w:line="480" w:lineRule="auto"/>
        <w:ind w:leftChars="100" w:left="220" w:rightChars="200" w:right="440"/>
        <w:jc w:val="center"/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</w:pPr>
      <w:bookmarkStart w:id="0" w:name="_GoBack"/>
      <w:bookmarkEnd w:id="0"/>
      <w:r w:rsidRPr="000022E2"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 xml:space="preserve">Double strand break repair </w:t>
      </w:r>
      <w:r w:rsidR="00DF651E"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>triggers</w:t>
      </w:r>
      <w:r w:rsidRPr="000022E2"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 xml:space="preserve"> genome plastic</w:t>
      </w:r>
      <w:r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>i</w:t>
      </w:r>
      <w:r w:rsidRPr="000022E2"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 xml:space="preserve">ty in </w:t>
      </w:r>
      <w:r w:rsidRPr="000022E2">
        <w:rPr>
          <w:rFonts w:ascii="Times New Roman" w:hAnsi="Times New Roman" w:cs="Times New Roman"/>
          <w:b/>
          <w:i/>
          <w:color w:val="131413"/>
          <w:sz w:val="24"/>
          <w:szCs w:val="24"/>
          <w:lang w:val="en-US" w:eastAsia="ko-KR"/>
        </w:rPr>
        <w:t>Streptomyces</w:t>
      </w:r>
    </w:p>
    <w:p w:rsidR="000022E2" w:rsidRPr="00E63474" w:rsidRDefault="000022E2" w:rsidP="000022E2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0022E2">
        <w:rPr>
          <w:rFonts w:ascii="Times New Roman" w:hAnsi="Times New Roman" w:cs="Times New Roman"/>
          <w:b/>
        </w:rPr>
        <w:t xml:space="preserve">Grégory </w:t>
      </w:r>
      <w:r w:rsidRPr="00E63474">
        <w:rPr>
          <w:rFonts w:ascii="Times New Roman" w:hAnsi="Times New Roman" w:cs="Times New Roman"/>
          <w:b/>
        </w:rPr>
        <w:t>Hoff</w:t>
      </w:r>
      <w:r w:rsidRPr="00E63474">
        <w:rPr>
          <w:rFonts w:ascii="Times New Roman" w:hAnsi="Times New Roman" w:cs="Times New Roman"/>
          <w:b/>
          <w:vertAlign w:val="superscript"/>
        </w:rPr>
        <w:t>1</w:t>
      </w:r>
      <w:r w:rsidRPr="00E63474">
        <w:rPr>
          <w:rFonts w:ascii="Times New Roman" w:hAnsi="Times New Roman" w:cs="Times New Roman"/>
          <w:b/>
        </w:rPr>
        <w:t>, Claire Bertrand</w:t>
      </w:r>
      <w:r w:rsidRPr="00E63474">
        <w:rPr>
          <w:rFonts w:ascii="Times New Roman" w:hAnsi="Times New Roman" w:cs="Times New Roman"/>
          <w:b/>
          <w:vertAlign w:val="superscript"/>
        </w:rPr>
        <w:t>1</w:t>
      </w:r>
      <w:r w:rsidRPr="00E63474">
        <w:rPr>
          <w:rFonts w:ascii="Times New Roman" w:hAnsi="Times New Roman" w:cs="Times New Roman"/>
          <w:b/>
        </w:rPr>
        <w:t>, Emilie Piotrowski</w:t>
      </w:r>
      <w:r w:rsidRPr="00E63474">
        <w:rPr>
          <w:rFonts w:ascii="Times New Roman" w:hAnsi="Times New Roman" w:cs="Times New Roman"/>
          <w:b/>
          <w:vertAlign w:val="superscript"/>
        </w:rPr>
        <w:t>1</w:t>
      </w:r>
      <w:r w:rsidRPr="00E63474">
        <w:rPr>
          <w:rFonts w:ascii="Times New Roman" w:hAnsi="Times New Roman" w:cs="Times New Roman"/>
          <w:b/>
        </w:rPr>
        <w:t>, Annabelle Thibessard</w:t>
      </w:r>
      <w:r w:rsidRPr="00E63474">
        <w:rPr>
          <w:rFonts w:ascii="Times New Roman" w:hAnsi="Times New Roman" w:cs="Times New Roman"/>
          <w:b/>
          <w:vertAlign w:val="superscript"/>
        </w:rPr>
        <w:t>1</w:t>
      </w:r>
      <w:r w:rsidRPr="00E63474">
        <w:rPr>
          <w:rFonts w:ascii="Times New Roman" w:hAnsi="Times New Roman" w:cs="Times New Roman"/>
          <w:b/>
        </w:rPr>
        <w:t xml:space="preserve"> and </w:t>
      </w:r>
      <w:r w:rsidRPr="008C1F6F">
        <w:rPr>
          <w:rFonts w:ascii="Times New Roman" w:hAnsi="Times New Roman" w:cs="Times New Roman"/>
          <w:b/>
        </w:rPr>
        <w:t>Pierre Leblond</w:t>
      </w:r>
      <w:r w:rsidRPr="008C1F6F">
        <w:rPr>
          <w:rFonts w:ascii="Times New Roman" w:hAnsi="Times New Roman" w:cs="Times New Roman"/>
          <w:b/>
          <w:vertAlign w:val="superscript"/>
        </w:rPr>
        <w:t>1</w:t>
      </w:r>
    </w:p>
    <w:p w:rsidR="000022E2" w:rsidRPr="00E63474" w:rsidRDefault="000022E2" w:rsidP="000022E2">
      <w:pPr>
        <w:ind w:leftChars="100" w:left="220" w:rightChars="200" w:right="440"/>
        <w:jc w:val="center"/>
        <w:rPr>
          <w:rFonts w:ascii="Times New Roman" w:hAnsi="Times New Roman" w:cs="Times New Roman"/>
        </w:rPr>
      </w:pPr>
      <w:r w:rsidRPr="00E63474">
        <w:rPr>
          <w:rFonts w:ascii="Times New Roman" w:hAnsi="Times New Roman" w:cs="Times New Roman"/>
          <w:vertAlign w:val="superscript"/>
        </w:rPr>
        <w:t>1</w:t>
      </w:r>
      <w:r w:rsidRPr="00E63474">
        <w:rPr>
          <w:rFonts w:ascii="Times New Roman" w:hAnsi="Times New Roman" w:cs="Times New Roman"/>
        </w:rPr>
        <w:t>INRA-Université de Lorraine, Dynamique des Génomes et Adaptation Microbienne, UMR 1128, Vandœuvre-lès-Nancy, F-54506, France (</w:t>
      </w:r>
      <w:r w:rsidRPr="00E63474">
        <w:rPr>
          <w:rStyle w:val="Lienhypertexte"/>
          <w:rFonts w:ascii="Times New Roman" w:hAnsi="Times New Roman" w:cs="Times New Roman"/>
          <w:lang w:val="en-US"/>
        </w:rPr>
        <w:t>pierre.leblond@univ-lorraine.fr</w:t>
      </w:r>
      <w:r w:rsidRPr="00E63474">
        <w:rPr>
          <w:rFonts w:ascii="Times New Roman" w:hAnsi="Times New Roman" w:cs="Times New Roman"/>
        </w:rPr>
        <w:t>)</w:t>
      </w:r>
    </w:p>
    <w:p w:rsidR="000022E2" w:rsidRPr="00024932" w:rsidRDefault="000022E2" w:rsidP="00024932">
      <w:pPr>
        <w:ind w:leftChars="100" w:left="220" w:rightChars="200" w:right="440"/>
        <w:jc w:val="center"/>
        <w:rPr>
          <w:rFonts w:ascii="Times New Roman" w:hAnsi="Times New Roman" w:cs="Times New Roman"/>
        </w:rPr>
      </w:pPr>
      <w:r w:rsidRPr="00E63474">
        <w:rPr>
          <w:rFonts w:ascii="Times New Roman" w:hAnsi="Times New Roman" w:cs="Times New Roman"/>
          <w:vertAlign w:val="superscript"/>
        </w:rPr>
        <w:t>2</w:t>
      </w:r>
      <w:r w:rsidRPr="00E63474">
        <w:rPr>
          <w:rFonts w:ascii="Times New Roman" w:hAnsi="Times New Roman" w:cs="Times New Roman"/>
        </w:rPr>
        <w:t xml:space="preserve">Institut </w:t>
      </w:r>
      <w:proofErr w:type="spellStart"/>
      <w:r w:rsidRPr="00E63474">
        <w:rPr>
          <w:rFonts w:ascii="Times New Roman" w:hAnsi="Times New Roman" w:cs="Times New Roman"/>
        </w:rPr>
        <w:t>Micalis</w:t>
      </w:r>
      <w:proofErr w:type="spellEnd"/>
      <w:r w:rsidRPr="00E63474">
        <w:rPr>
          <w:rFonts w:ascii="Times New Roman" w:hAnsi="Times New Roman" w:cs="Times New Roman"/>
        </w:rPr>
        <w:t xml:space="preserve">, INRA, </w:t>
      </w:r>
      <w:proofErr w:type="spellStart"/>
      <w:r w:rsidRPr="00E63474">
        <w:rPr>
          <w:rFonts w:ascii="Times New Roman" w:hAnsi="Times New Roman" w:cs="Times New Roman"/>
        </w:rPr>
        <w:t>AgroParisTech</w:t>
      </w:r>
      <w:proofErr w:type="spellEnd"/>
      <w:r w:rsidRPr="00E63474">
        <w:rPr>
          <w:rFonts w:ascii="Times New Roman" w:hAnsi="Times New Roman" w:cs="Times New Roman"/>
        </w:rPr>
        <w:t>, Université Paris-Saclay, 78350 Jouy-en-Josas, France.</w:t>
      </w:r>
    </w:p>
    <w:p w:rsidR="00024932" w:rsidRPr="00024932" w:rsidRDefault="00024932" w:rsidP="00024932">
      <w:pPr>
        <w:ind w:leftChars="100" w:left="220" w:rightChars="200" w:right="440"/>
        <w:jc w:val="center"/>
        <w:rPr>
          <w:rFonts w:ascii="Times New Roman" w:hAnsi="Times New Roman" w:cs="Times New Roman"/>
        </w:rPr>
      </w:pPr>
    </w:p>
    <w:p w:rsidR="00A748E8" w:rsidRDefault="00814D77" w:rsidP="00A748E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14D77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Intro</w:t>
      </w:r>
      <w:r w:rsidR="0046612D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duction</w:t>
      </w:r>
      <w:r w:rsidRPr="00814D77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: </w:t>
      </w:r>
      <w:r w:rsidR="00636940"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>Double strand breaks (DSB) are the most detrime</w:t>
      </w:r>
      <w:r w:rsidR="0046612D">
        <w:rPr>
          <w:rFonts w:ascii="Times New Roman" w:hAnsi="Times New Roman" w:cs="Times New Roman"/>
          <w:color w:val="auto"/>
          <w:sz w:val="22"/>
          <w:szCs w:val="22"/>
          <w:lang w:val="en-US"/>
        </w:rPr>
        <w:t>ntal damage that bacteria</w:t>
      </w:r>
      <w:r w:rsidR="00636940"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have to cope with. Two main DSB repair pathways, namely homologous recombination (HR) and non-homologous end joining (NHEJ) are in charge with DSB repair. HR relies on an intact copy of the damaged DNA molecule as a template. NHEJ, for its part, which is present in only 20% to 25% of the bacteria, </w:t>
      </w:r>
      <w:proofErr w:type="gramStart"/>
      <w:r w:rsidR="00636940"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>is considered</w:t>
      </w:r>
      <w:proofErr w:type="gramEnd"/>
      <w:r w:rsidR="00636940"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as a mutagenic pathway. Hence, in the absence of template, NHEJ is an error-prone mechanism</w:t>
      </w:r>
      <w:r w:rsidR="009C5E7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triggering nucleotide addition or deletion</w:t>
      </w:r>
      <w:r w:rsidR="00636940"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at DSB healing site. </w:t>
      </w:r>
    </w:p>
    <w:p w:rsidR="00814D77" w:rsidRDefault="00C60E85" w:rsidP="00ED462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Objectives</w:t>
      </w:r>
      <w:r w:rsidR="00814D77" w:rsidRPr="00814D77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: </w:t>
      </w:r>
      <w:r w:rsidR="0017478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Although the high plasticity of the </w:t>
      </w:r>
      <w:r w:rsidR="00174781" w:rsidRPr="00174781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Streptomyces</w:t>
      </w:r>
      <w:r w:rsidR="0017478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linear chromosome </w:t>
      </w:r>
      <w:proofErr w:type="gramStart"/>
      <w:r w:rsidR="00174781">
        <w:rPr>
          <w:rFonts w:ascii="Times New Roman" w:hAnsi="Times New Roman" w:cs="Times New Roman"/>
          <w:color w:val="auto"/>
          <w:sz w:val="22"/>
          <w:szCs w:val="22"/>
          <w:lang w:val="en-US"/>
        </w:rPr>
        <w:t>was reported</w:t>
      </w:r>
      <w:proofErr w:type="gramEnd"/>
      <w:r w:rsidR="0017478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until the first genetic studies, t</w:t>
      </w:r>
      <w:r w:rsidR="00174781">
        <w:rPr>
          <w:rFonts w:ascii="Times New Roman" w:hAnsi="Times New Roman" w:cs="Times New Roman"/>
          <w:sz w:val="22"/>
          <w:szCs w:val="22"/>
          <w:lang w:val="en-US"/>
        </w:rPr>
        <w:t xml:space="preserve">he relative contribution of HR </w:t>
      </w:r>
      <w:r w:rsidR="00ED462F">
        <w:rPr>
          <w:rFonts w:ascii="Times New Roman" w:hAnsi="Times New Roman" w:cs="Times New Roman"/>
          <w:sz w:val="22"/>
          <w:szCs w:val="22"/>
          <w:lang w:val="en-US"/>
        </w:rPr>
        <w:t xml:space="preserve">[1] and NHEJ [2] </w:t>
      </w:r>
      <w:r w:rsidR="00174781">
        <w:rPr>
          <w:rFonts w:ascii="Times New Roman" w:hAnsi="Times New Roman" w:cs="Times New Roman"/>
          <w:sz w:val="22"/>
          <w:szCs w:val="22"/>
          <w:lang w:val="en-US"/>
        </w:rPr>
        <w:t xml:space="preserve">to the stability and evolution of the chromosome of </w:t>
      </w:r>
      <w:r w:rsidR="00174781" w:rsidRPr="00174781">
        <w:rPr>
          <w:rFonts w:ascii="Times New Roman" w:hAnsi="Times New Roman" w:cs="Times New Roman"/>
          <w:i/>
          <w:sz w:val="22"/>
          <w:szCs w:val="22"/>
          <w:lang w:val="en-US"/>
        </w:rPr>
        <w:t>Streptomyces</w:t>
      </w:r>
      <w:r w:rsidR="00174781">
        <w:rPr>
          <w:rFonts w:ascii="Times New Roman" w:hAnsi="Times New Roman" w:cs="Times New Roman"/>
          <w:sz w:val="22"/>
          <w:szCs w:val="22"/>
          <w:lang w:val="en-US"/>
        </w:rPr>
        <w:t xml:space="preserve"> remains unknown. </w:t>
      </w:r>
    </w:p>
    <w:p w:rsidR="00814D77" w:rsidRDefault="00C60E85" w:rsidP="00ED462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Material and methods</w:t>
      </w:r>
      <w:r w:rsidR="00814D77" w:rsidRPr="00814D77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="00814D77">
        <w:rPr>
          <w:rFonts w:ascii="Times New Roman" w:hAnsi="Times New Roman" w:cs="Times New Roman"/>
          <w:sz w:val="22"/>
          <w:szCs w:val="22"/>
          <w:lang w:val="en-US"/>
        </w:rPr>
        <w:t xml:space="preserve">DSBs </w:t>
      </w:r>
      <w:proofErr w:type="gramStart"/>
      <w:r w:rsidR="00814D77">
        <w:rPr>
          <w:rFonts w:ascii="Times New Roman" w:hAnsi="Times New Roman" w:cs="Times New Roman"/>
          <w:sz w:val="22"/>
          <w:szCs w:val="22"/>
          <w:lang w:val="en-US"/>
        </w:rPr>
        <w:t>were induced</w:t>
      </w:r>
      <w:proofErr w:type="gramEnd"/>
      <w:r w:rsidR="00814D77">
        <w:rPr>
          <w:rFonts w:ascii="Times New Roman" w:hAnsi="Times New Roman" w:cs="Times New Roman"/>
          <w:sz w:val="22"/>
          <w:szCs w:val="22"/>
          <w:lang w:val="en-US"/>
        </w:rPr>
        <w:t xml:space="preserve"> by heterologous expression of the </w:t>
      </w:r>
      <w:proofErr w:type="spellStart"/>
      <w:r w:rsidR="00814D77">
        <w:rPr>
          <w:rFonts w:ascii="Times New Roman" w:hAnsi="Times New Roman" w:cs="Times New Roman"/>
          <w:sz w:val="22"/>
          <w:szCs w:val="22"/>
          <w:lang w:val="en-US"/>
        </w:rPr>
        <w:t>meganuclease</w:t>
      </w:r>
      <w:proofErr w:type="spellEnd"/>
      <w:r w:rsidR="00814D77">
        <w:rPr>
          <w:rFonts w:ascii="Times New Roman" w:hAnsi="Times New Roman" w:cs="Times New Roman"/>
          <w:sz w:val="22"/>
          <w:szCs w:val="22"/>
          <w:lang w:val="en-US"/>
        </w:rPr>
        <w:t xml:space="preserve"> I-</w:t>
      </w:r>
      <w:proofErr w:type="spellStart"/>
      <w:r w:rsidR="00814D77" w:rsidRPr="00814D77">
        <w:rPr>
          <w:rFonts w:ascii="Times New Roman" w:hAnsi="Times New Roman" w:cs="Times New Roman"/>
          <w:i/>
          <w:sz w:val="22"/>
          <w:szCs w:val="22"/>
          <w:lang w:val="en-US"/>
        </w:rPr>
        <w:t>Sce</w:t>
      </w:r>
      <w:r w:rsidR="00814D77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="00814D77">
        <w:rPr>
          <w:rFonts w:ascii="Times New Roman" w:hAnsi="Times New Roman" w:cs="Times New Roman"/>
          <w:sz w:val="22"/>
          <w:szCs w:val="22"/>
          <w:lang w:val="en-US"/>
        </w:rPr>
        <w:t xml:space="preserve"> targeting I-</w:t>
      </w:r>
      <w:proofErr w:type="spellStart"/>
      <w:r w:rsidR="00814D77" w:rsidRPr="00814D77">
        <w:rPr>
          <w:rFonts w:ascii="Times New Roman" w:hAnsi="Times New Roman" w:cs="Times New Roman"/>
          <w:i/>
          <w:sz w:val="22"/>
          <w:szCs w:val="22"/>
          <w:lang w:val="en-US"/>
        </w:rPr>
        <w:t>Sce</w:t>
      </w:r>
      <w:r w:rsidR="00814D77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="00814D77">
        <w:rPr>
          <w:rFonts w:ascii="Times New Roman" w:hAnsi="Times New Roman" w:cs="Times New Roman"/>
          <w:sz w:val="22"/>
          <w:szCs w:val="22"/>
          <w:lang w:val="en-US"/>
        </w:rPr>
        <w:t xml:space="preserve"> sites inserted into different chromosomal locations</w:t>
      </w:r>
      <w:r w:rsidR="009C5E7A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9C5E7A">
        <w:rPr>
          <w:rFonts w:ascii="Times New Roman" w:hAnsi="Times New Roman" w:cs="Times New Roman"/>
          <w:sz w:val="22"/>
          <w:szCs w:val="22"/>
          <w:lang w:val="en-US"/>
        </w:rPr>
        <w:t>different genetic backgrounds</w:t>
      </w:r>
      <w:r w:rsidR="00814D7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46612D" w:rsidRDefault="00814D77" w:rsidP="00ED462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14D77">
        <w:rPr>
          <w:rFonts w:ascii="Times New Roman" w:hAnsi="Times New Roman" w:cs="Times New Roman"/>
          <w:b/>
          <w:sz w:val="22"/>
          <w:szCs w:val="22"/>
          <w:lang w:val="en-US"/>
        </w:rPr>
        <w:t xml:space="preserve">Results: </w:t>
      </w:r>
      <w:r>
        <w:rPr>
          <w:rFonts w:ascii="Times New Roman" w:hAnsi="Times New Roman" w:cs="Times New Roman"/>
          <w:sz w:val="22"/>
          <w:szCs w:val="22"/>
          <w:lang w:val="en-US"/>
        </w:rPr>
        <w:t>DSB</w:t>
      </w:r>
      <w:r w:rsidR="00ED46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repair in the chromosomal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 arms </w:t>
      </w:r>
      <w:proofErr w:type="gramStart"/>
      <w:r w:rsidR="00ED462F">
        <w:rPr>
          <w:rFonts w:ascii="Times New Roman" w:hAnsi="Times New Roman" w:cs="Times New Roman"/>
          <w:sz w:val="22"/>
          <w:szCs w:val="22"/>
          <w:lang w:val="en-US"/>
        </w:rPr>
        <w:t>is accompanied</w:t>
      </w:r>
      <w:proofErr w:type="gramEnd"/>
      <w:r w:rsidR="00ED462F">
        <w:rPr>
          <w:rFonts w:ascii="Times New Roman" w:hAnsi="Times New Roman" w:cs="Times New Roman"/>
          <w:sz w:val="22"/>
          <w:szCs w:val="22"/>
          <w:lang w:val="en-US"/>
        </w:rPr>
        <w:t xml:space="preserve"> by the formation</w:t>
      </w:r>
      <w:r w:rsidR="00D81121">
        <w:rPr>
          <w:rFonts w:ascii="Times New Roman" w:hAnsi="Times New Roman" w:cs="Times New Roman"/>
          <w:sz w:val="22"/>
          <w:szCs w:val="22"/>
          <w:lang w:val="en-US"/>
        </w:rPr>
        <w:t xml:space="preserve"> of</w:t>
      </w:r>
      <w:r w:rsidR="00ED46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large deletions. In contrast, DSB healing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in the </w:t>
      </w:r>
      <w:r>
        <w:rPr>
          <w:rFonts w:ascii="Times New Roman" w:hAnsi="Times New Roman" w:cs="Times New Roman"/>
          <w:sz w:val="22"/>
          <w:szCs w:val="22"/>
          <w:lang w:val="en-US"/>
        </w:rPr>
        <w:t>central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 region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is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associated to mutagenic repair without </w:t>
      </w:r>
      <w:r>
        <w:rPr>
          <w:rFonts w:ascii="Times New Roman" w:hAnsi="Times New Roman" w:cs="Times New Roman"/>
          <w:sz w:val="22"/>
          <w:szCs w:val="22"/>
          <w:lang w:val="en-US"/>
        </w:rPr>
        <w:t>major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 rearrangement. This mutagenic repair is resulting from NHEJ as shown by DSB repair surveys in </w:t>
      </w:r>
      <w:proofErr w:type="gramStart"/>
      <w:r w:rsidR="001B11DC">
        <w:rPr>
          <w:rFonts w:ascii="Times New Roman" w:hAnsi="Times New Roman" w:cs="Times New Roman"/>
          <w:sz w:val="22"/>
          <w:szCs w:val="22"/>
          <w:lang w:val="en-US"/>
        </w:rPr>
        <w:t>mutants</w:t>
      </w:r>
      <w:proofErr w:type="gramEnd"/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 deficient for putative NHEJ actors </w:t>
      </w:r>
      <w:r w:rsidR="001B11DC" w:rsidRPr="000022E2">
        <w:rPr>
          <w:rFonts w:ascii="Times New Roman" w:hAnsi="Times New Roman" w:cs="Times New Roman"/>
          <w:sz w:val="22"/>
          <w:szCs w:val="22"/>
          <w:lang w:val="en-US"/>
        </w:rPr>
        <w:t xml:space="preserve">(Ku,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>ligases</w:t>
      </w:r>
      <w:r w:rsidR="001B11DC" w:rsidRPr="000022E2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1B11DC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Homologous recombination </w:t>
      </w:r>
      <w:proofErr w:type="gramStart"/>
      <w:r w:rsidR="000628A0">
        <w:rPr>
          <w:rFonts w:ascii="Times New Roman" w:hAnsi="Times New Roman" w:cs="Times New Roman"/>
          <w:sz w:val="22"/>
          <w:szCs w:val="22"/>
          <w:lang w:val="en-US"/>
        </w:rPr>
        <w:t>was shown</w:t>
      </w:r>
      <w:proofErr w:type="gramEnd"/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 to occur between duplicated </w:t>
      </w:r>
      <w:r>
        <w:rPr>
          <w:rFonts w:ascii="Times New Roman" w:hAnsi="Times New Roman" w:cs="Times New Roman"/>
          <w:sz w:val="22"/>
          <w:szCs w:val="22"/>
          <w:lang w:val="en-US"/>
        </w:rPr>
        <w:t>loci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 distributed along the chromosome</w:t>
      </w:r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 leading to chromosomal arm replacement and intense DNA amplification. NHEJ repair induced chromosomal circularization and the formation of large deletions.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Further, </w:t>
      </w:r>
      <w:r w:rsidR="00636940" w:rsidRPr="000022E2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involvement of NHEJ was concomitant with the </w:t>
      </w:r>
      <w:r w:rsidR="00636940" w:rsidRPr="000022E2">
        <w:rPr>
          <w:rFonts w:ascii="Times New Roman" w:hAnsi="Times New Roman" w:cs="Times New Roman"/>
          <w:sz w:val="22"/>
          <w:szCs w:val="22"/>
          <w:lang w:val="en-US"/>
        </w:rPr>
        <w:t xml:space="preserve">integration of genetic material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at the healing site. </w:t>
      </w:r>
    </w:p>
    <w:p w:rsidR="000A462D" w:rsidRPr="001B11DC" w:rsidRDefault="0046612D" w:rsidP="00ED462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612D">
        <w:rPr>
          <w:rFonts w:ascii="Times New Roman" w:hAnsi="Times New Roman" w:cs="Times New Roman"/>
          <w:b/>
          <w:sz w:val="22"/>
          <w:szCs w:val="22"/>
          <w:lang w:val="en-US"/>
        </w:rPr>
        <w:t>Con</w:t>
      </w:r>
      <w:r w:rsidR="00C60E85">
        <w:rPr>
          <w:rFonts w:ascii="Times New Roman" w:hAnsi="Times New Roman" w:cs="Times New Roman"/>
          <w:b/>
          <w:sz w:val="22"/>
          <w:szCs w:val="22"/>
          <w:lang w:val="en-US"/>
        </w:rPr>
        <w:t>clusion</w:t>
      </w:r>
      <w:r w:rsidRPr="0046612D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These data support that DSB repair is driving genome plasticity in </w:t>
      </w:r>
      <w:r w:rsidR="001B11DC" w:rsidRPr="001B11DC">
        <w:rPr>
          <w:rFonts w:ascii="Times New Roman" w:hAnsi="Times New Roman" w:cs="Times New Roman"/>
          <w:i/>
          <w:sz w:val="22"/>
          <w:szCs w:val="22"/>
          <w:lang w:val="en-US"/>
        </w:rPr>
        <w:t>Streptomyces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and that NHE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J may favor insertion of information from horizontal transfer. </w:t>
      </w:r>
      <w:r w:rsidR="00616943">
        <w:rPr>
          <w:rFonts w:ascii="Times New Roman" w:hAnsi="Times New Roman" w:cs="Times New Roman"/>
          <w:sz w:val="22"/>
          <w:szCs w:val="22"/>
          <w:lang w:val="en-US"/>
        </w:rPr>
        <w:t xml:space="preserve">These recombination processes could confer </w:t>
      </w:r>
      <w:r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616943">
        <w:rPr>
          <w:rFonts w:ascii="Times New Roman" w:hAnsi="Times New Roman" w:cs="Times New Roman"/>
          <w:sz w:val="22"/>
          <w:szCs w:val="22"/>
          <w:lang w:val="en-US"/>
        </w:rPr>
        <w:t xml:space="preserve"> capacity to evolve in response to environmental adversity.</w:t>
      </w:r>
    </w:p>
    <w:p w:rsidR="000022E2" w:rsidRDefault="000022E2" w:rsidP="000022E2">
      <w:pPr>
        <w:spacing w:after="0" w:line="480" w:lineRule="auto"/>
        <w:jc w:val="both"/>
        <w:rPr>
          <w:rFonts w:cs="Times New Roman"/>
          <w:szCs w:val="24"/>
          <w:vertAlign w:val="superscript"/>
          <w:lang w:val="en-US"/>
        </w:rPr>
      </w:pPr>
    </w:p>
    <w:p w:rsidR="00ED462F" w:rsidRDefault="00ED462F" w:rsidP="000022E2">
      <w:pPr>
        <w:spacing w:after="0" w:line="480" w:lineRule="auto"/>
        <w:jc w:val="both"/>
        <w:rPr>
          <w:rFonts w:cs="Times New Roman"/>
          <w:szCs w:val="24"/>
          <w:vertAlign w:val="superscript"/>
          <w:lang w:val="en-US"/>
        </w:rPr>
      </w:pPr>
      <w:r w:rsidRPr="000022E2">
        <w:rPr>
          <w:rFonts w:ascii="Times New Roman" w:hAnsi="Times New Roman" w:cs="Times New Roman" w:hint="eastAsia"/>
          <w:b/>
          <w:lang w:val="en-US"/>
        </w:rPr>
        <w:t>References</w:t>
      </w:r>
    </w:p>
    <w:p w:rsidR="00ED462F" w:rsidRDefault="00ED462F" w:rsidP="00ED462F">
      <w:pPr>
        <w:pStyle w:val="PrformatHTML"/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</w:pPr>
      <w:r w:rsidRPr="000022E2">
        <w:rPr>
          <w:rFonts w:ascii="Times New Roman" w:hAnsi="Times New Roman" w:cs="Times New Roman"/>
          <w:lang w:val="en-US"/>
        </w:rPr>
        <w:t xml:space="preserve">[1] </w:t>
      </w:r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 xml:space="preserve">Hoff G, Bertrand C, Piotrowski E, </w:t>
      </w:r>
      <w:proofErr w:type="spellStart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>Thibessard</w:t>
      </w:r>
      <w:proofErr w:type="spellEnd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 xml:space="preserve"> A, Leblond P. Implication of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>RuvABC</w:t>
      </w:r>
      <w:proofErr w:type="spellEnd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 xml:space="preserve"> and </w:t>
      </w:r>
      <w:proofErr w:type="spellStart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>RecG</w:t>
      </w:r>
      <w:proofErr w:type="spellEnd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 xml:space="preserve"> in homologous recombination in Streptomyce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 xml:space="preserve">s </w:t>
      </w:r>
      <w:proofErr w:type="spellStart"/>
      <w:r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>ambofaciens</w:t>
      </w:r>
      <w:proofErr w:type="spellEnd"/>
      <w:r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 xml:space="preserve">. Res </w:t>
      </w:r>
      <w:proofErr w:type="spellStart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>Microbiol</w:t>
      </w:r>
      <w:proofErr w:type="spellEnd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>. 2017 Jan</w:t>
      </w:r>
      <w:proofErr w:type="gramStart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>;168</w:t>
      </w:r>
      <w:proofErr w:type="gramEnd"/>
      <w:r w:rsidRPr="00ED462F"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  <w:t xml:space="preserve">(1):26-35. </w:t>
      </w:r>
    </w:p>
    <w:p w:rsidR="00616943" w:rsidRPr="00ED462F" w:rsidRDefault="00616943" w:rsidP="00ED462F">
      <w:pPr>
        <w:pStyle w:val="PrformatHTML"/>
        <w:rPr>
          <w:rFonts w:ascii="Times New Roman" w:eastAsiaTheme="minorHAnsi" w:hAnsi="Times New Roman" w:cs="Times New Roman"/>
          <w:color w:val="000000"/>
          <w:sz w:val="22"/>
          <w:szCs w:val="22"/>
          <w:lang w:val="en-US" w:eastAsia="en-US"/>
        </w:rPr>
      </w:pPr>
    </w:p>
    <w:p w:rsidR="00ED462F" w:rsidRPr="00ED462F" w:rsidRDefault="00ED462F" w:rsidP="00E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>[2</w:t>
      </w:r>
      <w:r w:rsidRPr="000022E2">
        <w:rPr>
          <w:rFonts w:ascii="Times New Roman" w:hAnsi="Times New Roman" w:cs="Times New Roman"/>
          <w:lang w:val="en-US"/>
        </w:rPr>
        <w:t xml:space="preserve">] </w:t>
      </w:r>
      <w:r w:rsidRPr="00ED462F">
        <w:rPr>
          <w:rFonts w:ascii="Times New Roman" w:hAnsi="Times New Roman" w:cs="Times New Roman"/>
          <w:color w:val="000000"/>
          <w:lang w:val="en-US"/>
        </w:rPr>
        <w:t xml:space="preserve">Hoff G, Bertrand C, Zhang L, Piotrowski E, </w:t>
      </w:r>
      <w:proofErr w:type="spellStart"/>
      <w:r w:rsidRPr="00ED462F">
        <w:rPr>
          <w:rFonts w:ascii="Times New Roman" w:hAnsi="Times New Roman" w:cs="Times New Roman"/>
          <w:color w:val="000000"/>
          <w:lang w:val="en-US"/>
        </w:rPr>
        <w:t>Chipot</w:t>
      </w:r>
      <w:proofErr w:type="spellEnd"/>
      <w:r w:rsidRPr="00ED462F">
        <w:rPr>
          <w:rFonts w:ascii="Times New Roman" w:hAnsi="Times New Roman" w:cs="Times New Roman"/>
          <w:color w:val="000000"/>
          <w:lang w:val="en-US"/>
        </w:rPr>
        <w:t xml:space="preserve"> L, Bontemps C, Confalonieri </w:t>
      </w:r>
      <w:r>
        <w:rPr>
          <w:rFonts w:ascii="Times New Roman" w:hAnsi="Times New Roman" w:cs="Times New Roman"/>
          <w:color w:val="000000"/>
          <w:lang w:val="en-US"/>
        </w:rPr>
        <w:t xml:space="preserve">F, McGovern S, </w:t>
      </w:r>
      <w:proofErr w:type="spellStart"/>
      <w:r w:rsidRPr="00ED462F">
        <w:rPr>
          <w:rFonts w:ascii="Times New Roman" w:hAnsi="Times New Roman" w:cs="Times New Roman"/>
          <w:color w:val="000000"/>
          <w:lang w:val="en-US"/>
        </w:rPr>
        <w:t>Lecointe</w:t>
      </w:r>
      <w:proofErr w:type="spellEnd"/>
      <w:r w:rsidRPr="00ED462F">
        <w:rPr>
          <w:rFonts w:ascii="Times New Roman" w:hAnsi="Times New Roman" w:cs="Times New Roman"/>
          <w:color w:val="000000"/>
          <w:lang w:val="en-US"/>
        </w:rPr>
        <w:t xml:space="preserve"> F, </w:t>
      </w:r>
      <w:proofErr w:type="spellStart"/>
      <w:r w:rsidRPr="00ED462F">
        <w:rPr>
          <w:rFonts w:ascii="Times New Roman" w:hAnsi="Times New Roman" w:cs="Times New Roman"/>
          <w:color w:val="000000"/>
          <w:lang w:val="en-US"/>
        </w:rPr>
        <w:t>Thibessard</w:t>
      </w:r>
      <w:proofErr w:type="spellEnd"/>
      <w:r w:rsidRPr="00ED462F">
        <w:rPr>
          <w:rFonts w:ascii="Times New Roman" w:hAnsi="Times New Roman" w:cs="Times New Roman"/>
          <w:color w:val="000000"/>
          <w:lang w:val="en-US"/>
        </w:rPr>
        <w:t xml:space="preserve"> A, Leblond P. Multiple and Variable</w:t>
      </w:r>
      <w:r>
        <w:rPr>
          <w:rFonts w:ascii="Times New Roman" w:hAnsi="Times New Roman" w:cs="Times New Roman"/>
          <w:color w:val="000000"/>
          <w:lang w:val="en-US"/>
        </w:rPr>
        <w:t xml:space="preserve"> NHEJ-Like Genes Are Involved in </w:t>
      </w:r>
      <w:r w:rsidRPr="00ED462F">
        <w:rPr>
          <w:rFonts w:ascii="Times New Roman" w:hAnsi="Times New Roman" w:cs="Times New Roman"/>
          <w:color w:val="000000"/>
          <w:lang w:val="en-US"/>
        </w:rPr>
        <w:t xml:space="preserve">Resistance to DNA Damage in </w:t>
      </w:r>
      <w:r w:rsidRPr="00ED462F">
        <w:rPr>
          <w:rFonts w:ascii="Times New Roman" w:hAnsi="Times New Roman" w:cs="Times New Roman"/>
          <w:i/>
          <w:color w:val="000000"/>
          <w:lang w:val="en-US"/>
        </w:rPr>
        <w:t xml:space="preserve">Streptomyces </w:t>
      </w:r>
      <w:proofErr w:type="spellStart"/>
      <w:r w:rsidRPr="00ED462F">
        <w:rPr>
          <w:rFonts w:ascii="Times New Roman" w:hAnsi="Times New Roman" w:cs="Times New Roman"/>
          <w:i/>
          <w:color w:val="000000"/>
          <w:lang w:val="en-US"/>
        </w:rPr>
        <w:t>ambofaciens</w:t>
      </w:r>
      <w:proofErr w:type="spellEnd"/>
      <w:r w:rsidRPr="00ED462F">
        <w:rPr>
          <w:rFonts w:ascii="Times New Roman" w:hAnsi="Times New Roman" w:cs="Times New Roman"/>
          <w:color w:val="000000"/>
          <w:lang w:val="en-US"/>
        </w:rPr>
        <w:t xml:space="preserve">. Front </w:t>
      </w:r>
      <w:proofErr w:type="spellStart"/>
      <w:r w:rsidRPr="00ED462F">
        <w:rPr>
          <w:rFonts w:ascii="Times New Roman" w:hAnsi="Times New Roman" w:cs="Times New Roman"/>
          <w:color w:val="000000"/>
          <w:lang w:val="en-US"/>
        </w:rPr>
        <w:t>Microbiol</w:t>
      </w:r>
      <w:proofErr w:type="spellEnd"/>
      <w:r w:rsidRPr="00ED462F">
        <w:rPr>
          <w:rFonts w:ascii="Times New Roman" w:hAnsi="Times New Roman" w:cs="Times New Roman"/>
          <w:color w:val="000000"/>
          <w:lang w:val="en-US"/>
        </w:rPr>
        <w:t>. 2016 Nov 28;7:1901.</w:t>
      </w:r>
    </w:p>
    <w:p w:rsidR="00ED462F" w:rsidRPr="000878FF" w:rsidRDefault="00ED462F" w:rsidP="000022E2">
      <w:pPr>
        <w:spacing w:after="0" w:line="480" w:lineRule="auto"/>
        <w:jc w:val="both"/>
        <w:rPr>
          <w:rFonts w:cs="Times New Roman"/>
          <w:szCs w:val="24"/>
          <w:vertAlign w:val="superscript"/>
          <w:lang w:val="en-US"/>
        </w:rPr>
      </w:pPr>
    </w:p>
    <w:p w:rsidR="000022E2" w:rsidRPr="00FA4355" w:rsidRDefault="000022E2" w:rsidP="000022E2">
      <w:pPr>
        <w:pStyle w:val="Corpsdetexte"/>
        <w:spacing w:line="240" w:lineRule="auto"/>
        <w:ind w:leftChars="100" w:left="220" w:rightChars="200" w:right="440"/>
        <w:rPr>
          <w:rFonts w:ascii="Times New Roman" w:eastAsia="한양신명조" w:hAnsi="Times New Roman" w:cs="Times New Roman"/>
          <w:kern w:val="0"/>
        </w:rPr>
      </w:pPr>
    </w:p>
    <w:p w:rsidR="000022E2" w:rsidRDefault="000022E2" w:rsidP="000022E2"/>
    <w:p w:rsidR="000022E2" w:rsidRPr="00636940" w:rsidRDefault="000022E2" w:rsidP="00636940">
      <w:pPr>
        <w:jc w:val="both"/>
        <w:rPr>
          <w:rFonts w:cstheme="minorHAnsi"/>
          <w:sz w:val="24"/>
          <w:szCs w:val="24"/>
          <w:lang w:val="en-US"/>
        </w:rPr>
      </w:pPr>
    </w:p>
    <w:sectPr w:rsidR="000022E2" w:rsidRPr="00636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55" w:rsidRDefault="00BF7955" w:rsidP="00F97E7A">
      <w:pPr>
        <w:spacing w:after="0" w:line="240" w:lineRule="auto"/>
      </w:pPr>
      <w:r>
        <w:separator/>
      </w:r>
    </w:p>
  </w:endnote>
  <w:endnote w:type="continuationSeparator" w:id="0">
    <w:p w:rsidR="00BF7955" w:rsidRDefault="00BF7955" w:rsidP="00F9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平成明朝">
    <w:altName w:val="MS Gothic"/>
    <w:charset w:val="80"/>
    <w:family w:val="auto"/>
    <w:pitch w:val="variable"/>
    <w:sig w:usb0="01000000" w:usb1="00000000" w:usb2="07040001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7A" w:rsidRDefault="00F97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7A" w:rsidRDefault="00F97E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7A" w:rsidRDefault="00F97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55" w:rsidRDefault="00BF7955" w:rsidP="00F97E7A">
      <w:pPr>
        <w:spacing w:after="0" w:line="240" w:lineRule="auto"/>
      </w:pPr>
      <w:r>
        <w:separator/>
      </w:r>
    </w:p>
  </w:footnote>
  <w:footnote w:type="continuationSeparator" w:id="0">
    <w:p w:rsidR="00BF7955" w:rsidRDefault="00BF7955" w:rsidP="00F9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7A" w:rsidRDefault="00F97E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7A" w:rsidRDefault="00F97E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7A" w:rsidRDefault="00F97E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CFB"/>
    <w:multiLevelType w:val="hybridMultilevel"/>
    <w:tmpl w:val="AF389200"/>
    <w:lvl w:ilvl="0" w:tplc="8D92C0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0"/>
    <w:rsid w:val="000022E2"/>
    <w:rsid w:val="00024932"/>
    <w:rsid w:val="000628A0"/>
    <w:rsid w:val="000A462D"/>
    <w:rsid w:val="00174781"/>
    <w:rsid w:val="001B11DC"/>
    <w:rsid w:val="002D4859"/>
    <w:rsid w:val="0046612D"/>
    <w:rsid w:val="00616943"/>
    <w:rsid w:val="00636940"/>
    <w:rsid w:val="00730D11"/>
    <w:rsid w:val="007B2948"/>
    <w:rsid w:val="00814D77"/>
    <w:rsid w:val="008C1F6F"/>
    <w:rsid w:val="009C5E7A"/>
    <w:rsid w:val="00A748E8"/>
    <w:rsid w:val="00BF7955"/>
    <w:rsid w:val="00C60E85"/>
    <w:rsid w:val="00CA1768"/>
    <w:rsid w:val="00D81121"/>
    <w:rsid w:val="00DF651E"/>
    <w:rsid w:val="00E63474"/>
    <w:rsid w:val="00ED462F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4A5D17-4385-4F3F-B4B7-892CBF3B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69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E7A"/>
  </w:style>
  <w:style w:type="paragraph" w:styleId="Pieddepage">
    <w:name w:val="footer"/>
    <w:basedOn w:val="Normal"/>
    <w:link w:val="PieddepageCar"/>
    <w:uiPriority w:val="99"/>
    <w:unhideWhenUsed/>
    <w:rsid w:val="00F9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E7A"/>
  </w:style>
  <w:style w:type="paragraph" w:styleId="Corpsdetexte">
    <w:name w:val="Body Text"/>
    <w:basedOn w:val="Normal"/>
    <w:link w:val="CorpsdetexteCar"/>
    <w:rsid w:val="000022E2"/>
    <w:pPr>
      <w:widowControl w:val="0"/>
      <w:adjustRightInd w:val="0"/>
      <w:spacing w:after="0" w:line="240" w:lineRule="atLeast"/>
      <w:ind w:right="1510"/>
      <w:jc w:val="both"/>
    </w:pPr>
    <w:rPr>
      <w:rFonts w:ascii="平成明朝" w:eastAsia="MS Mincho" w:hAnsi="Times" w:cs="Times"/>
      <w:color w:val="000000"/>
      <w:kern w:val="2"/>
      <w:lang w:val="en-US" w:eastAsia="ja-JP"/>
    </w:rPr>
  </w:style>
  <w:style w:type="character" w:customStyle="1" w:styleId="CorpsdetexteCar">
    <w:name w:val="Corps de texte Car"/>
    <w:basedOn w:val="Policepardfaut"/>
    <w:link w:val="Corpsdetexte"/>
    <w:rsid w:val="000022E2"/>
    <w:rPr>
      <w:rFonts w:ascii="平成明朝" w:eastAsia="MS Mincho" w:hAnsi="Times" w:cs="Times"/>
      <w:color w:val="000000"/>
      <w:kern w:val="2"/>
      <w:lang w:val="en-US" w:eastAsia="ja-JP"/>
    </w:rPr>
  </w:style>
  <w:style w:type="character" w:styleId="Lienhypertexte">
    <w:name w:val="Hyperlink"/>
    <w:rsid w:val="000022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22E2"/>
    <w:pPr>
      <w:widowControl w:val="0"/>
      <w:spacing w:after="0" w:line="240" w:lineRule="auto"/>
      <w:ind w:leftChars="400" w:left="800"/>
      <w:jc w:val="both"/>
    </w:pPr>
    <w:rPr>
      <w:rFonts w:ascii="Times" w:eastAsia="MS Mincho" w:hAnsi="Times" w:cs="Times"/>
      <w:kern w:val="2"/>
      <w:lang w:val="en-US" w:eastAsia="ja-JP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62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Leblond</dc:creator>
  <cp:keywords/>
  <dc:description/>
  <cp:lastModifiedBy>Pierre Leblond</cp:lastModifiedBy>
  <cp:revision>2</cp:revision>
  <dcterms:created xsi:type="dcterms:W3CDTF">2017-12-04T16:11:00Z</dcterms:created>
  <dcterms:modified xsi:type="dcterms:W3CDTF">2017-12-04T16:11:00Z</dcterms:modified>
</cp:coreProperties>
</file>