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4312" w14:textId="3CDB43C8"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Supplemental Material for Cunningham et al. “Effect of Sacubitril/Valsartan on Biomarkers of Extracellular Matrix Regulation in Patients with HFpEF”</w:t>
      </w:r>
    </w:p>
    <w:p w14:paraId="402EDF0B" w14:textId="77777777" w:rsidR="00442763" w:rsidRPr="00EB436F" w:rsidRDefault="00442763" w:rsidP="00EB436F">
      <w:pPr>
        <w:spacing w:line="480" w:lineRule="auto"/>
        <w:rPr>
          <w:rFonts w:ascii="Times New Roman" w:hAnsi="Times New Roman" w:cs="Times New Roman"/>
        </w:rPr>
      </w:pPr>
    </w:p>
    <w:p w14:paraId="26E19842" w14:textId="0E45EEE9" w:rsidR="00442763" w:rsidRPr="00EB436F" w:rsidRDefault="00EB436F" w:rsidP="00EB436F">
      <w:pPr>
        <w:spacing w:line="480" w:lineRule="auto"/>
        <w:rPr>
          <w:rFonts w:ascii="Times New Roman" w:hAnsi="Times New Roman" w:cs="Times New Roman"/>
        </w:rPr>
      </w:pPr>
      <w:r>
        <w:rPr>
          <w:rFonts w:ascii="Times New Roman" w:hAnsi="Times New Roman" w:cs="Times New Roman"/>
        </w:rPr>
        <w:t>Supplemental Table 1.</w:t>
      </w:r>
      <w:r w:rsidR="00442763" w:rsidRPr="00EB436F">
        <w:rPr>
          <w:rFonts w:ascii="Times New Roman" w:hAnsi="Times New Roman" w:cs="Times New Roman"/>
        </w:rPr>
        <w:t xml:space="preserve"> Baseline characteristics of patients with or without available biomarker data </w:t>
      </w:r>
    </w:p>
    <w:tbl>
      <w:tblPr>
        <w:tblW w:w="7912" w:type="dxa"/>
        <w:tblLook w:val="04A0" w:firstRow="1" w:lastRow="0" w:firstColumn="1" w:lastColumn="0" w:noHBand="0" w:noVBand="1"/>
      </w:tblPr>
      <w:tblGrid>
        <w:gridCol w:w="3040"/>
        <w:gridCol w:w="2090"/>
        <w:gridCol w:w="1980"/>
        <w:gridCol w:w="892"/>
      </w:tblGrid>
      <w:tr w:rsidR="00442763" w:rsidRPr="00EB436F" w14:paraId="164885AB" w14:textId="77777777" w:rsidTr="00C069D0">
        <w:trPr>
          <w:trHeight w:val="301"/>
        </w:trPr>
        <w:tc>
          <w:tcPr>
            <w:tcW w:w="3040" w:type="dxa"/>
            <w:tcBorders>
              <w:top w:val="nil"/>
              <w:left w:val="nil"/>
              <w:bottom w:val="nil"/>
              <w:right w:val="nil"/>
            </w:tcBorders>
            <w:shd w:val="clear" w:color="auto" w:fill="auto"/>
            <w:noWrap/>
            <w:vAlign w:val="bottom"/>
          </w:tcPr>
          <w:p w14:paraId="379AD765" w14:textId="77777777" w:rsidR="00442763" w:rsidRPr="00EB436F" w:rsidRDefault="00442763" w:rsidP="00EB436F">
            <w:pPr>
              <w:spacing w:line="480" w:lineRule="auto"/>
              <w:rPr>
                <w:rFonts w:ascii="Times New Roman" w:eastAsia="Times New Roman" w:hAnsi="Times New Roman" w:cs="Times New Roman"/>
              </w:rPr>
            </w:pP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6191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Available Biomarker Data</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3DEB5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Rest of Trial</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287B1E5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w:t>
            </w:r>
          </w:p>
        </w:tc>
      </w:tr>
      <w:tr w:rsidR="00442763" w:rsidRPr="00EB436F" w14:paraId="6CF6FA48" w14:textId="77777777" w:rsidTr="00C069D0">
        <w:trPr>
          <w:trHeight w:val="301"/>
        </w:trPr>
        <w:tc>
          <w:tcPr>
            <w:tcW w:w="3040" w:type="dxa"/>
            <w:tcBorders>
              <w:top w:val="nil"/>
              <w:left w:val="nil"/>
              <w:bottom w:val="nil"/>
              <w:right w:val="nil"/>
            </w:tcBorders>
            <w:shd w:val="clear" w:color="auto" w:fill="auto"/>
            <w:noWrap/>
            <w:vAlign w:val="bottom"/>
          </w:tcPr>
          <w:p w14:paraId="773CA737" w14:textId="77777777" w:rsidR="00442763" w:rsidRPr="00EB436F" w:rsidRDefault="00442763" w:rsidP="00EB436F">
            <w:pPr>
              <w:spacing w:line="480" w:lineRule="auto"/>
              <w:rPr>
                <w:rFonts w:ascii="Times New Roman" w:eastAsia="Times New Roman" w:hAnsi="Times New Roman" w:cs="Times New Roman"/>
                <w:color w:val="000000"/>
              </w:rPr>
            </w:pPr>
          </w:p>
        </w:tc>
        <w:tc>
          <w:tcPr>
            <w:tcW w:w="2090" w:type="dxa"/>
            <w:tcBorders>
              <w:top w:val="nil"/>
              <w:left w:val="single" w:sz="4" w:space="0" w:color="auto"/>
              <w:bottom w:val="single" w:sz="4" w:space="0" w:color="auto"/>
              <w:right w:val="single" w:sz="4" w:space="0" w:color="auto"/>
            </w:tcBorders>
            <w:shd w:val="clear" w:color="auto" w:fill="auto"/>
            <w:noWrap/>
            <w:vAlign w:val="bottom"/>
          </w:tcPr>
          <w:p w14:paraId="6CE7EEBA" w14:textId="71DC85F4"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n</w:t>
            </w:r>
            <w:r w:rsidR="00EB436F">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w:t>
            </w:r>
            <w:r w:rsidR="00EB436F">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135</w:t>
            </w:r>
          </w:p>
        </w:tc>
        <w:tc>
          <w:tcPr>
            <w:tcW w:w="1980" w:type="dxa"/>
            <w:tcBorders>
              <w:top w:val="nil"/>
              <w:left w:val="nil"/>
              <w:bottom w:val="single" w:sz="4" w:space="0" w:color="auto"/>
              <w:right w:val="single" w:sz="4" w:space="0" w:color="auto"/>
            </w:tcBorders>
            <w:shd w:val="clear" w:color="auto" w:fill="auto"/>
            <w:noWrap/>
            <w:vAlign w:val="bottom"/>
          </w:tcPr>
          <w:p w14:paraId="18BE3841" w14:textId="340BD076"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n</w:t>
            </w:r>
            <w:r w:rsidR="00EB436F">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w:t>
            </w:r>
            <w:r w:rsidR="00EB436F">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3</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661</w:t>
            </w:r>
          </w:p>
        </w:tc>
        <w:tc>
          <w:tcPr>
            <w:tcW w:w="802" w:type="dxa"/>
            <w:tcBorders>
              <w:top w:val="nil"/>
              <w:left w:val="nil"/>
              <w:bottom w:val="single" w:sz="4" w:space="0" w:color="auto"/>
              <w:right w:val="single" w:sz="4" w:space="0" w:color="auto"/>
            </w:tcBorders>
            <w:shd w:val="clear" w:color="auto" w:fill="auto"/>
            <w:noWrap/>
            <w:vAlign w:val="bottom"/>
          </w:tcPr>
          <w:p w14:paraId="5480D1A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w:t>
            </w:r>
          </w:p>
        </w:tc>
      </w:tr>
      <w:tr w:rsidR="00442763" w:rsidRPr="00EB436F" w14:paraId="2F463D4E" w14:textId="77777777" w:rsidTr="00C069D0">
        <w:trPr>
          <w:trHeight w:val="301"/>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927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Age, years</w:t>
            </w:r>
          </w:p>
        </w:tc>
        <w:tc>
          <w:tcPr>
            <w:tcW w:w="2090" w:type="dxa"/>
            <w:tcBorders>
              <w:top w:val="nil"/>
              <w:left w:val="nil"/>
              <w:bottom w:val="single" w:sz="4" w:space="0" w:color="auto"/>
              <w:right w:val="single" w:sz="4" w:space="0" w:color="auto"/>
            </w:tcBorders>
            <w:shd w:val="clear" w:color="auto" w:fill="auto"/>
            <w:noWrap/>
            <w:vAlign w:val="bottom"/>
          </w:tcPr>
          <w:p w14:paraId="63BBD83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73.5 ± 8.0</w:t>
            </w:r>
          </w:p>
        </w:tc>
        <w:tc>
          <w:tcPr>
            <w:tcW w:w="1980" w:type="dxa"/>
            <w:tcBorders>
              <w:top w:val="nil"/>
              <w:left w:val="nil"/>
              <w:bottom w:val="single" w:sz="4" w:space="0" w:color="auto"/>
              <w:right w:val="single" w:sz="4" w:space="0" w:color="auto"/>
            </w:tcBorders>
            <w:shd w:val="clear" w:color="auto" w:fill="auto"/>
            <w:noWrap/>
            <w:vAlign w:val="bottom"/>
          </w:tcPr>
          <w:p w14:paraId="3863836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72.5 ± 8.5</w:t>
            </w:r>
          </w:p>
        </w:tc>
        <w:tc>
          <w:tcPr>
            <w:tcW w:w="802" w:type="dxa"/>
            <w:tcBorders>
              <w:top w:val="nil"/>
              <w:left w:val="nil"/>
              <w:bottom w:val="single" w:sz="4" w:space="0" w:color="auto"/>
              <w:right w:val="single" w:sz="4" w:space="0" w:color="auto"/>
            </w:tcBorders>
            <w:shd w:val="clear" w:color="auto" w:fill="auto"/>
            <w:noWrap/>
            <w:vAlign w:val="bottom"/>
          </w:tcPr>
          <w:p w14:paraId="5CB5388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2778C4A5"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34AA9DE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Female</w:t>
            </w:r>
          </w:p>
        </w:tc>
        <w:tc>
          <w:tcPr>
            <w:tcW w:w="2090" w:type="dxa"/>
            <w:tcBorders>
              <w:top w:val="nil"/>
              <w:left w:val="nil"/>
              <w:bottom w:val="single" w:sz="4" w:space="0" w:color="auto"/>
              <w:right w:val="single" w:sz="4" w:space="0" w:color="auto"/>
            </w:tcBorders>
            <w:shd w:val="clear" w:color="auto" w:fill="auto"/>
            <w:noWrap/>
            <w:vAlign w:val="bottom"/>
          </w:tcPr>
          <w:p w14:paraId="10783BC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586 (51.6%)</w:t>
            </w:r>
          </w:p>
        </w:tc>
        <w:tc>
          <w:tcPr>
            <w:tcW w:w="1980" w:type="dxa"/>
            <w:tcBorders>
              <w:top w:val="nil"/>
              <w:left w:val="nil"/>
              <w:bottom w:val="single" w:sz="4" w:space="0" w:color="auto"/>
              <w:right w:val="single" w:sz="4" w:space="0" w:color="auto"/>
            </w:tcBorders>
            <w:shd w:val="clear" w:color="auto" w:fill="auto"/>
            <w:noWrap/>
            <w:vAlign w:val="bottom"/>
          </w:tcPr>
          <w:p w14:paraId="6F98FB4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1893 (51.7%)</w:t>
            </w:r>
          </w:p>
        </w:tc>
        <w:tc>
          <w:tcPr>
            <w:tcW w:w="802" w:type="dxa"/>
            <w:tcBorders>
              <w:top w:val="nil"/>
              <w:left w:val="nil"/>
              <w:bottom w:val="single" w:sz="4" w:space="0" w:color="auto"/>
              <w:right w:val="single" w:sz="4" w:space="0" w:color="auto"/>
            </w:tcBorders>
            <w:shd w:val="clear" w:color="auto" w:fill="auto"/>
            <w:noWrap/>
            <w:vAlign w:val="bottom"/>
          </w:tcPr>
          <w:p w14:paraId="5AEBE9E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0.96</w:t>
            </w:r>
          </w:p>
        </w:tc>
      </w:tr>
      <w:tr w:rsidR="00442763" w:rsidRPr="00EB436F" w14:paraId="11B2B2A3"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F1CA83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Race</w:t>
            </w:r>
          </w:p>
        </w:tc>
        <w:tc>
          <w:tcPr>
            <w:tcW w:w="2090" w:type="dxa"/>
            <w:tcBorders>
              <w:top w:val="nil"/>
              <w:left w:val="nil"/>
              <w:bottom w:val="single" w:sz="4" w:space="0" w:color="auto"/>
              <w:right w:val="single" w:sz="4" w:space="0" w:color="auto"/>
            </w:tcBorders>
            <w:shd w:val="clear" w:color="auto" w:fill="auto"/>
            <w:noWrap/>
            <w:vAlign w:val="bottom"/>
          </w:tcPr>
          <w:p w14:paraId="696EEBC6" w14:textId="77777777" w:rsidR="00442763" w:rsidRPr="00EB436F" w:rsidRDefault="00442763" w:rsidP="00EB436F">
            <w:pPr>
              <w:spacing w:line="480" w:lineRule="auto"/>
              <w:rPr>
                <w:rFonts w:ascii="Times New Roman" w:eastAsia="Times New Roman" w:hAnsi="Times New Roman"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F57ECEF" w14:textId="77777777" w:rsidR="00442763" w:rsidRPr="00EB436F" w:rsidRDefault="00442763" w:rsidP="00EB436F">
            <w:pPr>
              <w:spacing w:line="480" w:lineRule="auto"/>
              <w:rPr>
                <w:rFonts w:ascii="Times New Roman" w:eastAsia="Times New Roman" w:hAnsi="Times New Roman" w:cs="Times New Roman"/>
                <w:color w:val="000000"/>
              </w:rPr>
            </w:pPr>
          </w:p>
        </w:tc>
        <w:tc>
          <w:tcPr>
            <w:tcW w:w="802" w:type="dxa"/>
            <w:tcBorders>
              <w:top w:val="nil"/>
              <w:left w:val="nil"/>
              <w:bottom w:val="single" w:sz="4" w:space="0" w:color="auto"/>
              <w:right w:val="single" w:sz="4" w:space="0" w:color="auto"/>
            </w:tcBorders>
            <w:shd w:val="clear" w:color="auto" w:fill="auto"/>
            <w:noWrap/>
            <w:vAlign w:val="bottom"/>
          </w:tcPr>
          <w:p w14:paraId="4B297D2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30EB5D2F"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0F7BC18D" w14:textId="61BA0FED"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White</w:t>
            </w:r>
          </w:p>
        </w:tc>
        <w:tc>
          <w:tcPr>
            <w:tcW w:w="2090" w:type="dxa"/>
            <w:tcBorders>
              <w:top w:val="nil"/>
              <w:left w:val="nil"/>
              <w:bottom w:val="single" w:sz="4" w:space="0" w:color="auto"/>
              <w:right w:val="single" w:sz="4" w:space="0" w:color="auto"/>
            </w:tcBorders>
            <w:shd w:val="clear" w:color="auto" w:fill="auto"/>
            <w:noWrap/>
            <w:vAlign w:val="bottom"/>
          </w:tcPr>
          <w:p w14:paraId="19BD09C1" w14:textId="44490B38"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052 (92.7%)</w:t>
            </w:r>
          </w:p>
        </w:tc>
        <w:tc>
          <w:tcPr>
            <w:tcW w:w="1980" w:type="dxa"/>
            <w:tcBorders>
              <w:top w:val="nil"/>
              <w:left w:val="nil"/>
              <w:bottom w:val="single" w:sz="4" w:space="0" w:color="auto"/>
              <w:right w:val="single" w:sz="4" w:space="0" w:color="auto"/>
            </w:tcBorders>
            <w:shd w:val="clear" w:color="auto" w:fill="auto"/>
            <w:noWrap/>
            <w:vAlign w:val="bottom"/>
          </w:tcPr>
          <w:p w14:paraId="042BE831" w14:textId="414040B4"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855 (78.0%)</w:t>
            </w:r>
          </w:p>
        </w:tc>
        <w:tc>
          <w:tcPr>
            <w:tcW w:w="802" w:type="dxa"/>
            <w:tcBorders>
              <w:top w:val="nil"/>
              <w:left w:val="nil"/>
              <w:bottom w:val="single" w:sz="4" w:space="0" w:color="auto"/>
              <w:right w:val="single" w:sz="4" w:space="0" w:color="auto"/>
            </w:tcBorders>
            <w:shd w:val="clear" w:color="auto" w:fill="auto"/>
            <w:noWrap/>
            <w:vAlign w:val="bottom"/>
          </w:tcPr>
          <w:p w14:paraId="23774052"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4A8AB2D8"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062B448" w14:textId="77DDDDA0"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Asian</w:t>
            </w:r>
          </w:p>
        </w:tc>
        <w:tc>
          <w:tcPr>
            <w:tcW w:w="2090" w:type="dxa"/>
            <w:tcBorders>
              <w:top w:val="nil"/>
              <w:left w:val="nil"/>
              <w:bottom w:val="single" w:sz="4" w:space="0" w:color="auto"/>
              <w:right w:val="single" w:sz="4" w:space="0" w:color="auto"/>
            </w:tcBorders>
            <w:shd w:val="clear" w:color="auto" w:fill="auto"/>
            <w:noWrap/>
            <w:vAlign w:val="bottom"/>
          </w:tcPr>
          <w:p w14:paraId="75AB10AF" w14:textId="643C973E"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37 (3.3</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3EAC044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570 (15.6%)</w:t>
            </w:r>
          </w:p>
        </w:tc>
        <w:tc>
          <w:tcPr>
            <w:tcW w:w="802" w:type="dxa"/>
            <w:tcBorders>
              <w:top w:val="nil"/>
              <w:left w:val="nil"/>
              <w:bottom w:val="single" w:sz="4" w:space="0" w:color="auto"/>
              <w:right w:val="single" w:sz="4" w:space="0" w:color="auto"/>
            </w:tcBorders>
            <w:shd w:val="clear" w:color="auto" w:fill="auto"/>
            <w:noWrap/>
            <w:vAlign w:val="bottom"/>
          </w:tcPr>
          <w:p w14:paraId="682E128E"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664294A7"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45FBD977" w14:textId="3FC94D3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Black</w:t>
            </w:r>
          </w:p>
        </w:tc>
        <w:tc>
          <w:tcPr>
            <w:tcW w:w="2090" w:type="dxa"/>
            <w:tcBorders>
              <w:top w:val="nil"/>
              <w:left w:val="nil"/>
              <w:bottom w:val="single" w:sz="4" w:space="0" w:color="auto"/>
              <w:right w:val="single" w:sz="4" w:space="0" w:color="auto"/>
            </w:tcBorders>
            <w:shd w:val="clear" w:color="auto" w:fill="auto"/>
            <w:noWrap/>
            <w:vAlign w:val="bottom"/>
          </w:tcPr>
          <w:p w14:paraId="69D291A1" w14:textId="55B06BC1"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15 (1.3</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4E29C0CD" w14:textId="03AF751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87 (2.4</w:t>
            </w:r>
            <w:r w:rsidR="00442763" w:rsidRPr="00EB436F">
              <w:rPr>
                <w:rFonts w:ascii="Times New Roman" w:eastAsia="Times New Roman" w:hAnsi="Times New Roman" w:cs="Times New Roman"/>
                <w:color w:val="000000"/>
              </w:rPr>
              <w:t>%)</w:t>
            </w:r>
          </w:p>
        </w:tc>
        <w:tc>
          <w:tcPr>
            <w:tcW w:w="802" w:type="dxa"/>
            <w:tcBorders>
              <w:top w:val="nil"/>
              <w:left w:val="nil"/>
              <w:bottom w:val="single" w:sz="4" w:space="0" w:color="auto"/>
              <w:right w:val="single" w:sz="4" w:space="0" w:color="auto"/>
            </w:tcBorders>
            <w:shd w:val="clear" w:color="auto" w:fill="auto"/>
            <w:noWrap/>
            <w:vAlign w:val="bottom"/>
          </w:tcPr>
          <w:p w14:paraId="32D66738"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6CD53CE4"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234DA52F" w14:textId="4ED4C03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Other</w:t>
            </w:r>
          </w:p>
        </w:tc>
        <w:tc>
          <w:tcPr>
            <w:tcW w:w="2090" w:type="dxa"/>
            <w:tcBorders>
              <w:top w:val="nil"/>
              <w:left w:val="nil"/>
              <w:bottom w:val="single" w:sz="4" w:space="0" w:color="auto"/>
              <w:right w:val="single" w:sz="4" w:space="0" w:color="auto"/>
            </w:tcBorders>
            <w:shd w:val="clear" w:color="auto" w:fill="auto"/>
            <w:noWrap/>
            <w:vAlign w:val="bottom"/>
          </w:tcPr>
          <w:p w14:paraId="74C6BFBB" w14:textId="0AD3B726"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31 (2.7</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07B669F7" w14:textId="2800E74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149 (4.1</w:t>
            </w:r>
            <w:r w:rsidR="00442763" w:rsidRPr="00EB436F">
              <w:rPr>
                <w:rFonts w:ascii="Times New Roman" w:eastAsia="Times New Roman" w:hAnsi="Times New Roman" w:cs="Times New Roman"/>
                <w:color w:val="000000"/>
              </w:rPr>
              <w:t>%)</w:t>
            </w:r>
          </w:p>
        </w:tc>
        <w:tc>
          <w:tcPr>
            <w:tcW w:w="802" w:type="dxa"/>
            <w:tcBorders>
              <w:top w:val="nil"/>
              <w:left w:val="nil"/>
              <w:bottom w:val="single" w:sz="4" w:space="0" w:color="auto"/>
              <w:right w:val="single" w:sz="4" w:space="0" w:color="auto"/>
            </w:tcBorders>
            <w:shd w:val="clear" w:color="auto" w:fill="auto"/>
            <w:noWrap/>
            <w:vAlign w:val="bottom"/>
          </w:tcPr>
          <w:p w14:paraId="7C0BD41C"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333C87AF"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4B8DE77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Region</w:t>
            </w:r>
          </w:p>
        </w:tc>
        <w:tc>
          <w:tcPr>
            <w:tcW w:w="2090" w:type="dxa"/>
            <w:tcBorders>
              <w:top w:val="nil"/>
              <w:left w:val="nil"/>
              <w:bottom w:val="single" w:sz="4" w:space="0" w:color="auto"/>
              <w:right w:val="single" w:sz="4" w:space="0" w:color="auto"/>
            </w:tcBorders>
            <w:shd w:val="clear" w:color="auto" w:fill="auto"/>
            <w:noWrap/>
            <w:vAlign w:val="bottom"/>
          </w:tcPr>
          <w:p w14:paraId="1DF4DA8E" w14:textId="77777777" w:rsidR="00442763" w:rsidRPr="00EB436F" w:rsidRDefault="00442763" w:rsidP="00EB436F">
            <w:pPr>
              <w:spacing w:line="480" w:lineRule="auto"/>
              <w:rPr>
                <w:rFonts w:ascii="Times New Roman" w:eastAsia="Times New Roman" w:hAnsi="Times New Roman"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57140C4" w14:textId="77777777" w:rsidR="00442763" w:rsidRPr="00EB436F" w:rsidRDefault="00442763" w:rsidP="00EB436F">
            <w:pPr>
              <w:spacing w:line="480" w:lineRule="auto"/>
              <w:rPr>
                <w:rFonts w:ascii="Times New Roman" w:eastAsia="Times New Roman" w:hAnsi="Times New Roman" w:cs="Times New Roman"/>
                <w:color w:val="000000"/>
              </w:rPr>
            </w:pPr>
          </w:p>
        </w:tc>
        <w:tc>
          <w:tcPr>
            <w:tcW w:w="802" w:type="dxa"/>
            <w:tcBorders>
              <w:top w:val="nil"/>
              <w:left w:val="nil"/>
              <w:bottom w:val="single" w:sz="4" w:space="0" w:color="auto"/>
              <w:right w:val="single" w:sz="4" w:space="0" w:color="auto"/>
            </w:tcBorders>
            <w:shd w:val="clear" w:color="auto" w:fill="auto"/>
            <w:noWrap/>
            <w:vAlign w:val="bottom"/>
          </w:tcPr>
          <w:p w14:paraId="74CE8E7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0.27</w:t>
            </w:r>
          </w:p>
        </w:tc>
      </w:tr>
      <w:tr w:rsidR="00442763" w:rsidRPr="00EB436F" w14:paraId="7E3B767E"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342E023E" w14:textId="70756EF1"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Asia/Pacific</w:t>
            </w:r>
          </w:p>
        </w:tc>
        <w:tc>
          <w:tcPr>
            <w:tcW w:w="2090" w:type="dxa"/>
            <w:tcBorders>
              <w:top w:val="nil"/>
              <w:left w:val="nil"/>
              <w:bottom w:val="single" w:sz="4" w:space="0" w:color="auto"/>
              <w:right w:val="single" w:sz="4" w:space="0" w:color="auto"/>
            </w:tcBorders>
            <w:shd w:val="clear" w:color="auto" w:fill="auto"/>
            <w:noWrap/>
            <w:vAlign w:val="bottom"/>
          </w:tcPr>
          <w:p w14:paraId="6418CACE" w14:textId="52D6119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108 (9.5</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2629293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654 (17.9%)</w:t>
            </w:r>
          </w:p>
        </w:tc>
        <w:tc>
          <w:tcPr>
            <w:tcW w:w="802" w:type="dxa"/>
            <w:tcBorders>
              <w:top w:val="nil"/>
              <w:left w:val="nil"/>
              <w:bottom w:val="single" w:sz="4" w:space="0" w:color="auto"/>
              <w:right w:val="single" w:sz="4" w:space="0" w:color="auto"/>
            </w:tcBorders>
            <w:shd w:val="clear" w:color="auto" w:fill="auto"/>
            <w:noWrap/>
            <w:vAlign w:val="bottom"/>
          </w:tcPr>
          <w:p w14:paraId="141ED76F"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1E846C16"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4A3DB051" w14:textId="17B76A1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Central Europe</w:t>
            </w:r>
          </w:p>
        </w:tc>
        <w:tc>
          <w:tcPr>
            <w:tcW w:w="2090" w:type="dxa"/>
            <w:tcBorders>
              <w:top w:val="nil"/>
              <w:left w:val="nil"/>
              <w:bottom w:val="single" w:sz="4" w:space="0" w:color="auto"/>
              <w:right w:val="single" w:sz="4" w:space="0" w:color="auto"/>
            </w:tcBorders>
            <w:shd w:val="clear" w:color="auto" w:fill="auto"/>
            <w:noWrap/>
            <w:vAlign w:val="bottom"/>
          </w:tcPr>
          <w:p w14:paraId="3BA1E6A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538 (47.4%)</w:t>
            </w:r>
          </w:p>
        </w:tc>
        <w:tc>
          <w:tcPr>
            <w:tcW w:w="1980" w:type="dxa"/>
            <w:tcBorders>
              <w:top w:val="nil"/>
              <w:left w:val="nil"/>
              <w:bottom w:val="single" w:sz="4" w:space="0" w:color="auto"/>
              <w:right w:val="single" w:sz="4" w:space="0" w:color="auto"/>
            </w:tcBorders>
            <w:shd w:val="clear" w:color="auto" w:fill="auto"/>
            <w:noWrap/>
            <w:vAlign w:val="bottom"/>
          </w:tcPr>
          <w:p w14:paraId="4D1B26C1" w14:textId="58FF1FAB"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177 (32.1%)</w:t>
            </w:r>
          </w:p>
        </w:tc>
        <w:tc>
          <w:tcPr>
            <w:tcW w:w="802" w:type="dxa"/>
            <w:tcBorders>
              <w:top w:val="nil"/>
              <w:left w:val="nil"/>
              <w:bottom w:val="single" w:sz="4" w:space="0" w:color="auto"/>
              <w:right w:val="single" w:sz="4" w:space="0" w:color="auto"/>
            </w:tcBorders>
            <w:shd w:val="clear" w:color="auto" w:fill="auto"/>
            <w:noWrap/>
            <w:vAlign w:val="bottom"/>
          </w:tcPr>
          <w:p w14:paraId="25AAA4E3"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67C75DFB"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93356BE" w14:textId="0D21444C"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Latin America</w:t>
            </w:r>
          </w:p>
        </w:tc>
        <w:tc>
          <w:tcPr>
            <w:tcW w:w="2090" w:type="dxa"/>
            <w:tcBorders>
              <w:top w:val="nil"/>
              <w:left w:val="nil"/>
              <w:bottom w:val="single" w:sz="4" w:space="0" w:color="auto"/>
              <w:right w:val="single" w:sz="4" w:space="0" w:color="auto"/>
            </w:tcBorders>
            <w:shd w:val="clear" w:color="auto" w:fill="auto"/>
            <w:noWrap/>
            <w:vAlign w:val="bottom"/>
          </w:tcPr>
          <w:p w14:paraId="21938D31" w14:textId="377CA198"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13 (1.1</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349C664C" w14:textId="709E79A6"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357 (9.8</w:t>
            </w:r>
            <w:r w:rsidR="00442763" w:rsidRPr="00EB436F">
              <w:rPr>
                <w:rFonts w:ascii="Times New Roman" w:eastAsia="Times New Roman" w:hAnsi="Times New Roman" w:cs="Times New Roman"/>
                <w:color w:val="000000"/>
              </w:rPr>
              <w:t>%)</w:t>
            </w:r>
          </w:p>
        </w:tc>
        <w:tc>
          <w:tcPr>
            <w:tcW w:w="802" w:type="dxa"/>
            <w:tcBorders>
              <w:top w:val="nil"/>
              <w:left w:val="nil"/>
              <w:bottom w:val="single" w:sz="4" w:space="0" w:color="auto"/>
              <w:right w:val="single" w:sz="4" w:space="0" w:color="auto"/>
            </w:tcBorders>
            <w:shd w:val="clear" w:color="auto" w:fill="auto"/>
            <w:noWrap/>
            <w:vAlign w:val="bottom"/>
          </w:tcPr>
          <w:p w14:paraId="6F0D2EC0"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0AC132B1"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666D451E" w14:textId="1E8773F2"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North America</w:t>
            </w:r>
          </w:p>
        </w:tc>
        <w:tc>
          <w:tcPr>
            <w:tcW w:w="2090" w:type="dxa"/>
            <w:tcBorders>
              <w:top w:val="nil"/>
              <w:left w:val="nil"/>
              <w:bottom w:val="single" w:sz="4" w:space="0" w:color="auto"/>
              <w:right w:val="single" w:sz="4" w:space="0" w:color="auto"/>
            </w:tcBorders>
            <w:shd w:val="clear" w:color="auto" w:fill="auto"/>
            <w:noWrap/>
            <w:vAlign w:val="bottom"/>
          </w:tcPr>
          <w:p w14:paraId="09016F1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138 (12.2%)</w:t>
            </w:r>
          </w:p>
        </w:tc>
        <w:tc>
          <w:tcPr>
            <w:tcW w:w="1980" w:type="dxa"/>
            <w:tcBorders>
              <w:top w:val="nil"/>
              <w:left w:val="nil"/>
              <w:bottom w:val="single" w:sz="4" w:space="0" w:color="auto"/>
              <w:right w:val="single" w:sz="4" w:space="0" w:color="auto"/>
            </w:tcBorders>
            <w:shd w:val="clear" w:color="auto" w:fill="auto"/>
            <w:noWrap/>
            <w:vAlign w:val="bottom"/>
          </w:tcPr>
          <w:p w14:paraId="170E602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421 (11.5%)</w:t>
            </w:r>
          </w:p>
        </w:tc>
        <w:tc>
          <w:tcPr>
            <w:tcW w:w="802" w:type="dxa"/>
            <w:tcBorders>
              <w:top w:val="nil"/>
              <w:left w:val="nil"/>
              <w:bottom w:val="single" w:sz="4" w:space="0" w:color="auto"/>
              <w:right w:val="single" w:sz="4" w:space="0" w:color="auto"/>
            </w:tcBorders>
            <w:shd w:val="clear" w:color="auto" w:fill="auto"/>
            <w:noWrap/>
            <w:vAlign w:val="bottom"/>
          </w:tcPr>
          <w:p w14:paraId="1D8B7982"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309E77EF"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30C26833" w14:textId="12AD873E" w:rsidR="00442763" w:rsidRPr="00EB436F" w:rsidRDefault="002404FE" w:rsidP="002404F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Western Europe</w:t>
            </w:r>
          </w:p>
        </w:tc>
        <w:tc>
          <w:tcPr>
            <w:tcW w:w="2090" w:type="dxa"/>
            <w:tcBorders>
              <w:top w:val="nil"/>
              <w:left w:val="nil"/>
              <w:bottom w:val="single" w:sz="4" w:space="0" w:color="auto"/>
              <w:right w:val="single" w:sz="4" w:space="0" w:color="auto"/>
            </w:tcBorders>
            <w:shd w:val="clear" w:color="auto" w:fill="auto"/>
            <w:noWrap/>
            <w:vAlign w:val="bottom"/>
          </w:tcPr>
          <w:p w14:paraId="2D24335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338 (29.8%)</w:t>
            </w:r>
          </w:p>
        </w:tc>
        <w:tc>
          <w:tcPr>
            <w:tcW w:w="1980" w:type="dxa"/>
            <w:tcBorders>
              <w:top w:val="nil"/>
              <w:left w:val="nil"/>
              <w:bottom w:val="single" w:sz="4" w:space="0" w:color="auto"/>
              <w:right w:val="single" w:sz="4" w:space="0" w:color="auto"/>
            </w:tcBorders>
            <w:shd w:val="clear" w:color="auto" w:fill="auto"/>
            <w:noWrap/>
            <w:vAlign w:val="bottom"/>
          </w:tcPr>
          <w:p w14:paraId="60D236AB" w14:textId="4E6EBAA3"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052 (28.7%)</w:t>
            </w:r>
          </w:p>
        </w:tc>
        <w:tc>
          <w:tcPr>
            <w:tcW w:w="802" w:type="dxa"/>
            <w:tcBorders>
              <w:top w:val="nil"/>
              <w:left w:val="nil"/>
              <w:bottom w:val="single" w:sz="4" w:space="0" w:color="auto"/>
              <w:right w:val="single" w:sz="4" w:space="0" w:color="auto"/>
            </w:tcBorders>
            <w:shd w:val="clear" w:color="auto" w:fill="auto"/>
            <w:noWrap/>
            <w:vAlign w:val="bottom"/>
          </w:tcPr>
          <w:p w14:paraId="7B882272"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26FE03A2"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4A6BE3D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Diabetes</w:t>
            </w:r>
          </w:p>
        </w:tc>
        <w:tc>
          <w:tcPr>
            <w:tcW w:w="2090" w:type="dxa"/>
            <w:tcBorders>
              <w:top w:val="nil"/>
              <w:left w:val="nil"/>
              <w:bottom w:val="single" w:sz="4" w:space="0" w:color="auto"/>
              <w:right w:val="single" w:sz="4" w:space="0" w:color="auto"/>
            </w:tcBorders>
            <w:shd w:val="clear" w:color="auto" w:fill="auto"/>
            <w:noWrap/>
            <w:vAlign w:val="bottom"/>
          </w:tcPr>
          <w:p w14:paraId="28117F8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471 (41.5%)</w:t>
            </w:r>
          </w:p>
        </w:tc>
        <w:tc>
          <w:tcPr>
            <w:tcW w:w="1980" w:type="dxa"/>
            <w:tcBorders>
              <w:top w:val="nil"/>
              <w:left w:val="nil"/>
              <w:bottom w:val="single" w:sz="4" w:space="0" w:color="auto"/>
              <w:right w:val="single" w:sz="4" w:space="0" w:color="auto"/>
            </w:tcBorders>
            <w:shd w:val="clear" w:color="auto" w:fill="auto"/>
            <w:noWrap/>
            <w:vAlign w:val="bottom"/>
          </w:tcPr>
          <w:p w14:paraId="425673FA" w14:textId="08FADF0D"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591 (43.5%)</w:t>
            </w:r>
          </w:p>
        </w:tc>
        <w:tc>
          <w:tcPr>
            <w:tcW w:w="802" w:type="dxa"/>
            <w:tcBorders>
              <w:top w:val="nil"/>
              <w:left w:val="nil"/>
              <w:bottom w:val="single" w:sz="4" w:space="0" w:color="auto"/>
              <w:right w:val="single" w:sz="4" w:space="0" w:color="auto"/>
            </w:tcBorders>
            <w:shd w:val="clear" w:color="auto" w:fill="auto"/>
            <w:noWrap/>
            <w:vAlign w:val="bottom"/>
          </w:tcPr>
          <w:p w14:paraId="09AC030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0.24</w:t>
            </w:r>
          </w:p>
        </w:tc>
      </w:tr>
      <w:tr w:rsidR="00442763" w:rsidRPr="00EB436F" w14:paraId="1EA3A72B"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9DE25A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Stroke</w:t>
            </w:r>
          </w:p>
        </w:tc>
        <w:tc>
          <w:tcPr>
            <w:tcW w:w="2090" w:type="dxa"/>
            <w:tcBorders>
              <w:top w:val="nil"/>
              <w:left w:val="nil"/>
              <w:bottom w:val="single" w:sz="4" w:space="0" w:color="auto"/>
              <w:right w:val="single" w:sz="4" w:space="0" w:color="auto"/>
            </w:tcBorders>
            <w:shd w:val="clear" w:color="auto" w:fill="auto"/>
            <w:noWrap/>
            <w:vAlign w:val="bottom"/>
          </w:tcPr>
          <w:p w14:paraId="5A56922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124 (11.0%)</w:t>
            </w:r>
          </w:p>
        </w:tc>
        <w:tc>
          <w:tcPr>
            <w:tcW w:w="1980" w:type="dxa"/>
            <w:tcBorders>
              <w:top w:val="nil"/>
              <w:left w:val="nil"/>
              <w:bottom w:val="single" w:sz="4" w:space="0" w:color="auto"/>
              <w:right w:val="single" w:sz="4" w:space="0" w:color="auto"/>
            </w:tcBorders>
            <w:shd w:val="clear" w:color="auto" w:fill="auto"/>
            <w:noWrap/>
            <w:vAlign w:val="bottom"/>
          </w:tcPr>
          <w:p w14:paraId="4631444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384 (10.5%)</w:t>
            </w:r>
          </w:p>
        </w:tc>
        <w:tc>
          <w:tcPr>
            <w:tcW w:w="802" w:type="dxa"/>
            <w:tcBorders>
              <w:top w:val="nil"/>
              <w:left w:val="nil"/>
              <w:bottom w:val="single" w:sz="4" w:space="0" w:color="auto"/>
              <w:right w:val="single" w:sz="4" w:space="0" w:color="auto"/>
            </w:tcBorders>
            <w:shd w:val="clear" w:color="auto" w:fill="auto"/>
            <w:noWrap/>
            <w:vAlign w:val="bottom"/>
          </w:tcPr>
          <w:p w14:paraId="6B14F90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0.66</w:t>
            </w:r>
          </w:p>
        </w:tc>
      </w:tr>
      <w:tr w:rsidR="00442763" w:rsidRPr="00EB436F" w14:paraId="42D0A3D2"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0750D3B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Hypertension</w:t>
            </w:r>
          </w:p>
        </w:tc>
        <w:tc>
          <w:tcPr>
            <w:tcW w:w="2090" w:type="dxa"/>
            <w:tcBorders>
              <w:top w:val="nil"/>
              <w:left w:val="nil"/>
              <w:bottom w:val="single" w:sz="4" w:space="0" w:color="auto"/>
              <w:right w:val="single" w:sz="4" w:space="0" w:color="auto"/>
            </w:tcBorders>
            <w:shd w:val="clear" w:color="auto" w:fill="auto"/>
            <w:noWrap/>
            <w:vAlign w:val="bottom"/>
          </w:tcPr>
          <w:p w14:paraId="42D61A8C" w14:textId="1B4BB56A"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090 (96.0%)</w:t>
            </w:r>
          </w:p>
        </w:tc>
        <w:tc>
          <w:tcPr>
            <w:tcW w:w="1980" w:type="dxa"/>
            <w:tcBorders>
              <w:top w:val="nil"/>
              <w:left w:val="nil"/>
              <w:bottom w:val="single" w:sz="4" w:space="0" w:color="auto"/>
              <w:right w:val="single" w:sz="4" w:space="0" w:color="auto"/>
            </w:tcBorders>
            <w:shd w:val="clear" w:color="auto" w:fill="auto"/>
            <w:noWrap/>
            <w:vAlign w:val="bottom"/>
          </w:tcPr>
          <w:p w14:paraId="2AC54042" w14:textId="427B661F"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494 (95.4%)</w:t>
            </w:r>
          </w:p>
        </w:tc>
        <w:tc>
          <w:tcPr>
            <w:tcW w:w="802" w:type="dxa"/>
            <w:tcBorders>
              <w:top w:val="nil"/>
              <w:left w:val="nil"/>
              <w:bottom w:val="single" w:sz="4" w:space="0" w:color="auto"/>
              <w:right w:val="single" w:sz="4" w:space="0" w:color="auto"/>
            </w:tcBorders>
            <w:shd w:val="clear" w:color="auto" w:fill="auto"/>
            <w:noWrap/>
            <w:vAlign w:val="bottom"/>
          </w:tcPr>
          <w:p w14:paraId="6C3EDDD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0.39</w:t>
            </w:r>
          </w:p>
        </w:tc>
      </w:tr>
      <w:tr w:rsidR="00442763" w:rsidRPr="00EB436F" w14:paraId="10CCF713"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92983BB" w14:textId="47FEE3E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Prior </w:t>
            </w:r>
            <w:r w:rsidR="002404FE" w:rsidRPr="00EB436F">
              <w:rPr>
                <w:rFonts w:ascii="Times New Roman" w:eastAsia="Times New Roman" w:hAnsi="Times New Roman" w:cs="Times New Roman"/>
                <w:color w:val="000000"/>
              </w:rPr>
              <w:t>myocardial i</w:t>
            </w:r>
            <w:r w:rsidRPr="00EB436F">
              <w:rPr>
                <w:rFonts w:ascii="Times New Roman" w:eastAsia="Times New Roman" w:hAnsi="Times New Roman" w:cs="Times New Roman"/>
                <w:color w:val="000000"/>
              </w:rPr>
              <w:t>nfarction</w:t>
            </w:r>
          </w:p>
        </w:tc>
        <w:tc>
          <w:tcPr>
            <w:tcW w:w="2090" w:type="dxa"/>
            <w:tcBorders>
              <w:top w:val="nil"/>
              <w:left w:val="nil"/>
              <w:bottom w:val="single" w:sz="4" w:space="0" w:color="auto"/>
              <w:right w:val="single" w:sz="4" w:space="0" w:color="auto"/>
            </w:tcBorders>
            <w:shd w:val="clear" w:color="auto" w:fill="auto"/>
            <w:noWrap/>
            <w:vAlign w:val="bottom"/>
          </w:tcPr>
          <w:p w14:paraId="28AF91F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242 (21.3%)</w:t>
            </w:r>
          </w:p>
        </w:tc>
        <w:tc>
          <w:tcPr>
            <w:tcW w:w="1980" w:type="dxa"/>
            <w:tcBorders>
              <w:top w:val="nil"/>
              <w:left w:val="nil"/>
              <w:bottom w:val="single" w:sz="4" w:space="0" w:color="auto"/>
              <w:right w:val="single" w:sz="4" w:space="0" w:color="auto"/>
            </w:tcBorders>
            <w:shd w:val="clear" w:color="auto" w:fill="auto"/>
            <w:noWrap/>
            <w:vAlign w:val="bottom"/>
          </w:tcPr>
          <w:p w14:paraId="727FCCA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841 (23.0%)</w:t>
            </w:r>
          </w:p>
        </w:tc>
        <w:tc>
          <w:tcPr>
            <w:tcW w:w="802" w:type="dxa"/>
            <w:tcBorders>
              <w:top w:val="nil"/>
              <w:left w:val="nil"/>
              <w:bottom w:val="single" w:sz="4" w:space="0" w:color="auto"/>
              <w:right w:val="single" w:sz="4" w:space="0" w:color="auto"/>
            </w:tcBorders>
            <w:shd w:val="clear" w:color="auto" w:fill="auto"/>
            <w:noWrap/>
            <w:vAlign w:val="bottom"/>
          </w:tcPr>
          <w:p w14:paraId="2BDB22A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0.25</w:t>
            </w:r>
          </w:p>
        </w:tc>
      </w:tr>
      <w:tr w:rsidR="00442763" w:rsidRPr="00EB436F" w14:paraId="612B5F8F"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222F534B" w14:textId="1BB1D8A8"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Ischemic </w:t>
            </w:r>
            <w:r w:rsidR="002404FE" w:rsidRPr="00EB436F">
              <w:rPr>
                <w:rFonts w:ascii="Times New Roman" w:eastAsia="Times New Roman" w:hAnsi="Times New Roman" w:cs="Times New Roman"/>
                <w:color w:val="000000"/>
              </w:rPr>
              <w:t>etiology</w:t>
            </w:r>
          </w:p>
        </w:tc>
        <w:tc>
          <w:tcPr>
            <w:tcW w:w="2090" w:type="dxa"/>
            <w:tcBorders>
              <w:top w:val="nil"/>
              <w:left w:val="nil"/>
              <w:bottom w:val="single" w:sz="4" w:space="0" w:color="auto"/>
              <w:right w:val="single" w:sz="4" w:space="0" w:color="auto"/>
            </w:tcBorders>
            <w:shd w:val="clear" w:color="auto" w:fill="auto"/>
            <w:noWrap/>
            <w:vAlign w:val="bottom"/>
          </w:tcPr>
          <w:p w14:paraId="0C9B315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417 (36.7%)</w:t>
            </w:r>
          </w:p>
        </w:tc>
        <w:tc>
          <w:tcPr>
            <w:tcW w:w="1980" w:type="dxa"/>
            <w:tcBorders>
              <w:top w:val="nil"/>
              <w:left w:val="nil"/>
              <w:bottom w:val="single" w:sz="4" w:space="0" w:color="auto"/>
              <w:right w:val="single" w:sz="4" w:space="0" w:color="auto"/>
            </w:tcBorders>
            <w:shd w:val="clear" w:color="auto" w:fill="auto"/>
            <w:noWrap/>
            <w:vAlign w:val="bottom"/>
          </w:tcPr>
          <w:p w14:paraId="38C0F9A6" w14:textId="13097919"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306 (35.7%)</w:t>
            </w:r>
          </w:p>
        </w:tc>
        <w:tc>
          <w:tcPr>
            <w:tcW w:w="802" w:type="dxa"/>
            <w:tcBorders>
              <w:top w:val="nil"/>
              <w:left w:val="nil"/>
              <w:bottom w:val="single" w:sz="4" w:space="0" w:color="auto"/>
              <w:right w:val="single" w:sz="4" w:space="0" w:color="auto"/>
            </w:tcBorders>
            <w:shd w:val="clear" w:color="auto" w:fill="auto"/>
            <w:noWrap/>
            <w:vAlign w:val="bottom"/>
          </w:tcPr>
          <w:p w14:paraId="5E3638B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0.52</w:t>
            </w:r>
          </w:p>
        </w:tc>
      </w:tr>
      <w:tr w:rsidR="00442763" w:rsidRPr="00EB436F" w14:paraId="6A04C6A1"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7FDD3EE" w14:textId="5AE6275F"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NYHA </w:t>
            </w:r>
            <w:r w:rsidR="002404FE" w:rsidRPr="00EB436F">
              <w:rPr>
                <w:rFonts w:ascii="Times New Roman" w:eastAsia="Times New Roman" w:hAnsi="Times New Roman" w:cs="Times New Roman"/>
                <w:color w:val="000000"/>
              </w:rPr>
              <w:t>functional c</w:t>
            </w:r>
            <w:r w:rsidRPr="00EB436F">
              <w:rPr>
                <w:rFonts w:ascii="Times New Roman" w:eastAsia="Times New Roman" w:hAnsi="Times New Roman" w:cs="Times New Roman"/>
                <w:color w:val="000000"/>
              </w:rPr>
              <w:t>lass</w:t>
            </w:r>
          </w:p>
        </w:tc>
        <w:tc>
          <w:tcPr>
            <w:tcW w:w="2090" w:type="dxa"/>
            <w:tcBorders>
              <w:top w:val="nil"/>
              <w:left w:val="nil"/>
              <w:bottom w:val="single" w:sz="4" w:space="0" w:color="auto"/>
              <w:right w:val="single" w:sz="4" w:space="0" w:color="auto"/>
            </w:tcBorders>
            <w:shd w:val="clear" w:color="auto" w:fill="auto"/>
            <w:noWrap/>
            <w:vAlign w:val="bottom"/>
          </w:tcPr>
          <w:p w14:paraId="3FB82947" w14:textId="77777777" w:rsidR="00442763" w:rsidRPr="00EB436F" w:rsidRDefault="00442763" w:rsidP="00EB436F">
            <w:pPr>
              <w:spacing w:line="480" w:lineRule="auto"/>
              <w:rPr>
                <w:rFonts w:ascii="Times New Roman" w:eastAsia="Times New Roman" w:hAnsi="Times New Roman"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7145E24" w14:textId="77777777" w:rsidR="00442763" w:rsidRPr="00EB436F" w:rsidRDefault="00442763" w:rsidP="00EB436F">
            <w:pPr>
              <w:spacing w:line="480" w:lineRule="auto"/>
              <w:rPr>
                <w:rFonts w:ascii="Times New Roman" w:eastAsia="Times New Roman" w:hAnsi="Times New Roman" w:cs="Times New Roman"/>
                <w:color w:val="000000"/>
              </w:rPr>
            </w:pPr>
          </w:p>
        </w:tc>
        <w:tc>
          <w:tcPr>
            <w:tcW w:w="802" w:type="dxa"/>
            <w:tcBorders>
              <w:top w:val="nil"/>
              <w:left w:val="nil"/>
              <w:bottom w:val="single" w:sz="4" w:space="0" w:color="auto"/>
              <w:right w:val="single" w:sz="4" w:space="0" w:color="auto"/>
            </w:tcBorders>
            <w:shd w:val="clear" w:color="auto" w:fill="auto"/>
            <w:noWrap/>
            <w:vAlign w:val="bottom"/>
          </w:tcPr>
          <w:p w14:paraId="036C3A4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0.46</w:t>
            </w:r>
          </w:p>
        </w:tc>
      </w:tr>
      <w:tr w:rsidR="00442763" w:rsidRPr="00EB436F" w14:paraId="34657B0D"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444EC99" w14:textId="4A816132"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I</w:t>
            </w:r>
          </w:p>
        </w:tc>
        <w:tc>
          <w:tcPr>
            <w:tcW w:w="2090" w:type="dxa"/>
            <w:tcBorders>
              <w:top w:val="nil"/>
              <w:left w:val="nil"/>
              <w:bottom w:val="single" w:sz="4" w:space="0" w:color="auto"/>
              <w:right w:val="single" w:sz="4" w:space="0" w:color="auto"/>
            </w:tcBorders>
            <w:shd w:val="clear" w:color="auto" w:fill="auto"/>
            <w:noWrap/>
            <w:vAlign w:val="bottom"/>
          </w:tcPr>
          <w:p w14:paraId="733588D0" w14:textId="39F4A090"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32 (2.8</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67CE8E98" w14:textId="0DBB641C"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105 (2.9</w:t>
            </w:r>
            <w:r w:rsidR="00442763" w:rsidRPr="00EB436F">
              <w:rPr>
                <w:rFonts w:ascii="Times New Roman" w:eastAsia="Times New Roman" w:hAnsi="Times New Roman" w:cs="Times New Roman"/>
                <w:color w:val="000000"/>
              </w:rPr>
              <w:t>%)</w:t>
            </w:r>
          </w:p>
        </w:tc>
        <w:tc>
          <w:tcPr>
            <w:tcW w:w="802" w:type="dxa"/>
            <w:tcBorders>
              <w:top w:val="nil"/>
              <w:left w:val="nil"/>
              <w:bottom w:val="single" w:sz="4" w:space="0" w:color="auto"/>
              <w:right w:val="single" w:sz="4" w:space="0" w:color="auto"/>
            </w:tcBorders>
            <w:shd w:val="clear" w:color="auto" w:fill="auto"/>
            <w:noWrap/>
            <w:vAlign w:val="bottom"/>
          </w:tcPr>
          <w:p w14:paraId="7A4140F2"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2BB03BB5"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342E745F" w14:textId="607A9467"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II</w:t>
            </w:r>
          </w:p>
        </w:tc>
        <w:tc>
          <w:tcPr>
            <w:tcW w:w="2090" w:type="dxa"/>
            <w:tcBorders>
              <w:top w:val="nil"/>
              <w:left w:val="nil"/>
              <w:bottom w:val="single" w:sz="4" w:space="0" w:color="auto"/>
              <w:right w:val="single" w:sz="4" w:space="0" w:color="auto"/>
            </w:tcBorders>
            <w:shd w:val="clear" w:color="auto" w:fill="auto"/>
            <w:noWrap/>
            <w:vAlign w:val="bottom"/>
          </w:tcPr>
          <w:p w14:paraId="7533216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868 (76.5%)</w:t>
            </w:r>
          </w:p>
        </w:tc>
        <w:tc>
          <w:tcPr>
            <w:tcW w:w="1980" w:type="dxa"/>
            <w:tcBorders>
              <w:top w:val="nil"/>
              <w:left w:val="nil"/>
              <w:bottom w:val="single" w:sz="4" w:space="0" w:color="auto"/>
              <w:right w:val="single" w:sz="4" w:space="0" w:color="auto"/>
            </w:tcBorders>
            <w:shd w:val="clear" w:color="auto" w:fill="auto"/>
            <w:noWrap/>
            <w:vAlign w:val="bottom"/>
          </w:tcPr>
          <w:p w14:paraId="45952B6F" w14:textId="6D7772A5"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838 (77.6%)</w:t>
            </w:r>
          </w:p>
        </w:tc>
        <w:tc>
          <w:tcPr>
            <w:tcW w:w="802" w:type="dxa"/>
            <w:tcBorders>
              <w:top w:val="nil"/>
              <w:left w:val="nil"/>
              <w:bottom w:val="single" w:sz="4" w:space="0" w:color="auto"/>
              <w:right w:val="single" w:sz="4" w:space="0" w:color="auto"/>
            </w:tcBorders>
            <w:shd w:val="clear" w:color="auto" w:fill="auto"/>
            <w:noWrap/>
            <w:vAlign w:val="bottom"/>
          </w:tcPr>
          <w:p w14:paraId="06B01207"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56063C81"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22EF6C31" w14:textId="599C1A12"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III</w:t>
            </w:r>
          </w:p>
        </w:tc>
        <w:tc>
          <w:tcPr>
            <w:tcW w:w="2090" w:type="dxa"/>
            <w:tcBorders>
              <w:top w:val="nil"/>
              <w:left w:val="nil"/>
              <w:bottom w:val="single" w:sz="4" w:space="0" w:color="auto"/>
              <w:right w:val="single" w:sz="4" w:space="0" w:color="auto"/>
            </w:tcBorders>
            <w:shd w:val="clear" w:color="auto" w:fill="auto"/>
            <w:noWrap/>
            <w:vAlign w:val="bottom"/>
          </w:tcPr>
          <w:p w14:paraId="56165AA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234 (20.6%)</w:t>
            </w:r>
          </w:p>
        </w:tc>
        <w:tc>
          <w:tcPr>
            <w:tcW w:w="1980" w:type="dxa"/>
            <w:tcBorders>
              <w:top w:val="nil"/>
              <w:left w:val="nil"/>
              <w:bottom w:val="single" w:sz="4" w:space="0" w:color="auto"/>
              <w:right w:val="single" w:sz="4" w:space="0" w:color="auto"/>
            </w:tcBorders>
            <w:shd w:val="clear" w:color="auto" w:fill="auto"/>
            <w:noWrap/>
            <w:vAlign w:val="bottom"/>
          </w:tcPr>
          <w:p w14:paraId="32A1BEF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698 (19.1%)</w:t>
            </w:r>
          </w:p>
        </w:tc>
        <w:tc>
          <w:tcPr>
            <w:tcW w:w="802" w:type="dxa"/>
            <w:tcBorders>
              <w:top w:val="nil"/>
              <w:left w:val="nil"/>
              <w:bottom w:val="single" w:sz="4" w:space="0" w:color="auto"/>
              <w:right w:val="single" w:sz="4" w:space="0" w:color="auto"/>
            </w:tcBorders>
            <w:shd w:val="clear" w:color="auto" w:fill="auto"/>
            <w:noWrap/>
            <w:vAlign w:val="bottom"/>
          </w:tcPr>
          <w:p w14:paraId="0228104E"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59612BF6"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484BF53C" w14:textId="54A0F888"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42763" w:rsidRPr="00EB436F">
              <w:rPr>
                <w:rFonts w:ascii="Times New Roman" w:eastAsia="Times New Roman" w:hAnsi="Times New Roman" w:cs="Times New Roman"/>
                <w:color w:val="000000"/>
              </w:rPr>
              <w:t>IV</w:t>
            </w:r>
          </w:p>
        </w:tc>
        <w:tc>
          <w:tcPr>
            <w:tcW w:w="2090" w:type="dxa"/>
            <w:tcBorders>
              <w:top w:val="nil"/>
              <w:left w:val="nil"/>
              <w:bottom w:val="single" w:sz="4" w:space="0" w:color="auto"/>
              <w:right w:val="single" w:sz="4" w:space="0" w:color="auto"/>
            </w:tcBorders>
            <w:shd w:val="clear" w:color="auto" w:fill="auto"/>
            <w:noWrap/>
            <w:vAlign w:val="bottom"/>
          </w:tcPr>
          <w:p w14:paraId="250BDD82" w14:textId="3250038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 (0.1</w:t>
            </w:r>
            <w:r w:rsidR="00442763" w:rsidRPr="00EB436F">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tcPr>
          <w:p w14:paraId="533D8E7B" w14:textId="43A3E367"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18 (0.5</w:t>
            </w:r>
            <w:r w:rsidR="00442763" w:rsidRPr="00EB436F">
              <w:rPr>
                <w:rFonts w:ascii="Times New Roman" w:eastAsia="Times New Roman" w:hAnsi="Times New Roman" w:cs="Times New Roman"/>
                <w:color w:val="000000"/>
              </w:rPr>
              <w:t>%)</w:t>
            </w:r>
          </w:p>
        </w:tc>
        <w:tc>
          <w:tcPr>
            <w:tcW w:w="802" w:type="dxa"/>
            <w:tcBorders>
              <w:top w:val="nil"/>
              <w:left w:val="nil"/>
              <w:bottom w:val="single" w:sz="4" w:space="0" w:color="auto"/>
              <w:right w:val="single" w:sz="4" w:space="0" w:color="auto"/>
            </w:tcBorders>
            <w:shd w:val="clear" w:color="auto" w:fill="auto"/>
            <w:noWrap/>
            <w:vAlign w:val="bottom"/>
          </w:tcPr>
          <w:p w14:paraId="7B8FDEBE" w14:textId="77777777" w:rsidR="00442763" w:rsidRPr="00EB436F" w:rsidRDefault="00442763" w:rsidP="00EB436F">
            <w:pPr>
              <w:spacing w:line="480" w:lineRule="auto"/>
              <w:rPr>
                <w:rFonts w:ascii="Times New Roman" w:eastAsia="Times New Roman" w:hAnsi="Times New Roman" w:cs="Times New Roman"/>
                <w:color w:val="000000"/>
              </w:rPr>
            </w:pPr>
          </w:p>
        </w:tc>
      </w:tr>
      <w:tr w:rsidR="00442763" w:rsidRPr="00EB436F" w14:paraId="7D29BB29"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FE06FD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Prior HF Hosp</w:t>
            </w:r>
          </w:p>
        </w:tc>
        <w:tc>
          <w:tcPr>
            <w:tcW w:w="2090" w:type="dxa"/>
            <w:tcBorders>
              <w:top w:val="nil"/>
              <w:left w:val="nil"/>
              <w:bottom w:val="single" w:sz="4" w:space="0" w:color="auto"/>
              <w:right w:val="single" w:sz="4" w:space="0" w:color="auto"/>
            </w:tcBorders>
            <w:shd w:val="clear" w:color="auto" w:fill="auto"/>
            <w:noWrap/>
            <w:vAlign w:val="bottom"/>
          </w:tcPr>
          <w:p w14:paraId="602F14B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409 (36.0%)</w:t>
            </w:r>
          </w:p>
        </w:tc>
        <w:tc>
          <w:tcPr>
            <w:tcW w:w="1980" w:type="dxa"/>
            <w:tcBorders>
              <w:top w:val="nil"/>
              <w:left w:val="nil"/>
              <w:bottom w:val="single" w:sz="4" w:space="0" w:color="auto"/>
              <w:right w:val="single" w:sz="4" w:space="0" w:color="auto"/>
            </w:tcBorders>
            <w:shd w:val="clear" w:color="auto" w:fill="auto"/>
            <w:noWrap/>
            <w:vAlign w:val="bottom"/>
          </w:tcPr>
          <w:p w14:paraId="0939D419" w14:textId="1A76177C"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897 (51.8%)</w:t>
            </w:r>
          </w:p>
        </w:tc>
        <w:tc>
          <w:tcPr>
            <w:tcW w:w="802" w:type="dxa"/>
            <w:tcBorders>
              <w:top w:val="nil"/>
              <w:left w:val="nil"/>
              <w:bottom w:val="single" w:sz="4" w:space="0" w:color="auto"/>
              <w:right w:val="single" w:sz="4" w:space="0" w:color="auto"/>
            </w:tcBorders>
            <w:shd w:val="clear" w:color="auto" w:fill="auto"/>
            <w:noWrap/>
            <w:vAlign w:val="bottom"/>
          </w:tcPr>
          <w:p w14:paraId="0A8A77F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62820F38"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44FE1213" w14:textId="1B7AD80D"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Body </w:t>
            </w:r>
            <w:r w:rsidR="002404FE" w:rsidRPr="00EB436F">
              <w:rPr>
                <w:rFonts w:ascii="Times New Roman" w:eastAsia="Times New Roman" w:hAnsi="Times New Roman" w:cs="Times New Roman"/>
                <w:color w:val="000000"/>
              </w:rPr>
              <w:t>mass in</w:t>
            </w:r>
            <w:r w:rsidRPr="00EB436F">
              <w:rPr>
                <w:rFonts w:ascii="Times New Roman" w:eastAsia="Times New Roman" w:hAnsi="Times New Roman" w:cs="Times New Roman"/>
                <w:color w:val="000000"/>
              </w:rPr>
              <w:t>dex, kg/m</w:t>
            </w:r>
            <w:r w:rsidRPr="002404FE">
              <w:rPr>
                <w:rFonts w:ascii="Times New Roman" w:eastAsia="Times New Roman" w:hAnsi="Times New Roman" w:cs="Times New Roman"/>
                <w:color w:val="000000"/>
                <w:vertAlign w:val="superscript"/>
              </w:rPr>
              <w:t>2</w:t>
            </w:r>
          </w:p>
        </w:tc>
        <w:tc>
          <w:tcPr>
            <w:tcW w:w="2090" w:type="dxa"/>
            <w:tcBorders>
              <w:top w:val="nil"/>
              <w:left w:val="nil"/>
              <w:bottom w:val="single" w:sz="4" w:space="0" w:color="auto"/>
              <w:right w:val="single" w:sz="4" w:space="0" w:color="auto"/>
            </w:tcBorders>
            <w:shd w:val="clear" w:color="auto" w:fill="auto"/>
            <w:noWrap/>
            <w:vAlign w:val="bottom"/>
          </w:tcPr>
          <w:p w14:paraId="6208383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30.7 ± 4.8</w:t>
            </w:r>
          </w:p>
        </w:tc>
        <w:tc>
          <w:tcPr>
            <w:tcW w:w="1980" w:type="dxa"/>
            <w:tcBorders>
              <w:top w:val="nil"/>
              <w:left w:val="nil"/>
              <w:bottom w:val="single" w:sz="4" w:space="0" w:color="auto"/>
              <w:right w:val="single" w:sz="4" w:space="0" w:color="auto"/>
            </w:tcBorders>
            <w:shd w:val="clear" w:color="auto" w:fill="auto"/>
            <w:noWrap/>
            <w:vAlign w:val="bottom"/>
          </w:tcPr>
          <w:p w14:paraId="70629E7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30.1 ± 5.1</w:t>
            </w:r>
          </w:p>
        </w:tc>
        <w:tc>
          <w:tcPr>
            <w:tcW w:w="802" w:type="dxa"/>
            <w:tcBorders>
              <w:top w:val="nil"/>
              <w:left w:val="nil"/>
              <w:bottom w:val="single" w:sz="4" w:space="0" w:color="auto"/>
              <w:right w:val="single" w:sz="4" w:space="0" w:color="auto"/>
            </w:tcBorders>
            <w:shd w:val="clear" w:color="auto" w:fill="auto"/>
            <w:noWrap/>
            <w:vAlign w:val="bottom"/>
          </w:tcPr>
          <w:p w14:paraId="1265B29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3B27AEF4"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328EBD8C" w14:textId="609AF346"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Left </w:t>
            </w:r>
            <w:r w:rsidR="002404FE" w:rsidRPr="00EB436F">
              <w:rPr>
                <w:rFonts w:ascii="Times New Roman" w:eastAsia="Times New Roman" w:hAnsi="Times New Roman" w:cs="Times New Roman"/>
                <w:color w:val="000000"/>
              </w:rPr>
              <w:t>ventricular ejection fractio</w:t>
            </w:r>
            <w:r w:rsidRPr="00EB436F">
              <w:rPr>
                <w:rFonts w:ascii="Times New Roman" w:eastAsia="Times New Roman" w:hAnsi="Times New Roman" w:cs="Times New Roman"/>
                <w:color w:val="000000"/>
              </w:rPr>
              <w:t>n</w:t>
            </w:r>
          </w:p>
        </w:tc>
        <w:tc>
          <w:tcPr>
            <w:tcW w:w="2090" w:type="dxa"/>
            <w:tcBorders>
              <w:top w:val="nil"/>
              <w:left w:val="nil"/>
              <w:bottom w:val="single" w:sz="4" w:space="0" w:color="auto"/>
              <w:right w:val="single" w:sz="4" w:space="0" w:color="auto"/>
            </w:tcBorders>
            <w:shd w:val="clear" w:color="auto" w:fill="auto"/>
            <w:noWrap/>
            <w:vAlign w:val="bottom"/>
          </w:tcPr>
          <w:p w14:paraId="290A746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57.3 ± 7.5</w:t>
            </w:r>
          </w:p>
        </w:tc>
        <w:tc>
          <w:tcPr>
            <w:tcW w:w="1980" w:type="dxa"/>
            <w:tcBorders>
              <w:top w:val="nil"/>
              <w:left w:val="nil"/>
              <w:bottom w:val="single" w:sz="4" w:space="0" w:color="auto"/>
              <w:right w:val="single" w:sz="4" w:space="0" w:color="auto"/>
            </w:tcBorders>
            <w:shd w:val="clear" w:color="auto" w:fill="auto"/>
            <w:noWrap/>
            <w:vAlign w:val="bottom"/>
          </w:tcPr>
          <w:p w14:paraId="11209DB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57.6 ± 8.0</w:t>
            </w:r>
          </w:p>
        </w:tc>
        <w:tc>
          <w:tcPr>
            <w:tcW w:w="802" w:type="dxa"/>
            <w:tcBorders>
              <w:top w:val="nil"/>
              <w:left w:val="nil"/>
              <w:bottom w:val="single" w:sz="4" w:space="0" w:color="auto"/>
              <w:right w:val="single" w:sz="4" w:space="0" w:color="auto"/>
            </w:tcBorders>
            <w:shd w:val="clear" w:color="auto" w:fill="auto"/>
            <w:noWrap/>
            <w:vAlign w:val="bottom"/>
          </w:tcPr>
          <w:p w14:paraId="2B501AF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0.19</w:t>
            </w:r>
          </w:p>
        </w:tc>
      </w:tr>
      <w:tr w:rsidR="00442763" w:rsidRPr="00EB436F" w14:paraId="077B5EDA"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C6FA113"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ACEi/ARB</w:t>
            </w:r>
          </w:p>
        </w:tc>
        <w:tc>
          <w:tcPr>
            <w:tcW w:w="2090" w:type="dxa"/>
            <w:tcBorders>
              <w:top w:val="nil"/>
              <w:left w:val="nil"/>
              <w:bottom w:val="single" w:sz="4" w:space="0" w:color="auto"/>
              <w:right w:val="single" w:sz="4" w:space="0" w:color="auto"/>
            </w:tcBorders>
            <w:shd w:val="clear" w:color="auto" w:fill="auto"/>
            <w:noWrap/>
            <w:vAlign w:val="bottom"/>
          </w:tcPr>
          <w:p w14:paraId="61835F52" w14:textId="3F6FA71F"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010 (89.0%)</w:t>
            </w:r>
          </w:p>
        </w:tc>
        <w:tc>
          <w:tcPr>
            <w:tcW w:w="1980" w:type="dxa"/>
            <w:tcBorders>
              <w:top w:val="nil"/>
              <w:left w:val="nil"/>
              <w:bottom w:val="single" w:sz="4" w:space="0" w:color="auto"/>
              <w:right w:val="single" w:sz="4" w:space="0" w:color="auto"/>
            </w:tcBorders>
            <w:shd w:val="clear" w:color="auto" w:fill="auto"/>
            <w:noWrap/>
            <w:vAlign w:val="bottom"/>
          </w:tcPr>
          <w:p w14:paraId="07ECABBA" w14:textId="396B1725"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129 (85.5%)</w:t>
            </w:r>
          </w:p>
        </w:tc>
        <w:tc>
          <w:tcPr>
            <w:tcW w:w="802" w:type="dxa"/>
            <w:tcBorders>
              <w:top w:val="nil"/>
              <w:left w:val="nil"/>
              <w:bottom w:val="single" w:sz="4" w:space="0" w:color="auto"/>
              <w:right w:val="single" w:sz="4" w:space="0" w:color="auto"/>
            </w:tcBorders>
            <w:shd w:val="clear" w:color="auto" w:fill="auto"/>
            <w:noWrap/>
            <w:vAlign w:val="bottom"/>
          </w:tcPr>
          <w:p w14:paraId="1D84B75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0.003</w:t>
            </w:r>
          </w:p>
        </w:tc>
      </w:tr>
      <w:tr w:rsidR="00442763" w:rsidRPr="00EB436F" w14:paraId="116F7663"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22F29289" w14:textId="76FB7E2E"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Mineralocorticoid </w:t>
            </w:r>
            <w:r w:rsidR="002404FE" w:rsidRPr="00EB436F">
              <w:rPr>
                <w:rFonts w:ascii="Times New Roman" w:eastAsia="Times New Roman" w:hAnsi="Times New Roman" w:cs="Times New Roman"/>
                <w:color w:val="000000"/>
              </w:rPr>
              <w:t>antagonist</w:t>
            </w:r>
          </w:p>
        </w:tc>
        <w:tc>
          <w:tcPr>
            <w:tcW w:w="2090" w:type="dxa"/>
            <w:tcBorders>
              <w:top w:val="nil"/>
              <w:left w:val="nil"/>
              <w:bottom w:val="single" w:sz="4" w:space="0" w:color="auto"/>
              <w:right w:val="single" w:sz="4" w:space="0" w:color="auto"/>
            </w:tcBorders>
            <w:shd w:val="clear" w:color="auto" w:fill="auto"/>
            <w:noWrap/>
            <w:vAlign w:val="bottom"/>
          </w:tcPr>
          <w:p w14:paraId="4EEC543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276 (24.3%)</w:t>
            </w:r>
          </w:p>
        </w:tc>
        <w:tc>
          <w:tcPr>
            <w:tcW w:w="1980" w:type="dxa"/>
            <w:tcBorders>
              <w:top w:val="nil"/>
              <w:left w:val="nil"/>
              <w:bottom w:val="single" w:sz="4" w:space="0" w:color="auto"/>
              <w:right w:val="single" w:sz="4" w:space="0" w:color="auto"/>
            </w:tcBorders>
            <w:shd w:val="clear" w:color="auto" w:fill="auto"/>
            <w:noWrap/>
            <w:vAlign w:val="bottom"/>
          </w:tcPr>
          <w:p w14:paraId="5B6839B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963 (26.3%)</w:t>
            </w:r>
          </w:p>
        </w:tc>
        <w:tc>
          <w:tcPr>
            <w:tcW w:w="802" w:type="dxa"/>
            <w:tcBorders>
              <w:top w:val="nil"/>
              <w:left w:val="nil"/>
              <w:bottom w:val="single" w:sz="4" w:space="0" w:color="auto"/>
              <w:right w:val="single" w:sz="4" w:space="0" w:color="auto"/>
            </w:tcBorders>
            <w:shd w:val="clear" w:color="auto" w:fill="auto"/>
            <w:noWrap/>
            <w:vAlign w:val="bottom"/>
          </w:tcPr>
          <w:p w14:paraId="487A287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0.18</w:t>
            </w:r>
          </w:p>
        </w:tc>
      </w:tr>
      <w:tr w:rsidR="00442763" w:rsidRPr="00EB436F" w14:paraId="0416D465"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C1D71E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Diuretic</w:t>
            </w:r>
          </w:p>
        </w:tc>
        <w:tc>
          <w:tcPr>
            <w:tcW w:w="2090" w:type="dxa"/>
            <w:tcBorders>
              <w:top w:val="nil"/>
              <w:left w:val="nil"/>
              <w:bottom w:val="single" w:sz="4" w:space="0" w:color="auto"/>
              <w:right w:val="single" w:sz="4" w:space="0" w:color="auto"/>
            </w:tcBorders>
            <w:shd w:val="clear" w:color="auto" w:fill="auto"/>
            <w:noWrap/>
            <w:vAlign w:val="bottom"/>
          </w:tcPr>
          <w:p w14:paraId="10A8999F" w14:textId="5C63B9D6"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099 (96.8%)</w:t>
            </w:r>
          </w:p>
        </w:tc>
        <w:tc>
          <w:tcPr>
            <w:tcW w:w="1980" w:type="dxa"/>
            <w:tcBorders>
              <w:top w:val="nil"/>
              <w:left w:val="nil"/>
              <w:bottom w:val="single" w:sz="4" w:space="0" w:color="auto"/>
              <w:right w:val="single" w:sz="4" w:space="0" w:color="auto"/>
            </w:tcBorders>
            <w:shd w:val="clear" w:color="auto" w:fill="auto"/>
            <w:noWrap/>
            <w:vAlign w:val="bottom"/>
          </w:tcPr>
          <w:p w14:paraId="2F1A1A71" w14:textId="78DD26F2"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486 (95.2%)</w:t>
            </w:r>
          </w:p>
        </w:tc>
        <w:tc>
          <w:tcPr>
            <w:tcW w:w="802" w:type="dxa"/>
            <w:tcBorders>
              <w:top w:val="nil"/>
              <w:left w:val="nil"/>
              <w:bottom w:val="single" w:sz="4" w:space="0" w:color="auto"/>
              <w:right w:val="single" w:sz="4" w:space="0" w:color="auto"/>
            </w:tcBorders>
            <w:shd w:val="clear" w:color="auto" w:fill="auto"/>
            <w:noWrap/>
            <w:vAlign w:val="bottom"/>
          </w:tcPr>
          <w:p w14:paraId="177524F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0.021</w:t>
            </w:r>
          </w:p>
        </w:tc>
      </w:tr>
      <w:tr w:rsidR="00442763" w:rsidRPr="00EB436F" w14:paraId="0E198526"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ADEEBEC" w14:textId="20EE04CD"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Beta-</w:t>
            </w:r>
            <w:r w:rsidRPr="00EB436F">
              <w:rPr>
                <w:rFonts w:ascii="Times New Roman" w:eastAsia="Times New Roman" w:hAnsi="Times New Roman" w:cs="Times New Roman"/>
                <w:color w:val="000000"/>
              </w:rPr>
              <w:t>blocker</w:t>
            </w:r>
          </w:p>
        </w:tc>
        <w:tc>
          <w:tcPr>
            <w:tcW w:w="2090" w:type="dxa"/>
            <w:tcBorders>
              <w:top w:val="nil"/>
              <w:left w:val="nil"/>
              <w:bottom w:val="single" w:sz="4" w:space="0" w:color="auto"/>
              <w:right w:val="single" w:sz="4" w:space="0" w:color="auto"/>
            </w:tcBorders>
            <w:shd w:val="clear" w:color="auto" w:fill="auto"/>
            <w:noWrap/>
            <w:vAlign w:val="bottom"/>
          </w:tcPr>
          <w:p w14:paraId="550DB6A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935 (82.4%)</w:t>
            </w:r>
          </w:p>
        </w:tc>
        <w:tc>
          <w:tcPr>
            <w:tcW w:w="1980" w:type="dxa"/>
            <w:tcBorders>
              <w:top w:val="nil"/>
              <w:left w:val="nil"/>
              <w:bottom w:val="single" w:sz="4" w:space="0" w:color="auto"/>
              <w:right w:val="single" w:sz="4" w:space="0" w:color="auto"/>
            </w:tcBorders>
            <w:shd w:val="clear" w:color="auto" w:fill="auto"/>
            <w:noWrap/>
            <w:vAlign w:val="bottom"/>
          </w:tcPr>
          <w:p w14:paraId="0A249FCD" w14:textId="572C1ACF"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886 (78.8%)</w:t>
            </w:r>
          </w:p>
        </w:tc>
        <w:tc>
          <w:tcPr>
            <w:tcW w:w="802" w:type="dxa"/>
            <w:tcBorders>
              <w:top w:val="nil"/>
              <w:left w:val="nil"/>
              <w:bottom w:val="single" w:sz="4" w:space="0" w:color="auto"/>
              <w:right w:val="single" w:sz="4" w:space="0" w:color="auto"/>
            </w:tcBorders>
            <w:shd w:val="clear" w:color="auto" w:fill="auto"/>
            <w:noWrap/>
            <w:vAlign w:val="bottom"/>
          </w:tcPr>
          <w:p w14:paraId="3A13365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0.009</w:t>
            </w:r>
          </w:p>
        </w:tc>
      </w:tr>
      <w:tr w:rsidR="00442763" w:rsidRPr="00EB436F" w14:paraId="0F1D5D58"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0415C3D9" w14:textId="0062A8C4"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lastRenderedPageBreak/>
              <w:t xml:space="preserve">Atrial </w:t>
            </w:r>
            <w:r w:rsidR="002404FE" w:rsidRPr="00EB436F">
              <w:rPr>
                <w:rFonts w:ascii="Times New Roman" w:eastAsia="Times New Roman" w:hAnsi="Times New Roman" w:cs="Times New Roman"/>
                <w:color w:val="000000"/>
              </w:rPr>
              <w:t>fibrillation</w:t>
            </w:r>
          </w:p>
        </w:tc>
        <w:tc>
          <w:tcPr>
            <w:tcW w:w="2090" w:type="dxa"/>
            <w:tcBorders>
              <w:top w:val="nil"/>
              <w:left w:val="nil"/>
              <w:bottom w:val="single" w:sz="4" w:space="0" w:color="auto"/>
              <w:right w:val="single" w:sz="4" w:space="0" w:color="auto"/>
            </w:tcBorders>
            <w:shd w:val="clear" w:color="auto" w:fill="auto"/>
            <w:noWrap/>
            <w:vAlign w:val="bottom"/>
          </w:tcPr>
          <w:p w14:paraId="5207026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362 (32.0%)</w:t>
            </w:r>
          </w:p>
        </w:tc>
        <w:tc>
          <w:tcPr>
            <w:tcW w:w="1980" w:type="dxa"/>
            <w:tcBorders>
              <w:top w:val="nil"/>
              <w:left w:val="nil"/>
              <w:bottom w:val="single" w:sz="4" w:space="0" w:color="auto"/>
              <w:right w:val="single" w:sz="4" w:space="0" w:color="auto"/>
            </w:tcBorders>
            <w:shd w:val="clear" w:color="auto" w:fill="auto"/>
            <w:noWrap/>
            <w:vAlign w:val="bottom"/>
          </w:tcPr>
          <w:p w14:paraId="71F4B19D" w14:textId="520D4BA5"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190 (32.6%)</w:t>
            </w:r>
          </w:p>
        </w:tc>
        <w:tc>
          <w:tcPr>
            <w:tcW w:w="802" w:type="dxa"/>
            <w:tcBorders>
              <w:top w:val="nil"/>
              <w:left w:val="nil"/>
              <w:bottom w:val="single" w:sz="4" w:space="0" w:color="auto"/>
              <w:right w:val="single" w:sz="4" w:space="0" w:color="auto"/>
            </w:tcBorders>
            <w:shd w:val="clear" w:color="auto" w:fill="auto"/>
            <w:noWrap/>
            <w:vAlign w:val="bottom"/>
          </w:tcPr>
          <w:p w14:paraId="534EBFB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0.67</w:t>
            </w:r>
          </w:p>
        </w:tc>
      </w:tr>
      <w:tr w:rsidR="00442763" w:rsidRPr="00EB436F" w14:paraId="351F54AE"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492C398" w14:textId="5FA07714"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Systolic </w:t>
            </w:r>
            <w:r w:rsidR="002404FE" w:rsidRPr="00EB436F">
              <w:rPr>
                <w:rFonts w:ascii="Times New Roman" w:eastAsia="Times New Roman" w:hAnsi="Times New Roman" w:cs="Times New Roman"/>
                <w:color w:val="000000"/>
              </w:rPr>
              <w:t>blood pr</w:t>
            </w:r>
            <w:r w:rsidRPr="00EB436F">
              <w:rPr>
                <w:rFonts w:ascii="Times New Roman" w:eastAsia="Times New Roman" w:hAnsi="Times New Roman" w:cs="Times New Roman"/>
                <w:color w:val="000000"/>
              </w:rPr>
              <w:t>essure, mm</w:t>
            </w:r>
            <w:r w:rsidR="002404FE">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Hg</w:t>
            </w:r>
          </w:p>
        </w:tc>
        <w:tc>
          <w:tcPr>
            <w:tcW w:w="2090" w:type="dxa"/>
            <w:tcBorders>
              <w:top w:val="nil"/>
              <w:left w:val="nil"/>
              <w:bottom w:val="single" w:sz="4" w:space="0" w:color="auto"/>
              <w:right w:val="single" w:sz="4" w:space="0" w:color="auto"/>
            </w:tcBorders>
            <w:shd w:val="clear" w:color="auto" w:fill="auto"/>
            <w:noWrap/>
            <w:vAlign w:val="bottom"/>
          </w:tcPr>
          <w:p w14:paraId="3D669B2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130.9 ± 15.3</w:t>
            </w:r>
          </w:p>
        </w:tc>
        <w:tc>
          <w:tcPr>
            <w:tcW w:w="1980" w:type="dxa"/>
            <w:tcBorders>
              <w:top w:val="nil"/>
              <w:left w:val="nil"/>
              <w:bottom w:val="single" w:sz="4" w:space="0" w:color="auto"/>
              <w:right w:val="single" w:sz="4" w:space="0" w:color="auto"/>
            </w:tcBorders>
            <w:shd w:val="clear" w:color="auto" w:fill="auto"/>
            <w:noWrap/>
            <w:vAlign w:val="bottom"/>
          </w:tcPr>
          <w:p w14:paraId="2459ECA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130.5 ± 15.5</w:t>
            </w:r>
          </w:p>
        </w:tc>
        <w:tc>
          <w:tcPr>
            <w:tcW w:w="802" w:type="dxa"/>
            <w:tcBorders>
              <w:top w:val="nil"/>
              <w:left w:val="nil"/>
              <w:bottom w:val="single" w:sz="4" w:space="0" w:color="auto"/>
              <w:right w:val="single" w:sz="4" w:space="0" w:color="auto"/>
            </w:tcBorders>
            <w:shd w:val="clear" w:color="auto" w:fill="auto"/>
            <w:noWrap/>
            <w:vAlign w:val="bottom"/>
          </w:tcPr>
          <w:p w14:paraId="28D9585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0.41</w:t>
            </w:r>
          </w:p>
        </w:tc>
      </w:tr>
      <w:tr w:rsidR="00442763" w:rsidRPr="00EB436F" w14:paraId="63E3B42A"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0E0064D7" w14:textId="2044B70E"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Diastolic </w:t>
            </w:r>
            <w:r w:rsidR="002404FE" w:rsidRPr="00EB436F">
              <w:rPr>
                <w:rFonts w:ascii="Times New Roman" w:eastAsia="Times New Roman" w:hAnsi="Times New Roman" w:cs="Times New Roman"/>
                <w:color w:val="000000"/>
              </w:rPr>
              <w:t>blood p</w:t>
            </w:r>
            <w:r w:rsidRPr="00EB436F">
              <w:rPr>
                <w:rFonts w:ascii="Times New Roman" w:eastAsia="Times New Roman" w:hAnsi="Times New Roman" w:cs="Times New Roman"/>
                <w:color w:val="000000"/>
              </w:rPr>
              <w:t>ressure, mm</w:t>
            </w:r>
            <w:r w:rsidR="002404FE">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Hg</w:t>
            </w:r>
          </w:p>
        </w:tc>
        <w:tc>
          <w:tcPr>
            <w:tcW w:w="2090" w:type="dxa"/>
            <w:tcBorders>
              <w:top w:val="nil"/>
              <w:left w:val="nil"/>
              <w:bottom w:val="single" w:sz="4" w:space="0" w:color="auto"/>
              <w:right w:val="single" w:sz="4" w:space="0" w:color="auto"/>
            </w:tcBorders>
            <w:shd w:val="clear" w:color="auto" w:fill="auto"/>
            <w:noWrap/>
            <w:vAlign w:val="bottom"/>
          </w:tcPr>
          <w:p w14:paraId="4029467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74.4 ± 10.3</w:t>
            </w:r>
          </w:p>
        </w:tc>
        <w:tc>
          <w:tcPr>
            <w:tcW w:w="1980" w:type="dxa"/>
            <w:tcBorders>
              <w:top w:val="nil"/>
              <w:left w:val="nil"/>
              <w:bottom w:val="single" w:sz="4" w:space="0" w:color="auto"/>
              <w:right w:val="single" w:sz="4" w:space="0" w:color="auto"/>
            </w:tcBorders>
            <w:shd w:val="clear" w:color="auto" w:fill="auto"/>
            <w:noWrap/>
            <w:vAlign w:val="bottom"/>
          </w:tcPr>
          <w:p w14:paraId="0A817CE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74.3 ± 10.6</w:t>
            </w:r>
          </w:p>
        </w:tc>
        <w:tc>
          <w:tcPr>
            <w:tcW w:w="802" w:type="dxa"/>
            <w:tcBorders>
              <w:top w:val="nil"/>
              <w:left w:val="nil"/>
              <w:bottom w:val="single" w:sz="4" w:space="0" w:color="auto"/>
              <w:right w:val="single" w:sz="4" w:space="0" w:color="auto"/>
            </w:tcBorders>
            <w:shd w:val="clear" w:color="auto" w:fill="auto"/>
            <w:noWrap/>
            <w:vAlign w:val="bottom"/>
          </w:tcPr>
          <w:p w14:paraId="24A187C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0.68</w:t>
            </w:r>
          </w:p>
        </w:tc>
      </w:tr>
      <w:tr w:rsidR="00442763" w:rsidRPr="00EB436F" w14:paraId="7CD10E87"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3183904B" w14:textId="73F7A84D"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Potassium, mEq/l</w:t>
            </w:r>
          </w:p>
        </w:tc>
        <w:tc>
          <w:tcPr>
            <w:tcW w:w="2090" w:type="dxa"/>
            <w:tcBorders>
              <w:top w:val="nil"/>
              <w:left w:val="nil"/>
              <w:bottom w:val="single" w:sz="4" w:space="0" w:color="auto"/>
              <w:right w:val="single" w:sz="4" w:space="0" w:color="auto"/>
            </w:tcBorders>
            <w:shd w:val="clear" w:color="auto" w:fill="auto"/>
            <w:noWrap/>
            <w:vAlign w:val="bottom"/>
          </w:tcPr>
          <w:p w14:paraId="1F43495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4.5 ± 0.4</w:t>
            </w:r>
          </w:p>
        </w:tc>
        <w:tc>
          <w:tcPr>
            <w:tcW w:w="1980" w:type="dxa"/>
            <w:tcBorders>
              <w:top w:val="nil"/>
              <w:left w:val="nil"/>
              <w:bottom w:val="single" w:sz="4" w:space="0" w:color="auto"/>
              <w:right w:val="single" w:sz="4" w:space="0" w:color="auto"/>
            </w:tcBorders>
            <w:shd w:val="clear" w:color="auto" w:fill="auto"/>
            <w:noWrap/>
            <w:vAlign w:val="bottom"/>
          </w:tcPr>
          <w:p w14:paraId="73615C0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4.5 ± 0.5</w:t>
            </w:r>
          </w:p>
        </w:tc>
        <w:tc>
          <w:tcPr>
            <w:tcW w:w="802" w:type="dxa"/>
            <w:tcBorders>
              <w:top w:val="nil"/>
              <w:left w:val="nil"/>
              <w:bottom w:val="single" w:sz="4" w:space="0" w:color="auto"/>
              <w:right w:val="single" w:sz="4" w:space="0" w:color="auto"/>
            </w:tcBorders>
            <w:shd w:val="clear" w:color="auto" w:fill="auto"/>
            <w:noWrap/>
            <w:vAlign w:val="bottom"/>
          </w:tcPr>
          <w:p w14:paraId="7913848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0.87</w:t>
            </w:r>
          </w:p>
        </w:tc>
      </w:tr>
      <w:tr w:rsidR="00442763" w:rsidRPr="00EB436F" w14:paraId="27325CFD"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7B27543D" w14:textId="5461D52E"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eGFR, ml</w:t>
            </w:r>
            <w:r w:rsidR="00442763" w:rsidRPr="00EB436F">
              <w:rPr>
                <w:rFonts w:ascii="Times New Roman" w:eastAsia="Times New Roman" w:hAnsi="Times New Roman" w:cs="Times New Roman"/>
                <w:color w:val="000000"/>
              </w:rPr>
              <w:t>/min/1.73m</w:t>
            </w:r>
            <w:r w:rsidR="00442763" w:rsidRPr="002404FE">
              <w:rPr>
                <w:rFonts w:ascii="Times New Roman" w:eastAsia="Times New Roman" w:hAnsi="Times New Roman" w:cs="Times New Roman"/>
                <w:color w:val="000000"/>
                <w:vertAlign w:val="superscript"/>
              </w:rPr>
              <w:t>2</w:t>
            </w:r>
          </w:p>
        </w:tc>
        <w:tc>
          <w:tcPr>
            <w:tcW w:w="2090" w:type="dxa"/>
            <w:tcBorders>
              <w:top w:val="nil"/>
              <w:left w:val="nil"/>
              <w:bottom w:val="single" w:sz="4" w:space="0" w:color="auto"/>
              <w:right w:val="single" w:sz="4" w:space="0" w:color="auto"/>
            </w:tcBorders>
            <w:shd w:val="clear" w:color="auto" w:fill="auto"/>
            <w:noWrap/>
            <w:vAlign w:val="bottom"/>
          </w:tcPr>
          <w:p w14:paraId="2ED7AA7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60.2 ± 17.9</w:t>
            </w:r>
          </w:p>
        </w:tc>
        <w:tc>
          <w:tcPr>
            <w:tcW w:w="1980" w:type="dxa"/>
            <w:tcBorders>
              <w:top w:val="nil"/>
              <w:left w:val="nil"/>
              <w:bottom w:val="single" w:sz="4" w:space="0" w:color="auto"/>
              <w:right w:val="single" w:sz="4" w:space="0" w:color="auto"/>
            </w:tcBorders>
            <w:shd w:val="clear" w:color="auto" w:fill="auto"/>
            <w:noWrap/>
            <w:vAlign w:val="bottom"/>
          </w:tcPr>
          <w:p w14:paraId="22B345E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63.3 ± 19.4</w:t>
            </w:r>
          </w:p>
        </w:tc>
        <w:tc>
          <w:tcPr>
            <w:tcW w:w="802" w:type="dxa"/>
            <w:tcBorders>
              <w:top w:val="nil"/>
              <w:left w:val="nil"/>
              <w:bottom w:val="single" w:sz="4" w:space="0" w:color="auto"/>
              <w:right w:val="single" w:sz="4" w:space="0" w:color="auto"/>
            </w:tcBorders>
            <w:shd w:val="clear" w:color="auto" w:fill="auto"/>
            <w:noWrap/>
            <w:vAlign w:val="bottom"/>
          </w:tcPr>
          <w:p w14:paraId="528DDBB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1A47EE2D"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2260C2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NT-proBNP, pg/ml</w:t>
            </w:r>
          </w:p>
        </w:tc>
        <w:tc>
          <w:tcPr>
            <w:tcW w:w="2090" w:type="dxa"/>
            <w:tcBorders>
              <w:top w:val="nil"/>
              <w:left w:val="nil"/>
              <w:bottom w:val="single" w:sz="4" w:space="0" w:color="auto"/>
              <w:right w:val="single" w:sz="4" w:space="0" w:color="auto"/>
            </w:tcBorders>
            <w:shd w:val="clear" w:color="auto" w:fill="auto"/>
            <w:noWrap/>
            <w:vAlign w:val="bottom"/>
          </w:tcPr>
          <w:p w14:paraId="18AD47DB" w14:textId="631BC79D"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942.0 [506.0, 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553.0]</w:t>
            </w:r>
          </w:p>
        </w:tc>
        <w:tc>
          <w:tcPr>
            <w:tcW w:w="1980" w:type="dxa"/>
            <w:tcBorders>
              <w:top w:val="nil"/>
              <w:left w:val="nil"/>
              <w:bottom w:val="single" w:sz="4" w:space="0" w:color="auto"/>
              <w:right w:val="single" w:sz="4" w:space="0" w:color="auto"/>
            </w:tcBorders>
            <w:shd w:val="clear" w:color="auto" w:fill="auto"/>
            <w:noWrap/>
            <w:vAlign w:val="bottom"/>
          </w:tcPr>
          <w:p w14:paraId="4AAA508F" w14:textId="3BC5C799"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892.0 [452.0, 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639.0]</w:t>
            </w:r>
          </w:p>
        </w:tc>
        <w:tc>
          <w:tcPr>
            <w:tcW w:w="802" w:type="dxa"/>
            <w:tcBorders>
              <w:top w:val="nil"/>
              <w:left w:val="nil"/>
              <w:bottom w:val="single" w:sz="4" w:space="0" w:color="auto"/>
              <w:right w:val="single" w:sz="4" w:space="0" w:color="auto"/>
            </w:tcBorders>
            <w:shd w:val="clear" w:color="auto" w:fill="auto"/>
            <w:noWrap/>
            <w:vAlign w:val="bottom"/>
          </w:tcPr>
          <w:p w14:paraId="02E15A0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0.18</w:t>
            </w:r>
          </w:p>
        </w:tc>
      </w:tr>
      <w:tr w:rsidR="00442763" w:rsidRPr="00EB436F" w14:paraId="000D6DDC" w14:textId="77777777" w:rsidTr="00C069D0">
        <w:trPr>
          <w:trHeight w:val="301"/>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54890532" w14:textId="6CED6AAE"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hsTN</w:t>
            </w:r>
            <w:bookmarkStart w:id="0" w:name="Editing"/>
            <w:bookmarkStart w:id="1" w:name="_GoBack"/>
            <w:bookmarkEnd w:id="0"/>
            <w:bookmarkEnd w:id="1"/>
            <w:r>
              <w:rPr>
                <w:rFonts w:ascii="Times New Roman" w:eastAsia="Times New Roman" w:hAnsi="Times New Roman" w:cs="Times New Roman"/>
                <w:color w:val="000000"/>
              </w:rPr>
              <w:t>T, ng/l</w:t>
            </w:r>
          </w:p>
        </w:tc>
        <w:tc>
          <w:tcPr>
            <w:tcW w:w="2090" w:type="dxa"/>
            <w:tcBorders>
              <w:top w:val="nil"/>
              <w:left w:val="nil"/>
              <w:bottom w:val="single" w:sz="4" w:space="0" w:color="auto"/>
              <w:right w:val="single" w:sz="4" w:space="0" w:color="auto"/>
            </w:tcBorders>
            <w:shd w:val="clear" w:color="auto" w:fill="auto"/>
            <w:noWrap/>
            <w:vAlign w:val="bottom"/>
          </w:tcPr>
          <w:p w14:paraId="27993FA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17.0 [11.0, 26.0]</w:t>
            </w:r>
          </w:p>
        </w:tc>
        <w:tc>
          <w:tcPr>
            <w:tcW w:w="1980" w:type="dxa"/>
            <w:tcBorders>
              <w:top w:val="nil"/>
              <w:left w:val="nil"/>
              <w:bottom w:val="single" w:sz="4" w:space="0" w:color="auto"/>
              <w:right w:val="single" w:sz="4" w:space="0" w:color="auto"/>
            </w:tcBorders>
            <w:shd w:val="clear" w:color="auto" w:fill="auto"/>
            <w:noWrap/>
            <w:vAlign w:val="bottom"/>
          </w:tcPr>
          <w:p w14:paraId="3D2AF5F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24.0 [11.0, 34.0]</w:t>
            </w:r>
          </w:p>
        </w:tc>
        <w:tc>
          <w:tcPr>
            <w:tcW w:w="802" w:type="dxa"/>
            <w:tcBorders>
              <w:top w:val="nil"/>
              <w:left w:val="nil"/>
              <w:bottom w:val="single" w:sz="4" w:space="0" w:color="auto"/>
              <w:right w:val="single" w:sz="4" w:space="0" w:color="auto"/>
            </w:tcBorders>
            <w:shd w:val="clear" w:color="auto" w:fill="auto"/>
            <w:noWrap/>
            <w:vAlign w:val="bottom"/>
          </w:tcPr>
          <w:p w14:paraId="342B66A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0.12</w:t>
            </w:r>
          </w:p>
        </w:tc>
      </w:tr>
    </w:tbl>
    <w:p w14:paraId="1E3C40F4" w14:textId="77777777" w:rsidR="00442763" w:rsidRPr="00EB436F" w:rsidRDefault="00442763" w:rsidP="00EB436F">
      <w:pPr>
        <w:spacing w:line="480" w:lineRule="auto"/>
        <w:rPr>
          <w:rFonts w:ascii="Times New Roman" w:hAnsi="Times New Roman" w:cs="Times New Roman"/>
        </w:rPr>
      </w:pPr>
    </w:p>
    <w:p w14:paraId="089494AE" w14:textId="77777777"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 xml:space="preserve">Abbreviation: Biomarker substudy participation is defined as having data for at least 1 biomarker of ECM homeostasis at baseline. Normally distributed categorical variables are described as mean </w:t>
      </w:r>
      <w:r w:rsidRPr="00EB436F">
        <w:rPr>
          <w:rFonts w:ascii="Times New Roman" w:eastAsia="Times New Roman" w:hAnsi="Times New Roman" w:cs="Times New Roman"/>
          <w:color w:val="000000"/>
        </w:rPr>
        <w:t xml:space="preserve">± standard deviation. Skewed variables are described as median (interquartile range). Categorical variables are described as number (percentage of total). </w:t>
      </w:r>
      <w:r w:rsidRPr="00EB436F">
        <w:rPr>
          <w:rFonts w:ascii="Times New Roman" w:hAnsi="Times New Roman" w:cs="Times New Roman"/>
        </w:rPr>
        <w:t xml:space="preserve">Abbreviations: </w:t>
      </w:r>
      <w:r w:rsidRPr="00EB436F">
        <w:rPr>
          <w:rFonts w:ascii="Times New Roman" w:eastAsia="Times New Roman" w:hAnsi="Times New Roman" w:cs="Times New Roman"/>
          <w:color w:val="000000"/>
        </w:rPr>
        <w:t>ACEi/ARB</w:t>
      </w:r>
      <w:r w:rsidRPr="00EB436F">
        <w:rPr>
          <w:rFonts w:ascii="Times New Roman" w:hAnsi="Times New Roman" w:cs="Times New Roman"/>
        </w:rPr>
        <w:t>, angiotensin-converting enzyme inhibitor or angiotensin receptor blocker; eGFR, estimated glomerular filtration rate; HF, heart failure; hsTNT, high-sensitivity troponin T; NT-proBNP, N-terminal pro-B-type natriuretic peptide; NYHA, New York Heart Association.</w:t>
      </w:r>
    </w:p>
    <w:p w14:paraId="471895A0" w14:textId="77777777"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br w:type="page"/>
      </w:r>
    </w:p>
    <w:p w14:paraId="153100BB" w14:textId="3BF8CF90"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Supplemental Table 2</w:t>
      </w:r>
      <w:r w:rsidR="002404FE">
        <w:rPr>
          <w:rFonts w:ascii="Times New Roman" w:hAnsi="Times New Roman" w:cs="Times New Roman"/>
        </w:rPr>
        <w:t>.</w:t>
      </w:r>
      <w:r w:rsidRPr="00EB436F">
        <w:rPr>
          <w:rFonts w:ascii="Times New Roman" w:hAnsi="Times New Roman" w:cs="Times New Roman"/>
        </w:rPr>
        <w:t xml:space="preserve"> Median (95% confidence interval) baseline biomarker levels in men and women and patients with higher or lower left ventricular ejection fraction</w:t>
      </w:r>
    </w:p>
    <w:p w14:paraId="13F5C51A" w14:textId="2D871233" w:rsidR="00442763" w:rsidRPr="00EB436F" w:rsidRDefault="00442763" w:rsidP="00EB436F">
      <w:pPr>
        <w:spacing w:line="480" w:lineRule="auto"/>
        <w:rPr>
          <w:rFonts w:ascii="Times New Roman" w:hAnsi="Times New Roman" w:cs="Times New Roman"/>
          <w:u w:val="single"/>
        </w:rPr>
      </w:pPr>
      <w:r w:rsidRPr="00EB436F">
        <w:rPr>
          <w:rFonts w:ascii="Times New Roman" w:hAnsi="Times New Roman" w:cs="Times New Roman"/>
          <w:u w:val="single"/>
        </w:rPr>
        <w:t>A: Sex</w:t>
      </w:r>
    </w:p>
    <w:tbl>
      <w:tblPr>
        <w:tblW w:w="7344" w:type="dxa"/>
        <w:tblInd w:w="720" w:type="dxa"/>
        <w:tblLook w:val="04A0" w:firstRow="1" w:lastRow="0" w:firstColumn="1" w:lastColumn="0" w:noHBand="0" w:noVBand="1"/>
      </w:tblPr>
      <w:tblGrid>
        <w:gridCol w:w="1297"/>
        <w:gridCol w:w="2492"/>
        <w:gridCol w:w="2258"/>
        <w:gridCol w:w="1297"/>
      </w:tblGrid>
      <w:tr w:rsidR="00442763" w:rsidRPr="00EB436F" w14:paraId="18B0883C" w14:textId="77777777" w:rsidTr="00C069D0">
        <w:trPr>
          <w:trHeight w:val="255"/>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72EA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w:t>
            </w:r>
          </w:p>
        </w:tc>
        <w:tc>
          <w:tcPr>
            <w:tcW w:w="2492" w:type="dxa"/>
            <w:tcBorders>
              <w:top w:val="single" w:sz="4" w:space="0" w:color="auto"/>
              <w:left w:val="nil"/>
              <w:bottom w:val="single" w:sz="4" w:space="0" w:color="auto"/>
              <w:right w:val="single" w:sz="4" w:space="0" w:color="auto"/>
            </w:tcBorders>
            <w:shd w:val="clear" w:color="auto" w:fill="auto"/>
            <w:noWrap/>
            <w:vAlign w:val="bottom"/>
          </w:tcPr>
          <w:p w14:paraId="00E52C43"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Men</w:t>
            </w:r>
          </w:p>
        </w:tc>
        <w:tc>
          <w:tcPr>
            <w:tcW w:w="2258" w:type="dxa"/>
            <w:tcBorders>
              <w:top w:val="single" w:sz="4" w:space="0" w:color="auto"/>
              <w:left w:val="nil"/>
              <w:bottom w:val="single" w:sz="4" w:space="0" w:color="auto"/>
              <w:right w:val="single" w:sz="4" w:space="0" w:color="auto"/>
            </w:tcBorders>
            <w:shd w:val="clear" w:color="auto" w:fill="auto"/>
            <w:noWrap/>
            <w:vAlign w:val="bottom"/>
          </w:tcPr>
          <w:p w14:paraId="72DFC24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Women</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0D2D29FD" w14:textId="0CF3D54B"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w:t>
            </w:r>
            <w:r w:rsidR="002404FE">
              <w:rPr>
                <w:rFonts w:ascii="Times New Roman" w:eastAsia="Times New Roman" w:hAnsi="Times New Roman" w:cs="Times New Roman"/>
                <w:color w:val="000000"/>
              </w:rPr>
              <w:t xml:space="preserve"> </w:t>
            </w:r>
            <w:r w:rsidR="002404FE" w:rsidRPr="00EB436F">
              <w:rPr>
                <w:rFonts w:ascii="Times New Roman" w:eastAsia="Times New Roman" w:hAnsi="Times New Roman" w:cs="Times New Roman"/>
                <w:color w:val="000000"/>
              </w:rPr>
              <w:t>Value</w:t>
            </w:r>
          </w:p>
        </w:tc>
      </w:tr>
      <w:tr w:rsidR="00442763" w:rsidRPr="00EB436F" w14:paraId="29F7C15C" w14:textId="77777777" w:rsidTr="00C069D0">
        <w:trPr>
          <w:trHeight w:val="255"/>
        </w:trPr>
        <w:tc>
          <w:tcPr>
            <w:tcW w:w="1297" w:type="dxa"/>
            <w:tcBorders>
              <w:top w:val="nil"/>
              <w:left w:val="single" w:sz="4" w:space="0" w:color="auto"/>
              <w:bottom w:val="single" w:sz="4" w:space="0" w:color="auto"/>
              <w:right w:val="single" w:sz="4" w:space="0" w:color="auto"/>
            </w:tcBorders>
            <w:shd w:val="clear" w:color="auto" w:fill="auto"/>
            <w:noWrap/>
            <w:vAlign w:val="bottom"/>
          </w:tcPr>
          <w:p w14:paraId="4767178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CITP</w:t>
            </w:r>
          </w:p>
        </w:tc>
        <w:tc>
          <w:tcPr>
            <w:tcW w:w="2492" w:type="dxa"/>
            <w:tcBorders>
              <w:top w:val="nil"/>
              <w:left w:val="nil"/>
              <w:bottom w:val="single" w:sz="4" w:space="0" w:color="auto"/>
              <w:right w:val="single" w:sz="4" w:space="0" w:color="auto"/>
            </w:tcBorders>
            <w:shd w:val="clear" w:color="auto" w:fill="auto"/>
            <w:noWrap/>
            <w:vAlign w:val="bottom"/>
          </w:tcPr>
          <w:p w14:paraId="58FF4713" w14:textId="343625C4"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6.2 (4.7–</w:t>
            </w:r>
            <w:r w:rsidR="00442763" w:rsidRPr="00EB436F">
              <w:rPr>
                <w:rFonts w:ascii="Times New Roman" w:eastAsia="Times New Roman" w:hAnsi="Times New Roman" w:cs="Times New Roman"/>
                <w:color w:val="000000"/>
              </w:rPr>
              <w:t>8.7)</w:t>
            </w:r>
          </w:p>
        </w:tc>
        <w:tc>
          <w:tcPr>
            <w:tcW w:w="2258" w:type="dxa"/>
            <w:tcBorders>
              <w:top w:val="nil"/>
              <w:left w:val="nil"/>
              <w:bottom w:val="single" w:sz="4" w:space="0" w:color="auto"/>
              <w:right w:val="single" w:sz="4" w:space="0" w:color="auto"/>
            </w:tcBorders>
            <w:shd w:val="clear" w:color="auto" w:fill="auto"/>
            <w:noWrap/>
            <w:vAlign w:val="bottom"/>
          </w:tcPr>
          <w:p w14:paraId="54568F59" w14:textId="4E63641D"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5.8 (4.6</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7.5)</w:t>
            </w:r>
          </w:p>
        </w:tc>
        <w:tc>
          <w:tcPr>
            <w:tcW w:w="1297" w:type="dxa"/>
            <w:tcBorders>
              <w:top w:val="nil"/>
              <w:left w:val="nil"/>
              <w:bottom w:val="single" w:sz="4" w:space="0" w:color="auto"/>
              <w:right w:val="single" w:sz="4" w:space="0" w:color="auto"/>
            </w:tcBorders>
            <w:shd w:val="clear" w:color="auto" w:fill="auto"/>
            <w:noWrap/>
            <w:vAlign w:val="bottom"/>
          </w:tcPr>
          <w:p w14:paraId="17C6354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0.005</w:t>
            </w:r>
          </w:p>
        </w:tc>
      </w:tr>
      <w:tr w:rsidR="00442763" w:rsidRPr="00EB436F" w14:paraId="2A39DCEC" w14:textId="77777777" w:rsidTr="00C069D0">
        <w:trPr>
          <w:trHeight w:val="255"/>
        </w:trPr>
        <w:tc>
          <w:tcPr>
            <w:tcW w:w="1297" w:type="dxa"/>
            <w:tcBorders>
              <w:top w:val="nil"/>
              <w:left w:val="single" w:sz="4" w:space="0" w:color="auto"/>
              <w:bottom w:val="single" w:sz="4" w:space="0" w:color="auto"/>
              <w:right w:val="single" w:sz="4" w:space="0" w:color="auto"/>
            </w:tcBorders>
            <w:shd w:val="clear" w:color="auto" w:fill="auto"/>
            <w:noWrap/>
            <w:vAlign w:val="bottom"/>
          </w:tcPr>
          <w:p w14:paraId="20C1BFF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PINP</w:t>
            </w:r>
          </w:p>
        </w:tc>
        <w:tc>
          <w:tcPr>
            <w:tcW w:w="2492" w:type="dxa"/>
            <w:tcBorders>
              <w:top w:val="nil"/>
              <w:left w:val="nil"/>
              <w:bottom w:val="single" w:sz="4" w:space="0" w:color="auto"/>
              <w:right w:val="single" w:sz="4" w:space="0" w:color="auto"/>
            </w:tcBorders>
            <w:shd w:val="clear" w:color="auto" w:fill="auto"/>
            <w:noWrap/>
            <w:vAlign w:val="bottom"/>
          </w:tcPr>
          <w:p w14:paraId="43EE1C87" w14:textId="09431464"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35 (27</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47)</w:t>
            </w:r>
          </w:p>
        </w:tc>
        <w:tc>
          <w:tcPr>
            <w:tcW w:w="2258" w:type="dxa"/>
            <w:tcBorders>
              <w:top w:val="nil"/>
              <w:left w:val="nil"/>
              <w:bottom w:val="single" w:sz="4" w:space="0" w:color="auto"/>
              <w:right w:val="single" w:sz="4" w:space="0" w:color="auto"/>
            </w:tcBorders>
            <w:shd w:val="clear" w:color="auto" w:fill="auto"/>
            <w:noWrap/>
            <w:vAlign w:val="bottom"/>
          </w:tcPr>
          <w:p w14:paraId="20C950EB" w14:textId="479D37C4"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41 (31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54)</w:t>
            </w:r>
          </w:p>
        </w:tc>
        <w:tc>
          <w:tcPr>
            <w:tcW w:w="1297" w:type="dxa"/>
            <w:tcBorders>
              <w:top w:val="nil"/>
              <w:left w:val="nil"/>
              <w:bottom w:val="single" w:sz="4" w:space="0" w:color="auto"/>
              <w:right w:val="single" w:sz="4" w:space="0" w:color="auto"/>
            </w:tcBorders>
            <w:shd w:val="clear" w:color="auto" w:fill="auto"/>
            <w:noWrap/>
            <w:vAlign w:val="bottom"/>
          </w:tcPr>
          <w:p w14:paraId="6632141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0792CB7E" w14:textId="77777777" w:rsidTr="00C069D0">
        <w:trPr>
          <w:trHeight w:val="255"/>
        </w:trPr>
        <w:tc>
          <w:tcPr>
            <w:tcW w:w="1297" w:type="dxa"/>
            <w:tcBorders>
              <w:top w:val="nil"/>
              <w:left w:val="single" w:sz="4" w:space="0" w:color="auto"/>
              <w:bottom w:val="single" w:sz="4" w:space="0" w:color="auto"/>
              <w:right w:val="single" w:sz="4" w:space="0" w:color="auto"/>
            </w:tcBorders>
            <w:shd w:val="clear" w:color="auto" w:fill="auto"/>
            <w:noWrap/>
            <w:vAlign w:val="bottom"/>
          </w:tcPr>
          <w:p w14:paraId="08DD1B6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PIIINP</w:t>
            </w:r>
          </w:p>
        </w:tc>
        <w:tc>
          <w:tcPr>
            <w:tcW w:w="2492" w:type="dxa"/>
            <w:tcBorders>
              <w:top w:val="nil"/>
              <w:left w:val="nil"/>
              <w:bottom w:val="single" w:sz="4" w:space="0" w:color="auto"/>
              <w:right w:val="single" w:sz="4" w:space="0" w:color="auto"/>
            </w:tcBorders>
            <w:shd w:val="clear" w:color="auto" w:fill="auto"/>
            <w:noWrap/>
            <w:vAlign w:val="bottom"/>
          </w:tcPr>
          <w:p w14:paraId="25713E2C" w14:textId="14114E39"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4.5 (3.7</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5.6)</w:t>
            </w:r>
          </w:p>
        </w:tc>
        <w:tc>
          <w:tcPr>
            <w:tcW w:w="2258" w:type="dxa"/>
            <w:tcBorders>
              <w:top w:val="nil"/>
              <w:left w:val="nil"/>
              <w:bottom w:val="single" w:sz="4" w:space="0" w:color="auto"/>
              <w:right w:val="single" w:sz="4" w:space="0" w:color="auto"/>
            </w:tcBorders>
            <w:shd w:val="clear" w:color="auto" w:fill="auto"/>
            <w:noWrap/>
            <w:vAlign w:val="bottom"/>
          </w:tcPr>
          <w:p w14:paraId="046AEC37" w14:textId="52232CA5"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4.3 (3.5</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5.4)</w:t>
            </w:r>
          </w:p>
        </w:tc>
        <w:tc>
          <w:tcPr>
            <w:tcW w:w="1297" w:type="dxa"/>
            <w:tcBorders>
              <w:top w:val="nil"/>
              <w:left w:val="nil"/>
              <w:bottom w:val="single" w:sz="4" w:space="0" w:color="auto"/>
              <w:right w:val="single" w:sz="4" w:space="0" w:color="auto"/>
            </w:tcBorders>
            <w:shd w:val="clear" w:color="auto" w:fill="auto"/>
            <w:noWrap/>
            <w:vAlign w:val="bottom"/>
          </w:tcPr>
          <w:p w14:paraId="14F49F5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0.018</w:t>
            </w:r>
          </w:p>
        </w:tc>
      </w:tr>
      <w:tr w:rsidR="00442763" w:rsidRPr="00EB436F" w14:paraId="7B35CB80" w14:textId="77777777" w:rsidTr="00C069D0">
        <w:trPr>
          <w:trHeight w:val="255"/>
        </w:trPr>
        <w:tc>
          <w:tcPr>
            <w:tcW w:w="1297" w:type="dxa"/>
            <w:tcBorders>
              <w:top w:val="nil"/>
              <w:left w:val="single" w:sz="4" w:space="0" w:color="auto"/>
              <w:bottom w:val="single" w:sz="4" w:space="0" w:color="auto"/>
              <w:right w:val="single" w:sz="4" w:space="0" w:color="auto"/>
            </w:tcBorders>
            <w:shd w:val="clear" w:color="auto" w:fill="auto"/>
            <w:noWrap/>
            <w:vAlign w:val="bottom"/>
          </w:tcPr>
          <w:p w14:paraId="25955B4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sST2</w:t>
            </w:r>
          </w:p>
        </w:tc>
        <w:tc>
          <w:tcPr>
            <w:tcW w:w="2492" w:type="dxa"/>
            <w:tcBorders>
              <w:top w:val="nil"/>
              <w:left w:val="nil"/>
              <w:bottom w:val="single" w:sz="4" w:space="0" w:color="auto"/>
              <w:right w:val="single" w:sz="4" w:space="0" w:color="auto"/>
            </w:tcBorders>
            <w:shd w:val="clear" w:color="auto" w:fill="auto"/>
            <w:noWrap/>
            <w:vAlign w:val="bottom"/>
          </w:tcPr>
          <w:p w14:paraId="6DDC20C3" w14:textId="5404C59B"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25.3 (20.1</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31.3)</w:t>
            </w:r>
          </w:p>
        </w:tc>
        <w:tc>
          <w:tcPr>
            <w:tcW w:w="2258" w:type="dxa"/>
            <w:tcBorders>
              <w:top w:val="nil"/>
              <w:left w:val="nil"/>
              <w:bottom w:val="single" w:sz="4" w:space="0" w:color="auto"/>
              <w:right w:val="single" w:sz="4" w:space="0" w:color="auto"/>
            </w:tcBorders>
            <w:shd w:val="clear" w:color="auto" w:fill="auto"/>
            <w:noWrap/>
            <w:vAlign w:val="bottom"/>
          </w:tcPr>
          <w:p w14:paraId="30E1D4D9" w14:textId="2421515E"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22 (18.2–</w:t>
            </w:r>
            <w:r w:rsidR="00442763" w:rsidRPr="00EB436F">
              <w:rPr>
                <w:rFonts w:ascii="Times New Roman" w:eastAsia="Times New Roman" w:hAnsi="Times New Roman" w:cs="Times New Roman"/>
                <w:color w:val="000000"/>
              </w:rPr>
              <w:t>26.9)</w:t>
            </w:r>
          </w:p>
        </w:tc>
        <w:tc>
          <w:tcPr>
            <w:tcW w:w="1297" w:type="dxa"/>
            <w:tcBorders>
              <w:top w:val="nil"/>
              <w:left w:val="nil"/>
              <w:bottom w:val="single" w:sz="4" w:space="0" w:color="auto"/>
              <w:right w:val="single" w:sz="4" w:space="0" w:color="auto"/>
            </w:tcBorders>
            <w:shd w:val="clear" w:color="auto" w:fill="auto"/>
            <w:noWrap/>
            <w:vAlign w:val="bottom"/>
          </w:tcPr>
          <w:p w14:paraId="62AF53F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69E49D0B" w14:textId="77777777" w:rsidTr="00C069D0">
        <w:trPr>
          <w:trHeight w:val="255"/>
        </w:trPr>
        <w:tc>
          <w:tcPr>
            <w:tcW w:w="1297" w:type="dxa"/>
            <w:tcBorders>
              <w:top w:val="nil"/>
              <w:left w:val="single" w:sz="4" w:space="0" w:color="auto"/>
              <w:bottom w:val="single" w:sz="4" w:space="0" w:color="auto"/>
              <w:right w:val="single" w:sz="4" w:space="0" w:color="auto"/>
            </w:tcBorders>
            <w:shd w:val="clear" w:color="auto" w:fill="auto"/>
            <w:noWrap/>
            <w:vAlign w:val="bottom"/>
          </w:tcPr>
          <w:p w14:paraId="59CCEF5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TIMP-1</w:t>
            </w:r>
          </w:p>
        </w:tc>
        <w:tc>
          <w:tcPr>
            <w:tcW w:w="2492" w:type="dxa"/>
            <w:tcBorders>
              <w:top w:val="nil"/>
              <w:left w:val="nil"/>
              <w:bottom w:val="single" w:sz="4" w:space="0" w:color="auto"/>
              <w:right w:val="single" w:sz="4" w:space="0" w:color="auto"/>
            </w:tcBorders>
            <w:shd w:val="clear" w:color="auto" w:fill="auto"/>
            <w:noWrap/>
            <w:vAlign w:val="bottom"/>
          </w:tcPr>
          <w:p w14:paraId="2607214B" w14:textId="75F375BB"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131.3 </w:t>
            </w:r>
            <w:r w:rsidR="002404FE">
              <w:rPr>
                <w:rFonts w:ascii="Times New Roman" w:eastAsia="Times New Roman" w:hAnsi="Times New Roman" w:cs="Times New Roman"/>
                <w:color w:val="000000"/>
              </w:rPr>
              <w:t>(109.3–</w:t>
            </w:r>
            <w:r w:rsidRPr="00EB436F">
              <w:rPr>
                <w:rFonts w:ascii="Times New Roman" w:eastAsia="Times New Roman" w:hAnsi="Times New Roman" w:cs="Times New Roman"/>
                <w:color w:val="000000"/>
              </w:rPr>
              <w:t>161.1)</w:t>
            </w:r>
          </w:p>
        </w:tc>
        <w:tc>
          <w:tcPr>
            <w:tcW w:w="2258" w:type="dxa"/>
            <w:tcBorders>
              <w:top w:val="nil"/>
              <w:left w:val="nil"/>
              <w:bottom w:val="single" w:sz="4" w:space="0" w:color="auto"/>
              <w:right w:val="single" w:sz="4" w:space="0" w:color="auto"/>
            </w:tcBorders>
            <w:shd w:val="clear" w:color="auto" w:fill="auto"/>
            <w:noWrap/>
            <w:vAlign w:val="bottom"/>
          </w:tcPr>
          <w:p w14:paraId="7A950CAA" w14:textId="74D9BB58"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126.2 (106–</w:t>
            </w:r>
            <w:r w:rsidR="00442763" w:rsidRPr="00EB436F">
              <w:rPr>
                <w:rFonts w:ascii="Times New Roman" w:eastAsia="Times New Roman" w:hAnsi="Times New Roman" w:cs="Times New Roman"/>
                <w:color w:val="000000"/>
              </w:rPr>
              <w:t>153.1)</w:t>
            </w:r>
          </w:p>
        </w:tc>
        <w:tc>
          <w:tcPr>
            <w:tcW w:w="1297" w:type="dxa"/>
            <w:tcBorders>
              <w:top w:val="nil"/>
              <w:left w:val="nil"/>
              <w:bottom w:val="single" w:sz="4" w:space="0" w:color="auto"/>
              <w:right w:val="single" w:sz="4" w:space="0" w:color="auto"/>
            </w:tcBorders>
            <w:shd w:val="clear" w:color="auto" w:fill="auto"/>
            <w:noWrap/>
            <w:vAlign w:val="bottom"/>
          </w:tcPr>
          <w:p w14:paraId="4313CE7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0.011</w:t>
            </w:r>
          </w:p>
        </w:tc>
      </w:tr>
    </w:tbl>
    <w:p w14:paraId="0269ABD5" w14:textId="77777777" w:rsidR="00442763" w:rsidRPr="00EB436F" w:rsidRDefault="00442763" w:rsidP="00EB436F">
      <w:pPr>
        <w:spacing w:line="480" w:lineRule="auto"/>
        <w:rPr>
          <w:rFonts w:ascii="Times New Roman" w:hAnsi="Times New Roman" w:cs="Times New Roman"/>
        </w:rPr>
      </w:pPr>
    </w:p>
    <w:p w14:paraId="2AF1AF05" w14:textId="4D248A45" w:rsidR="00442763" w:rsidRPr="00EB436F" w:rsidRDefault="00442763" w:rsidP="00EB436F">
      <w:pPr>
        <w:spacing w:line="480" w:lineRule="auto"/>
        <w:rPr>
          <w:rFonts w:ascii="Times New Roman" w:hAnsi="Times New Roman" w:cs="Times New Roman"/>
          <w:u w:val="single"/>
        </w:rPr>
      </w:pPr>
      <w:r w:rsidRPr="00EB436F">
        <w:rPr>
          <w:rFonts w:ascii="Times New Roman" w:hAnsi="Times New Roman" w:cs="Times New Roman"/>
          <w:u w:val="single"/>
        </w:rPr>
        <w:t>B: Left ventricular ejection fraction</w:t>
      </w:r>
    </w:p>
    <w:tbl>
      <w:tblPr>
        <w:tblW w:w="7377" w:type="dxa"/>
        <w:tblInd w:w="720" w:type="dxa"/>
        <w:tblLook w:val="04A0" w:firstRow="1" w:lastRow="0" w:firstColumn="1" w:lastColumn="0" w:noHBand="0" w:noVBand="1"/>
      </w:tblPr>
      <w:tblGrid>
        <w:gridCol w:w="1292"/>
        <w:gridCol w:w="2483"/>
        <w:gridCol w:w="2310"/>
        <w:gridCol w:w="1292"/>
      </w:tblGrid>
      <w:tr w:rsidR="00442763" w:rsidRPr="00EB436F" w14:paraId="41DBFB86" w14:textId="77777777" w:rsidTr="00C069D0">
        <w:trPr>
          <w:trHeight w:val="256"/>
        </w:trPr>
        <w:tc>
          <w:tcPr>
            <w:tcW w:w="1292" w:type="dxa"/>
            <w:tcBorders>
              <w:top w:val="nil"/>
              <w:left w:val="nil"/>
              <w:bottom w:val="nil"/>
              <w:right w:val="nil"/>
            </w:tcBorders>
            <w:shd w:val="clear" w:color="auto" w:fill="auto"/>
            <w:noWrap/>
            <w:vAlign w:val="bottom"/>
          </w:tcPr>
          <w:p w14:paraId="14D425D8" w14:textId="77777777" w:rsidR="00442763" w:rsidRPr="00EB436F" w:rsidRDefault="00442763" w:rsidP="00EB436F">
            <w:pPr>
              <w:spacing w:line="480" w:lineRule="auto"/>
              <w:rPr>
                <w:rFonts w:ascii="Times New Roman" w:eastAsia="Times New Roman" w:hAnsi="Times New Roman" w:cs="Times New Roman"/>
              </w:rPr>
            </w:pPr>
          </w:p>
        </w:tc>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C7D7A" w14:textId="1A82A4F5"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LVEF</w:t>
            </w:r>
            <w:r w:rsidR="002404FE">
              <w:rPr>
                <w:rFonts w:ascii="Times New Roman" w:eastAsia="Times New Roman" w:hAnsi="Times New Roman" w:cs="Times New Roman"/>
                <w:color w:val="000000"/>
              </w:rPr>
              <w:t xml:space="preserve"> ≤ </w:t>
            </w:r>
            <w:r w:rsidRPr="00EB436F">
              <w:rPr>
                <w:rFonts w:ascii="Times New Roman" w:eastAsia="Times New Roman" w:hAnsi="Times New Roman" w:cs="Times New Roman"/>
                <w:color w:val="000000"/>
              </w:rPr>
              <w:t>57%</w:t>
            </w:r>
          </w:p>
        </w:tc>
        <w:tc>
          <w:tcPr>
            <w:tcW w:w="2310" w:type="dxa"/>
            <w:tcBorders>
              <w:top w:val="single" w:sz="4" w:space="0" w:color="auto"/>
              <w:left w:val="nil"/>
              <w:bottom w:val="single" w:sz="4" w:space="0" w:color="auto"/>
              <w:right w:val="single" w:sz="4" w:space="0" w:color="auto"/>
            </w:tcBorders>
            <w:shd w:val="clear" w:color="auto" w:fill="auto"/>
            <w:noWrap/>
            <w:vAlign w:val="bottom"/>
          </w:tcPr>
          <w:p w14:paraId="3F267907" w14:textId="51AD15FD"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LVEF</w:t>
            </w:r>
            <w:r w:rsidR="002404FE">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&gt;</w:t>
            </w:r>
            <w:r w:rsidR="002404FE">
              <w:rPr>
                <w:rFonts w:ascii="Times New Roman" w:eastAsia="Times New Roman" w:hAnsi="Times New Roman" w:cs="Times New Roman"/>
                <w:color w:val="000000"/>
              </w:rPr>
              <w:t xml:space="preserve"> </w:t>
            </w:r>
            <w:r w:rsidRPr="00EB436F">
              <w:rPr>
                <w:rFonts w:ascii="Times New Roman" w:eastAsia="Times New Roman" w:hAnsi="Times New Roman" w:cs="Times New Roman"/>
                <w:color w:val="000000"/>
              </w:rPr>
              <w:t>57%</w:t>
            </w:r>
          </w:p>
        </w:tc>
        <w:tc>
          <w:tcPr>
            <w:tcW w:w="1292" w:type="dxa"/>
            <w:tcBorders>
              <w:top w:val="single" w:sz="4" w:space="0" w:color="auto"/>
              <w:left w:val="nil"/>
              <w:bottom w:val="single" w:sz="4" w:space="0" w:color="auto"/>
              <w:right w:val="single" w:sz="4" w:space="0" w:color="auto"/>
            </w:tcBorders>
            <w:shd w:val="clear" w:color="auto" w:fill="auto"/>
            <w:noWrap/>
            <w:vAlign w:val="bottom"/>
          </w:tcPr>
          <w:p w14:paraId="41FDD4DD" w14:textId="478C4C27"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r>
      <w:tr w:rsidR="00442763" w:rsidRPr="00EB436F" w14:paraId="1DB9C761" w14:textId="77777777" w:rsidTr="00C069D0">
        <w:trPr>
          <w:trHeight w:val="256"/>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D2A5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CITP</w:t>
            </w:r>
          </w:p>
        </w:tc>
        <w:tc>
          <w:tcPr>
            <w:tcW w:w="2483" w:type="dxa"/>
            <w:tcBorders>
              <w:top w:val="nil"/>
              <w:left w:val="nil"/>
              <w:bottom w:val="single" w:sz="4" w:space="0" w:color="auto"/>
              <w:right w:val="single" w:sz="4" w:space="0" w:color="auto"/>
            </w:tcBorders>
            <w:shd w:val="clear" w:color="auto" w:fill="auto"/>
            <w:noWrap/>
            <w:vAlign w:val="bottom"/>
          </w:tcPr>
          <w:p w14:paraId="3E5DD2E0" w14:textId="3E4E5358"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6.0 (4.7–</w:t>
            </w:r>
            <w:r w:rsidR="00442763" w:rsidRPr="00EB436F">
              <w:rPr>
                <w:rFonts w:ascii="Times New Roman" w:eastAsia="Times New Roman" w:hAnsi="Times New Roman" w:cs="Times New Roman"/>
                <w:color w:val="000000"/>
              </w:rPr>
              <w:t>8.2)</w:t>
            </w:r>
          </w:p>
        </w:tc>
        <w:tc>
          <w:tcPr>
            <w:tcW w:w="2310" w:type="dxa"/>
            <w:tcBorders>
              <w:top w:val="nil"/>
              <w:left w:val="nil"/>
              <w:bottom w:val="single" w:sz="4" w:space="0" w:color="auto"/>
              <w:right w:val="single" w:sz="4" w:space="0" w:color="auto"/>
            </w:tcBorders>
            <w:shd w:val="clear" w:color="auto" w:fill="auto"/>
            <w:noWrap/>
            <w:vAlign w:val="bottom"/>
          </w:tcPr>
          <w:p w14:paraId="306FA69B" w14:textId="21F41553"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6.0 (4.7–</w:t>
            </w:r>
            <w:r w:rsidR="00442763" w:rsidRPr="00EB436F">
              <w:rPr>
                <w:rFonts w:ascii="Times New Roman" w:eastAsia="Times New Roman" w:hAnsi="Times New Roman" w:cs="Times New Roman"/>
                <w:color w:val="000000"/>
              </w:rPr>
              <w:t>7.8)</w:t>
            </w:r>
          </w:p>
        </w:tc>
        <w:tc>
          <w:tcPr>
            <w:tcW w:w="1292" w:type="dxa"/>
            <w:tcBorders>
              <w:top w:val="nil"/>
              <w:left w:val="nil"/>
              <w:bottom w:val="single" w:sz="4" w:space="0" w:color="auto"/>
              <w:right w:val="single" w:sz="4" w:space="0" w:color="auto"/>
            </w:tcBorders>
            <w:shd w:val="clear" w:color="auto" w:fill="auto"/>
            <w:noWrap/>
            <w:vAlign w:val="bottom"/>
          </w:tcPr>
          <w:p w14:paraId="465749D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0.64</w:t>
            </w:r>
          </w:p>
        </w:tc>
      </w:tr>
      <w:tr w:rsidR="00442763" w:rsidRPr="00EB436F" w14:paraId="09982BC9" w14:textId="77777777" w:rsidTr="00C069D0">
        <w:trPr>
          <w:trHeight w:val="256"/>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7B22A62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PINP</w:t>
            </w:r>
          </w:p>
        </w:tc>
        <w:tc>
          <w:tcPr>
            <w:tcW w:w="2483" w:type="dxa"/>
            <w:tcBorders>
              <w:top w:val="nil"/>
              <w:left w:val="nil"/>
              <w:bottom w:val="single" w:sz="4" w:space="0" w:color="auto"/>
              <w:right w:val="single" w:sz="4" w:space="0" w:color="auto"/>
            </w:tcBorders>
            <w:shd w:val="clear" w:color="auto" w:fill="auto"/>
            <w:noWrap/>
            <w:vAlign w:val="bottom"/>
          </w:tcPr>
          <w:p w14:paraId="7B4C54A5" w14:textId="6B7965D9"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39 (29–</w:t>
            </w:r>
            <w:r w:rsidR="00442763" w:rsidRPr="00EB436F">
              <w:rPr>
                <w:rFonts w:ascii="Times New Roman" w:eastAsia="Times New Roman" w:hAnsi="Times New Roman" w:cs="Times New Roman"/>
                <w:color w:val="000000"/>
              </w:rPr>
              <w:t>52)</w:t>
            </w:r>
          </w:p>
        </w:tc>
        <w:tc>
          <w:tcPr>
            <w:tcW w:w="2310" w:type="dxa"/>
            <w:tcBorders>
              <w:top w:val="nil"/>
              <w:left w:val="nil"/>
              <w:bottom w:val="single" w:sz="4" w:space="0" w:color="auto"/>
              <w:right w:val="single" w:sz="4" w:space="0" w:color="auto"/>
            </w:tcBorders>
            <w:shd w:val="clear" w:color="auto" w:fill="auto"/>
            <w:noWrap/>
            <w:vAlign w:val="bottom"/>
          </w:tcPr>
          <w:p w14:paraId="3A58262B" w14:textId="61DAB9B4"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37 (29–</w:t>
            </w:r>
            <w:r w:rsidR="00442763" w:rsidRPr="00EB436F">
              <w:rPr>
                <w:rFonts w:ascii="Times New Roman" w:eastAsia="Times New Roman" w:hAnsi="Times New Roman" w:cs="Times New Roman"/>
                <w:color w:val="000000"/>
              </w:rPr>
              <w:t>50)</w:t>
            </w:r>
          </w:p>
        </w:tc>
        <w:tc>
          <w:tcPr>
            <w:tcW w:w="1292" w:type="dxa"/>
            <w:tcBorders>
              <w:top w:val="nil"/>
              <w:left w:val="nil"/>
              <w:bottom w:val="single" w:sz="4" w:space="0" w:color="auto"/>
              <w:right w:val="single" w:sz="4" w:space="0" w:color="auto"/>
            </w:tcBorders>
            <w:shd w:val="clear" w:color="auto" w:fill="auto"/>
            <w:noWrap/>
            <w:vAlign w:val="bottom"/>
          </w:tcPr>
          <w:p w14:paraId="62BD0C9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0.41</w:t>
            </w:r>
          </w:p>
        </w:tc>
      </w:tr>
      <w:tr w:rsidR="00442763" w:rsidRPr="00EB436F" w14:paraId="05574A35" w14:textId="77777777" w:rsidTr="00C069D0">
        <w:trPr>
          <w:trHeight w:val="256"/>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2DD4835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PIIINP</w:t>
            </w:r>
          </w:p>
        </w:tc>
        <w:tc>
          <w:tcPr>
            <w:tcW w:w="2483" w:type="dxa"/>
            <w:tcBorders>
              <w:top w:val="nil"/>
              <w:left w:val="nil"/>
              <w:bottom w:val="single" w:sz="4" w:space="0" w:color="auto"/>
              <w:right w:val="single" w:sz="4" w:space="0" w:color="auto"/>
            </w:tcBorders>
            <w:shd w:val="clear" w:color="auto" w:fill="auto"/>
            <w:noWrap/>
            <w:vAlign w:val="bottom"/>
          </w:tcPr>
          <w:p w14:paraId="4CBF0807" w14:textId="486FC2FE"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4.5 (3.6–</w:t>
            </w:r>
            <w:r w:rsidR="00442763" w:rsidRPr="00EB436F">
              <w:rPr>
                <w:rFonts w:ascii="Times New Roman" w:eastAsia="Times New Roman" w:hAnsi="Times New Roman" w:cs="Times New Roman"/>
                <w:color w:val="000000"/>
              </w:rPr>
              <w:t>5.5)</w:t>
            </w:r>
          </w:p>
        </w:tc>
        <w:tc>
          <w:tcPr>
            <w:tcW w:w="2310" w:type="dxa"/>
            <w:tcBorders>
              <w:top w:val="nil"/>
              <w:left w:val="nil"/>
              <w:bottom w:val="single" w:sz="4" w:space="0" w:color="auto"/>
              <w:right w:val="single" w:sz="4" w:space="0" w:color="auto"/>
            </w:tcBorders>
            <w:shd w:val="clear" w:color="auto" w:fill="auto"/>
            <w:noWrap/>
            <w:vAlign w:val="bottom"/>
          </w:tcPr>
          <w:p w14:paraId="57A3DE91" w14:textId="3FC00F81"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4.4 (3.5–</w:t>
            </w:r>
            <w:r w:rsidR="00442763" w:rsidRPr="00EB436F">
              <w:rPr>
                <w:rFonts w:ascii="Times New Roman" w:eastAsia="Times New Roman" w:hAnsi="Times New Roman" w:cs="Times New Roman"/>
                <w:color w:val="000000"/>
              </w:rPr>
              <w:t>5.5)</w:t>
            </w:r>
          </w:p>
        </w:tc>
        <w:tc>
          <w:tcPr>
            <w:tcW w:w="1292" w:type="dxa"/>
            <w:tcBorders>
              <w:top w:val="nil"/>
              <w:left w:val="nil"/>
              <w:bottom w:val="single" w:sz="4" w:space="0" w:color="auto"/>
              <w:right w:val="single" w:sz="4" w:space="0" w:color="auto"/>
            </w:tcBorders>
            <w:shd w:val="clear" w:color="auto" w:fill="auto"/>
            <w:noWrap/>
            <w:vAlign w:val="bottom"/>
          </w:tcPr>
          <w:p w14:paraId="449E3B5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0.91</w:t>
            </w:r>
          </w:p>
        </w:tc>
      </w:tr>
      <w:tr w:rsidR="00442763" w:rsidRPr="00EB436F" w14:paraId="51020D0C" w14:textId="77777777" w:rsidTr="00C069D0">
        <w:trPr>
          <w:trHeight w:val="256"/>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00C67F5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sST2</w:t>
            </w:r>
          </w:p>
        </w:tc>
        <w:tc>
          <w:tcPr>
            <w:tcW w:w="2483" w:type="dxa"/>
            <w:tcBorders>
              <w:top w:val="nil"/>
              <w:left w:val="nil"/>
              <w:bottom w:val="single" w:sz="4" w:space="0" w:color="auto"/>
              <w:right w:val="single" w:sz="4" w:space="0" w:color="auto"/>
            </w:tcBorders>
            <w:shd w:val="clear" w:color="auto" w:fill="auto"/>
            <w:noWrap/>
            <w:vAlign w:val="bottom"/>
          </w:tcPr>
          <w:p w14:paraId="5A0EF268" w14:textId="6CC1C0DD"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24.1 (18.9–</w:t>
            </w:r>
            <w:r w:rsidR="00442763" w:rsidRPr="00EB436F">
              <w:rPr>
                <w:rFonts w:ascii="Times New Roman" w:eastAsia="Times New Roman" w:hAnsi="Times New Roman" w:cs="Times New Roman"/>
                <w:color w:val="000000"/>
              </w:rPr>
              <w:t>29.4)</w:t>
            </w:r>
          </w:p>
        </w:tc>
        <w:tc>
          <w:tcPr>
            <w:tcW w:w="2310" w:type="dxa"/>
            <w:tcBorders>
              <w:top w:val="nil"/>
              <w:left w:val="nil"/>
              <w:bottom w:val="single" w:sz="4" w:space="0" w:color="auto"/>
              <w:right w:val="single" w:sz="4" w:space="0" w:color="auto"/>
            </w:tcBorders>
            <w:shd w:val="clear" w:color="auto" w:fill="auto"/>
            <w:noWrap/>
            <w:vAlign w:val="bottom"/>
          </w:tcPr>
          <w:p w14:paraId="0A767187" w14:textId="12AF9931"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23.2 </w:t>
            </w:r>
            <w:r w:rsidR="002404FE">
              <w:rPr>
                <w:rFonts w:ascii="Times New Roman" w:eastAsia="Times New Roman" w:hAnsi="Times New Roman" w:cs="Times New Roman"/>
                <w:color w:val="000000"/>
              </w:rPr>
              <w:t>(18.9–</w:t>
            </w:r>
            <w:r w:rsidRPr="00EB436F">
              <w:rPr>
                <w:rFonts w:ascii="Times New Roman" w:eastAsia="Times New Roman" w:hAnsi="Times New Roman" w:cs="Times New Roman"/>
                <w:color w:val="000000"/>
              </w:rPr>
              <w:t>28.2)</w:t>
            </w:r>
          </w:p>
        </w:tc>
        <w:tc>
          <w:tcPr>
            <w:tcW w:w="1292" w:type="dxa"/>
            <w:tcBorders>
              <w:top w:val="nil"/>
              <w:left w:val="nil"/>
              <w:bottom w:val="single" w:sz="4" w:space="0" w:color="auto"/>
              <w:right w:val="single" w:sz="4" w:space="0" w:color="auto"/>
            </w:tcBorders>
            <w:shd w:val="clear" w:color="auto" w:fill="auto"/>
            <w:noWrap/>
            <w:vAlign w:val="bottom"/>
          </w:tcPr>
          <w:p w14:paraId="7CEDFCA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0.16</w:t>
            </w:r>
          </w:p>
        </w:tc>
      </w:tr>
      <w:tr w:rsidR="00442763" w:rsidRPr="00EB436F" w14:paraId="2060A1CB" w14:textId="77777777" w:rsidTr="00C069D0">
        <w:trPr>
          <w:trHeight w:val="256"/>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56BB6DB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TIMP-1</w:t>
            </w:r>
          </w:p>
        </w:tc>
        <w:tc>
          <w:tcPr>
            <w:tcW w:w="2483" w:type="dxa"/>
            <w:tcBorders>
              <w:top w:val="nil"/>
              <w:left w:val="nil"/>
              <w:bottom w:val="single" w:sz="4" w:space="0" w:color="auto"/>
              <w:right w:val="single" w:sz="4" w:space="0" w:color="auto"/>
            </w:tcBorders>
            <w:shd w:val="clear" w:color="auto" w:fill="auto"/>
            <w:noWrap/>
            <w:vAlign w:val="bottom"/>
          </w:tcPr>
          <w:p w14:paraId="6F6DA01B" w14:textId="0B51E715"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126.9 (106.3–</w:t>
            </w:r>
            <w:r w:rsidR="00442763" w:rsidRPr="00EB436F">
              <w:rPr>
                <w:rFonts w:ascii="Times New Roman" w:eastAsia="Times New Roman" w:hAnsi="Times New Roman" w:cs="Times New Roman"/>
                <w:color w:val="000000"/>
              </w:rPr>
              <w:t>156.4)</w:t>
            </w:r>
          </w:p>
        </w:tc>
        <w:tc>
          <w:tcPr>
            <w:tcW w:w="2310" w:type="dxa"/>
            <w:tcBorders>
              <w:top w:val="nil"/>
              <w:left w:val="nil"/>
              <w:bottom w:val="single" w:sz="4" w:space="0" w:color="auto"/>
              <w:right w:val="single" w:sz="4" w:space="0" w:color="auto"/>
            </w:tcBorders>
            <w:shd w:val="clear" w:color="auto" w:fill="auto"/>
            <w:noWrap/>
            <w:vAlign w:val="bottom"/>
          </w:tcPr>
          <w:p w14:paraId="5BA431B4" w14:textId="7C1EC5C8"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129.5 (108.6</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155.9)</w:t>
            </w:r>
          </w:p>
        </w:tc>
        <w:tc>
          <w:tcPr>
            <w:tcW w:w="1292" w:type="dxa"/>
            <w:tcBorders>
              <w:top w:val="nil"/>
              <w:left w:val="nil"/>
              <w:bottom w:val="single" w:sz="4" w:space="0" w:color="auto"/>
              <w:right w:val="single" w:sz="4" w:space="0" w:color="auto"/>
            </w:tcBorders>
            <w:shd w:val="clear" w:color="auto" w:fill="auto"/>
            <w:noWrap/>
            <w:vAlign w:val="bottom"/>
          </w:tcPr>
          <w:p w14:paraId="4513B70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0.61</w:t>
            </w:r>
          </w:p>
        </w:tc>
      </w:tr>
    </w:tbl>
    <w:p w14:paraId="362BA8F6" w14:textId="77777777" w:rsidR="00442763" w:rsidRPr="00EB436F" w:rsidRDefault="00442763" w:rsidP="00EB436F">
      <w:pPr>
        <w:spacing w:line="480" w:lineRule="auto"/>
        <w:rPr>
          <w:rFonts w:ascii="Times New Roman" w:hAnsi="Times New Roman" w:cs="Times New Roman"/>
        </w:rPr>
      </w:pPr>
    </w:p>
    <w:p w14:paraId="43FDB265" w14:textId="77777777"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br w:type="page"/>
      </w:r>
    </w:p>
    <w:p w14:paraId="76B19C0A" w14:textId="005BF84C"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Supplemental Table 3</w:t>
      </w:r>
      <w:r w:rsidR="002404FE">
        <w:rPr>
          <w:rFonts w:ascii="Times New Roman" w:hAnsi="Times New Roman" w:cs="Times New Roman"/>
        </w:rPr>
        <w:t>.</w:t>
      </w:r>
      <w:r w:rsidRPr="00EB436F">
        <w:rPr>
          <w:rFonts w:ascii="Times New Roman" w:hAnsi="Times New Roman" w:cs="Times New Roman"/>
        </w:rPr>
        <w:t xml:space="preserve"> Association of baseline biomarker levels with components of the primary endpoint</w:t>
      </w:r>
    </w:p>
    <w:p w14:paraId="16BC1330" w14:textId="39FDC8F4" w:rsidR="00442763" w:rsidRPr="00EB436F" w:rsidRDefault="005333A0" w:rsidP="00EB436F">
      <w:pPr>
        <w:spacing w:line="480" w:lineRule="auto"/>
        <w:rPr>
          <w:rFonts w:ascii="Times New Roman" w:hAnsi="Times New Roman" w:cs="Times New Roman"/>
          <w:u w:val="single"/>
        </w:rPr>
      </w:pPr>
      <w:r>
        <w:rPr>
          <w:rFonts w:ascii="Times New Roman" w:hAnsi="Times New Roman" w:cs="Times New Roman"/>
          <w:u w:val="single"/>
        </w:rPr>
        <w:t>A:</w:t>
      </w:r>
      <w:r w:rsidR="00442763" w:rsidRPr="00EB436F">
        <w:rPr>
          <w:rFonts w:ascii="Times New Roman" w:hAnsi="Times New Roman" w:cs="Times New Roman"/>
          <w:u w:val="single"/>
        </w:rPr>
        <w:t xml:space="preserve"> CV death (74 events)</w:t>
      </w:r>
    </w:p>
    <w:tbl>
      <w:tblPr>
        <w:tblW w:w="7920" w:type="dxa"/>
        <w:tblLayout w:type="fixed"/>
        <w:tblLook w:val="04A0" w:firstRow="1" w:lastRow="0" w:firstColumn="1" w:lastColumn="0" w:noHBand="0" w:noVBand="1"/>
      </w:tblPr>
      <w:tblGrid>
        <w:gridCol w:w="990"/>
        <w:gridCol w:w="900"/>
        <w:gridCol w:w="1890"/>
        <w:gridCol w:w="990"/>
        <w:gridCol w:w="1890"/>
        <w:gridCol w:w="1260"/>
      </w:tblGrid>
      <w:tr w:rsidR="00442763" w:rsidRPr="00EB436F" w14:paraId="3D0B64A4" w14:textId="77777777" w:rsidTr="00C069D0">
        <w:trPr>
          <w:trHeight w:val="330"/>
        </w:trPr>
        <w:tc>
          <w:tcPr>
            <w:tcW w:w="990" w:type="dxa"/>
            <w:tcBorders>
              <w:top w:val="nil"/>
              <w:left w:val="nil"/>
              <w:bottom w:val="nil"/>
              <w:right w:val="nil"/>
            </w:tcBorders>
            <w:shd w:val="clear" w:color="auto" w:fill="auto"/>
            <w:noWrap/>
            <w:vAlign w:val="center"/>
            <w:hideMark/>
          </w:tcPr>
          <w:p w14:paraId="4838CD1D" w14:textId="77777777" w:rsidR="00442763" w:rsidRPr="00EB436F" w:rsidRDefault="00442763" w:rsidP="00EB436F">
            <w:pPr>
              <w:spacing w:line="480" w:lineRule="auto"/>
              <w:rPr>
                <w:rFonts w:ascii="Times New Roman" w:eastAsia="Times New Roman" w:hAnsi="Times New Roman" w:cs="Times New Roman"/>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19F9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2F507D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Unadjusted</w:t>
            </w:r>
          </w:p>
        </w:tc>
        <w:tc>
          <w:tcPr>
            <w:tcW w:w="3150" w:type="dxa"/>
            <w:gridSpan w:val="2"/>
            <w:tcBorders>
              <w:top w:val="single" w:sz="8" w:space="0" w:color="auto"/>
              <w:left w:val="nil"/>
              <w:bottom w:val="single" w:sz="8" w:space="0" w:color="auto"/>
              <w:right w:val="single" w:sz="8" w:space="0" w:color="000000"/>
            </w:tcBorders>
            <w:shd w:val="clear" w:color="auto" w:fill="auto"/>
            <w:vAlign w:val="center"/>
            <w:hideMark/>
          </w:tcPr>
          <w:p w14:paraId="5D3B0A6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Adjusted </w:t>
            </w:r>
          </w:p>
        </w:tc>
      </w:tr>
      <w:tr w:rsidR="00442763" w:rsidRPr="00EB436F" w14:paraId="64D4B0B5" w14:textId="77777777" w:rsidTr="00C069D0">
        <w:trPr>
          <w:trHeight w:val="645"/>
        </w:trPr>
        <w:tc>
          <w:tcPr>
            <w:tcW w:w="990" w:type="dxa"/>
            <w:tcBorders>
              <w:top w:val="nil"/>
              <w:left w:val="nil"/>
              <w:bottom w:val="nil"/>
              <w:right w:val="nil"/>
            </w:tcBorders>
            <w:shd w:val="clear" w:color="auto" w:fill="auto"/>
            <w:noWrap/>
            <w:vAlign w:val="center"/>
            <w:hideMark/>
          </w:tcPr>
          <w:p w14:paraId="7920C323" w14:textId="77777777" w:rsidR="00442763" w:rsidRPr="00EB436F" w:rsidRDefault="00442763" w:rsidP="00EB436F">
            <w:pPr>
              <w:spacing w:line="480" w:lineRule="auto"/>
              <w:rPr>
                <w:rFonts w:ascii="Times New Roman" w:eastAsia="Times New Roman" w:hAnsi="Times New Roman" w:cs="Times New Roman"/>
                <w:color w:val="000000"/>
              </w:rPr>
            </w:pP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78EB149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n</w:t>
            </w:r>
          </w:p>
        </w:tc>
        <w:tc>
          <w:tcPr>
            <w:tcW w:w="1890" w:type="dxa"/>
            <w:tcBorders>
              <w:top w:val="nil"/>
              <w:left w:val="nil"/>
              <w:bottom w:val="single" w:sz="8" w:space="0" w:color="auto"/>
              <w:right w:val="single" w:sz="8" w:space="0" w:color="auto"/>
            </w:tcBorders>
            <w:shd w:val="clear" w:color="auto" w:fill="auto"/>
            <w:vAlign w:val="center"/>
            <w:hideMark/>
          </w:tcPr>
          <w:p w14:paraId="6D80EC71" w14:textId="6D5AC4DC" w:rsidR="00442763" w:rsidRPr="00EB436F" w:rsidRDefault="00D86E7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Hazard</w:t>
            </w:r>
            <w:r w:rsidR="00442763" w:rsidRPr="00EB436F">
              <w:rPr>
                <w:rFonts w:ascii="Times New Roman" w:eastAsia="Times New Roman" w:hAnsi="Times New Roman" w:cs="Times New Roman"/>
                <w:color w:val="000000"/>
              </w:rPr>
              <w:t xml:space="preserve"> Ratio (95% CI) per SD</w:t>
            </w:r>
          </w:p>
        </w:tc>
        <w:tc>
          <w:tcPr>
            <w:tcW w:w="990" w:type="dxa"/>
            <w:tcBorders>
              <w:top w:val="nil"/>
              <w:left w:val="nil"/>
              <w:bottom w:val="single" w:sz="8" w:space="0" w:color="auto"/>
              <w:right w:val="single" w:sz="8" w:space="0" w:color="auto"/>
            </w:tcBorders>
            <w:shd w:val="clear" w:color="auto" w:fill="auto"/>
            <w:noWrap/>
            <w:vAlign w:val="center"/>
            <w:hideMark/>
          </w:tcPr>
          <w:p w14:paraId="05FBAF4E" w14:textId="58B172DD"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c>
          <w:tcPr>
            <w:tcW w:w="1890" w:type="dxa"/>
            <w:tcBorders>
              <w:top w:val="nil"/>
              <w:left w:val="nil"/>
              <w:bottom w:val="single" w:sz="8" w:space="0" w:color="auto"/>
              <w:right w:val="single" w:sz="8" w:space="0" w:color="auto"/>
            </w:tcBorders>
            <w:shd w:val="clear" w:color="auto" w:fill="auto"/>
            <w:vAlign w:val="center"/>
            <w:hideMark/>
          </w:tcPr>
          <w:p w14:paraId="2380E761" w14:textId="31F3A779" w:rsidR="00442763" w:rsidRPr="00EB436F" w:rsidRDefault="00D86E7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Hazard</w:t>
            </w:r>
            <w:r w:rsidR="00442763" w:rsidRPr="00EB436F">
              <w:rPr>
                <w:rFonts w:ascii="Times New Roman" w:eastAsia="Times New Roman" w:hAnsi="Times New Roman" w:cs="Times New Roman"/>
                <w:color w:val="000000"/>
              </w:rPr>
              <w:t xml:space="preserve"> Ratio (95% CI) per SD</w:t>
            </w:r>
          </w:p>
        </w:tc>
        <w:tc>
          <w:tcPr>
            <w:tcW w:w="1260" w:type="dxa"/>
            <w:tcBorders>
              <w:top w:val="nil"/>
              <w:left w:val="nil"/>
              <w:bottom w:val="single" w:sz="8" w:space="0" w:color="auto"/>
              <w:right w:val="single" w:sz="8" w:space="0" w:color="auto"/>
            </w:tcBorders>
            <w:shd w:val="clear" w:color="auto" w:fill="auto"/>
            <w:noWrap/>
            <w:vAlign w:val="center"/>
            <w:hideMark/>
          </w:tcPr>
          <w:p w14:paraId="233935E1" w14:textId="293B8B7B"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r>
      <w:tr w:rsidR="00442763" w:rsidRPr="00EB436F" w14:paraId="42B3CE4E" w14:textId="77777777" w:rsidTr="00C069D0">
        <w:trPr>
          <w:trHeight w:val="330"/>
        </w:trPr>
        <w:tc>
          <w:tcPr>
            <w:tcW w:w="990" w:type="dxa"/>
            <w:tcBorders>
              <w:top w:val="single" w:sz="8" w:space="0" w:color="auto"/>
              <w:left w:val="single" w:sz="8" w:space="0" w:color="auto"/>
              <w:bottom w:val="single" w:sz="8" w:space="0" w:color="auto"/>
              <w:right w:val="nil"/>
            </w:tcBorders>
            <w:shd w:val="clear" w:color="auto" w:fill="auto"/>
            <w:noWrap/>
            <w:vAlign w:val="center"/>
            <w:hideMark/>
          </w:tcPr>
          <w:p w14:paraId="4E8C03E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TIMP-1</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6C7E307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1,117</w:t>
            </w:r>
          </w:p>
        </w:tc>
        <w:tc>
          <w:tcPr>
            <w:tcW w:w="1890" w:type="dxa"/>
            <w:tcBorders>
              <w:top w:val="nil"/>
              <w:left w:val="nil"/>
              <w:bottom w:val="single" w:sz="8" w:space="0" w:color="auto"/>
              <w:right w:val="single" w:sz="8" w:space="0" w:color="auto"/>
            </w:tcBorders>
            <w:shd w:val="clear" w:color="auto" w:fill="auto"/>
            <w:noWrap/>
            <w:vAlign w:val="center"/>
            <w:hideMark/>
          </w:tcPr>
          <w:p w14:paraId="40175CD7" w14:textId="22FAD543"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1.59 (1.3–</w:t>
            </w:r>
            <w:r w:rsidR="00442763" w:rsidRPr="00EB436F">
              <w:rPr>
                <w:rFonts w:ascii="Times New Roman" w:eastAsia="Times New Roman" w:hAnsi="Times New Roman" w:cs="Times New Roman"/>
                <w:color w:val="000000"/>
              </w:rPr>
              <w:t>1.96)</w:t>
            </w:r>
          </w:p>
        </w:tc>
        <w:tc>
          <w:tcPr>
            <w:tcW w:w="990" w:type="dxa"/>
            <w:tcBorders>
              <w:top w:val="nil"/>
              <w:left w:val="nil"/>
              <w:bottom w:val="single" w:sz="8" w:space="0" w:color="auto"/>
              <w:right w:val="single" w:sz="8" w:space="0" w:color="auto"/>
            </w:tcBorders>
            <w:shd w:val="clear" w:color="auto" w:fill="auto"/>
            <w:noWrap/>
            <w:vAlign w:val="center"/>
            <w:hideMark/>
          </w:tcPr>
          <w:p w14:paraId="5B5182B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c>
          <w:tcPr>
            <w:tcW w:w="1890" w:type="dxa"/>
            <w:tcBorders>
              <w:top w:val="nil"/>
              <w:left w:val="nil"/>
              <w:bottom w:val="single" w:sz="8" w:space="0" w:color="auto"/>
              <w:right w:val="single" w:sz="8" w:space="0" w:color="auto"/>
            </w:tcBorders>
            <w:shd w:val="clear" w:color="auto" w:fill="auto"/>
            <w:noWrap/>
            <w:vAlign w:val="center"/>
            <w:hideMark/>
          </w:tcPr>
          <w:p w14:paraId="6111764F" w14:textId="370C394F"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1.27 (0.99–</w:t>
            </w:r>
            <w:r w:rsidR="00442763" w:rsidRPr="00EB436F">
              <w:rPr>
                <w:rFonts w:ascii="Times New Roman" w:eastAsia="Times New Roman" w:hAnsi="Times New Roman" w:cs="Times New Roman"/>
                <w:color w:val="000000"/>
              </w:rPr>
              <w:t>1.63)</w:t>
            </w:r>
          </w:p>
        </w:tc>
        <w:tc>
          <w:tcPr>
            <w:tcW w:w="1260" w:type="dxa"/>
            <w:tcBorders>
              <w:top w:val="nil"/>
              <w:left w:val="nil"/>
              <w:bottom w:val="single" w:sz="8" w:space="0" w:color="auto"/>
              <w:right w:val="single" w:sz="8" w:space="0" w:color="auto"/>
            </w:tcBorders>
            <w:shd w:val="clear" w:color="auto" w:fill="auto"/>
            <w:noWrap/>
            <w:vAlign w:val="center"/>
            <w:hideMark/>
          </w:tcPr>
          <w:p w14:paraId="75F492E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0.06</w:t>
            </w:r>
          </w:p>
        </w:tc>
      </w:tr>
      <w:tr w:rsidR="00442763" w:rsidRPr="00EB436F" w14:paraId="3E25C95C"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06FE56E3"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sST2</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6658000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1,120</w:t>
            </w:r>
          </w:p>
        </w:tc>
        <w:tc>
          <w:tcPr>
            <w:tcW w:w="1890" w:type="dxa"/>
            <w:tcBorders>
              <w:top w:val="nil"/>
              <w:left w:val="nil"/>
              <w:bottom w:val="single" w:sz="8" w:space="0" w:color="auto"/>
              <w:right w:val="single" w:sz="8" w:space="0" w:color="auto"/>
            </w:tcBorders>
            <w:shd w:val="clear" w:color="auto" w:fill="auto"/>
            <w:noWrap/>
            <w:vAlign w:val="center"/>
            <w:hideMark/>
          </w:tcPr>
          <w:p w14:paraId="5906FEC3" w14:textId="0DEB5DD0"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1.43 (1.19–</w:t>
            </w:r>
            <w:r w:rsidR="00442763" w:rsidRPr="00EB436F">
              <w:rPr>
                <w:rFonts w:ascii="Times New Roman" w:eastAsia="Times New Roman" w:hAnsi="Times New Roman" w:cs="Times New Roman"/>
                <w:color w:val="000000"/>
              </w:rPr>
              <w:t>1.72)</w:t>
            </w:r>
          </w:p>
        </w:tc>
        <w:tc>
          <w:tcPr>
            <w:tcW w:w="990" w:type="dxa"/>
            <w:tcBorders>
              <w:top w:val="nil"/>
              <w:left w:val="nil"/>
              <w:bottom w:val="single" w:sz="8" w:space="0" w:color="auto"/>
              <w:right w:val="single" w:sz="8" w:space="0" w:color="auto"/>
            </w:tcBorders>
            <w:shd w:val="clear" w:color="auto" w:fill="auto"/>
            <w:noWrap/>
            <w:vAlign w:val="center"/>
            <w:hideMark/>
          </w:tcPr>
          <w:p w14:paraId="7C686B5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c>
          <w:tcPr>
            <w:tcW w:w="1890" w:type="dxa"/>
            <w:tcBorders>
              <w:top w:val="nil"/>
              <w:left w:val="nil"/>
              <w:bottom w:val="single" w:sz="8" w:space="0" w:color="auto"/>
              <w:right w:val="single" w:sz="8" w:space="0" w:color="auto"/>
            </w:tcBorders>
            <w:shd w:val="clear" w:color="auto" w:fill="auto"/>
            <w:noWrap/>
            <w:vAlign w:val="center"/>
            <w:hideMark/>
          </w:tcPr>
          <w:p w14:paraId="4CEA9CAE" w14:textId="5AB125A7"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1.25 (1.03–</w:t>
            </w:r>
            <w:r w:rsidR="00442763" w:rsidRPr="00EB436F">
              <w:rPr>
                <w:rFonts w:ascii="Times New Roman" w:eastAsia="Times New Roman" w:hAnsi="Times New Roman" w:cs="Times New Roman"/>
                <w:color w:val="000000"/>
              </w:rPr>
              <w:t>1.52)</w:t>
            </w:r>
          </w:p>
        </w:tc>
        <w:tc>
          <w:tcPr>
            <w:tcW w:w="1260" w:type="dxa"/>
            <w:tcBorders>
              <w:top w:val="nil"/>
              <w:left w:val="nil"/>
              <w:bottom w:val="single" w:sz="8" w:space="0" w:color="auto"/>
              <w:right w:val="single" w:sz="8" w:space="0" w:color="auto"/>
            </w:tcBorders>
            <w:shd w:val="clear" w:color="auto" w:fill="auto"/>
            <w:noWrap/>
            <w:vAlign w:val="center"/>
            <w:hideMark/>
          </w:tcPr>
          <w:p w14:paraId="5F89A25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0.03</w:t>
            </w:r>
          </w:p>
        </w:tc>
      </w:tr>
      <w:tr w:rsidR="00442763" w:rsidRPr="00EB436F" w14:paraId="323B4C88"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4AAA9B8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PIIINP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0E1D3A0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1,108</w:t>
            </w:r>
          </w:p>
        </w:tc>
        <w:tc>
          <w:tcPr>
            <w:tcW w:w="1890" w:type="dxa"/>
            <w:tcBorders>
              <w:top w:val="nil"/>
              <w:left w:val="nil"/>
              <w:bottom w:val="single" w:sz="8" w:space="0" w:color="auto"/>
              <w:right w:val="single" w:sz="8" w:space="0" w:color="auto"/>
            </w:tcBorders>
            <w:shd w:val="clear" w:color="auto" w:fill="auto"/>
            <w:noWrap/>
            <w:vAlign w:val="center"/>
            <w:hideMark/>
          </w:tcPr>
          <w:p w14:paraId="1246CF12" w14:textId="74660385"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1.11 (0.88–</w:t>
            </w:r>
            <w:r w:rsidR="00442763" w:rsidRPr="00EB436F">
              <w:rPr>
                <w:rFonts w:ascii="Times New Roman" w:eastAsia="Times New Roman" w:hAnsi="Times New Roman" w:cs="Times New Roman"/>
                <w:color w:val="000000"/>
              </w:rPr>
              <w:t>1.40)</w:t>
            </w:r>
          </w:p>
        </w:tc>
        <w:tc>
          <w:tcPr>
            <w:tcW w:w="990" w:type="dxa"/>
            <w:tcBorders>
              <w:top w:val="nil"/>
              <w:left w:val="nil"/>
              <w:bottom w:val="single" w:sz="8" w:space="0" w:color="auto"/>
              <w:right w:val="single" w:sz="8" w:space="0" w:color="auto"/>
            </w:tcBorders>
            <w:shd w:val="clear" w:color="auto" w:fill="auto"/>
            <w:noWrap/>
            <w:vAlign w:val="center"/>
            <w:hideMark/>
          </w:tcPr>
          <w:p w14:paraId="41829A7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0.38</w:t>
            </w:r>
          </w:p>
        </w:tc>
        <w:tc>
          <w:tcPr>
            <w:tcW w:w="1890" w:type="dxa"/>
            <w:tcBorders>
              <w:top w:val="nil"/>
              <w:left w:val="nil"/>
              <w:bottom w:val="single" w:sz="8" w:space="0" w:color="auto"/>
              <w:right w:val="single" w:sz="8" w:space="0" w:color="auto"/>
            </w:tcBorders>
            <w:shd w:val="clear" w:color="auto" w:fill="auto"/>
            <w:noWrap/>
            <w:vAlign w:val="center"/>
            <w:hideMark/>
          </w:tcPr>
          <w:p w14:paraId="4A6B9DAB" w14:textId="28024A0F"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0.86 (0.67–</w:t>
            </w:r>
            <w:r w:rsidR="00442763" w:rsidRPr="00EB436F">
              <w:rPr>
                <w:rFonts w:ascii="Times New Roman" w:eastAsia="Times New Roman" w:hAnsi="Times New Roman" w:cs="Times New Roman"/>
                <w:color w:val="000000"/>
              </w:rPr>
              <w:t>1.1)</w:t>
            </w:r>
          </w:p>
        </w:tc>
        <w:tc>
          <w:tcPr>
            <w:tcW w:w="1260" w:type="dxa"/>
            <w:tcBorders>
              <w:top w:val="nil"/>
              <w:left w:val="nil"/>
              <w:bottom w:val="single" w:sz="8" w:space="0" w:color="auto"/>
              <w:right w:val="single" w:sz="8" w:space="0" w:color="auto"/>
            </w:tcBorders>
            <w:shd w:val="clear" w:color="auto" w:fill="auto"/>
            <w:noWrap/>
            <w:vAlign w:val="center"/>
            <w:hideMark/>
          </w:tcPr>
          <w:p w14:paraId="1D8C80F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0.23</w:t>
            </w:r>
          </w:p>
        </w:tc>
      </w:tr>
      <w:tr w:rsidR="00442763" w:rsidRPr="00EB436F" w14:paraId="3FE8DE7C"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27F3D2FA" w14:textId="679F17C7"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w:t>
            </w:r>
            <w:r w:rsidR="005333A0">
              <w:rPr>
                <w:rFonts w:ascii="Times New Roman" w:eastAsia="Times New Roman" w:hAnsi="Times New Roman" w:cs="Times New Roman"/>
                <w:color w:val="000000"/>
              </w:rPr>
              <w:t>I</w:t>
            </w:r>
            <w:r w:rsidRPr="00EB436F">
              <w:rPr>
                <w:rFonts w:ascii="Times New Roman" w:eastAsia="Times New Roman" w:hAnsi="Times New Roman" w:cs="Times New Roman"/>
                <w:color w:val="000000"/>
              </w:rPr>
              <w:t>NP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4FF184E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1,116</w:t>
            </w:r>
          </w:p>
        </w:tc>
        <w:tc>
          <w:tcPr>
            <w:tcW w:w="1890" w:type="dxa"/>
            <w:tcBorders>
              <w:top w:val="nil"/>
              <w:left w:val="nil"/>
              <w:bottom w:val="single" w:sz="8" w:space="0" w:color="auto"/>
              <w:right w:val="single" w:sz="8" w:space="0" w:color="auto"/>
            </w:tcBorders>
            <w:shd w:val="clear" w:color="auto" w:fill="auto"/>
            <w:noWrap/>
            <w:vAlign w:val="center"/>
            <w:hideMark/>
          </w:tcPr>
          <w:p w14:paraId="7F857C91" w14:textId="7BC000BC"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1.01 (0.8–</w:t>
            </w:r>
            <w:r w:rsidR="00442763" w:rsidRPr="00EB436F">
              <w:rPr>
                <w:rFonts w:ascii="Times New Roman" w:eastAsia="Times New Roman" w:hAnsi="Times New Roman" w:cs="Times New Roman"/>
                <w:color w:val="000000"/>
              </w:rPr>
              <w:t>1.27)</w:t>
            </w:r>
          </w:p>
        </w:tc>
        <w:tc>
          <w:tcPr>
            <w:tcW w:w="990" w:type="dxa"/>
            <w:tcBorders>
              <w:top w:val="nil"/>
              <w:left w:val="nil"/>
              <w:bottom w:val="single" w:sz="8" w:space="0" w:color="auto"/>
              <w:right w:val="single" w:sz="8" w:space="0" w:color="auto"/>
            </w:tcBorders>
            <w:shd w:val="clear" w:color="auto" w:fill="auto"/>
            <w:noWrap/>
            <w:vAlign w:val="center"/>
            <w:hideMark/>
          </w:tcPr>
          <w:p w14:paraId="3F08CC4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0.95</w:t>
            </w:r>
          </w:p>
        </w:tc>
        <w:tc>
          <w:tcPr>
            <w:tcW w:w="1890" w:type="dxa"/>
            <w:tcBorders>
              <w:top w:val="nil"/>
              <w:left w:val="nil"/>
              <w:bottom w:val="single" w:sz="8" w:space="0" w:color="auto"/>
              <w:right w:val="single" w:sz="8" w:space="0" w:color="auto"/>
            </w:tcBorders>
            <w:shd w:val="clear" w:color="auto" w:fill="auto"/>
            <w:noWrap/>
            <w:vAlign w:val="center"/>
            <w:hideMark/>
          </w:tcPr>
          <w:p w14:paraId="4F916E2C" w14:textId="0156E57D"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0.85 (0.66</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1.08)</w:t>
            </w:r>
          </w:p>
        </w:tc>
        <w:tc>
          <w:tcPr>
            <w:tcW w:w="1260" w:type="dxa"/>
            <w:tcBorders>
              <w:top w:val="nil"/>
              <w:left w:val="nil"/>
              <w:bottom w:val="single" w:sz="8" w:space="0" w:color="auto"/>
              <w:right w:val="single" w:sz="8" w:space="0" w:color="auto"/>
            </w:tcBorders>
            <w:shd w:val="clear" w:color="auto" w:fill="auto"/>
            <w:noWrap/>
            <w:vAlign w:val="center"/>
            <w:hideMark/>
          </w:tcPr>
          <w:p w14:paraId="193C788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0.17</w:t>
            </w:r>
          </w:p>
        </w:tc>
      </w:tr>
      <w:tr w:rsidR="00442763" w:rsidRPr="00EB436F" w14:paraId="112FAEEF"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63AC162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CITP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5BDAF7F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1,096</w:t>
            </w:r>
          </w:p>
        </w:tc>
        <w:tc>
          <w:tcPr>
            <w:tcW w:w="1890" w:type="dxa"/>
            <w:tcBorders>
              <w:top w:val="nil"/>
              <w:left w:val="nil"/>
              <w:bottom w:val="single" w:sz="8" w:space="0" w:color="auto"/>
              <w:right w:val="single" w:sz="8" w:space="0" w:color="auto"/>
            </w:tcBorders>
            <w:shd w:val="clear" w:color="auto" w:fill="auto"/>
            <w:noWrap/>
            <w:vAlign w:val="center"/>
            <w:hideMark/>
          </w:tcPr>
          <w:p w14:paraId="7A66923E" w14:textId="50798FF5" w:rsidR="00442763" w:rsidRPr="00EB436F" w:rsidRDefault="002404FE"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1.37 (1.11–</w:t>
            </w:r>
            <w:r w:rsidR="00442763" w:rsidRPr="00EB436F">
              <w:rPr>
                <w:rFonts w:ascii="Times New Roman" w:eastAsia="Times New Roman" w:hAnsi="Times New Roman" w:cs="Times New Roman"/>
                <w:color w:val="000000"/>
              </w:rPr>
              <w:t>1.69)</w:t>
            </w:r>
          </w:p>
        </w:tc>
        <w:tc>
          <w:tcPr>
            <w:tcW w:w="990" w:type="dxa"/>
            <w:tcBorders>
              <w:top w:val="nil"/>
              <w:left w:val="nil"/>
              <w:bottom w:val="single" w:sz="8" w:space="0" w:color="auto"/>
              <w:right w:val="single" w:sz="8" w:space="0" w:color="auto"/>
            </w:tcBorders>
            <w:shd w:val="clear" w:color="auto" w:fill="auto"/>
            <w:noWrap/>
            <w:vAlign w:val="center"/>
            <w:hideMark/>
          </w:tcPr>
          <w:p w14:paraId="4C054F7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0.004</w:t>
            </w:r>
          </w:p>
        </w:tc>
        <w:tc>
          <w:tcPr>
            <w:tcW w:w="1890" w:type="dxa"/>
            <w:tcBorders>
              <w:top w:val="nil"/>
              <w:left w:val="nil"/>
              <w:bottom w:val="single" w:sz="8" w:space="0" w:color="auto"/>
              <w:right w:val="single" w:sz="8" w:space="0" w:color="auto"/>
            </w:tcBorders>
            <w:shd w:val="clear" w:color="auto" w:fill="auto"/>
            <w:noWrap/>
            <w:vAlign w:val="center"/>
            <w:hideMark/>
          </w:tcPr>
          <w:p w14:paraId="02C6FE60" w14:textId="778CDBE3" w:rsidR="00442763" w:rsidRPr="00EB436F" w:rsidRDefault="00442763" w:rsidP="002404FE">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0.93 (0.70</w:t>
            </w:r>
            <w:r w:rsidR="002404FE">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1.24)</w:t>
            </w:r>
          </w:p>
        </w:tc>
        <w:tc>
          <w:tcPr>
            <w:tcW w:w="1260" w:type="dxa"/>
            <w:tcBorders>
              <w:top w:val="nil"/>
              <w:left w:val="nil"/>
              <w:bottom w:val="single" w:sz="8" w:space="0" w:color="auto"/>
              <w:right w:val="single" w:sz="8" w:space="0" w:color="auto"/>
            </w:tcBorders>
            <w:shd w:val="clear" w:color="auto" w:fill="auto"/>
            <w:noWrap/>
            <w:vAlign w:val="center"/>
            <w:hideMark/>
          </w:tcPr>
          <w:p w14:paraId="2719507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0.64</w:t>
            </w:r>
          </w:p>
        </w:tc>
      </w:tr>
    </w:tbl>
    <w:p w14:paraId="6D56D3EC" w14:textId="77777777" w:rsidR="00442763" w:rsidRPr="00EB436F" w:rsidRDefault="00442763" w:rsidP="00EB436F">
      <w:pPr>
        <w:spacing w:line="480" w:lineRule="auto"/>
        <w:rPr>
          <w:rFonts w:ascii="Times New Roman" w:hAnsi="Times New Roman" w:cs="Times New Roman"/>
        </w:rPr>
      </w:pPr>
    </w:p>
    <w:p w14:paraId="370D016A" w14:textId="6E0C521D" w:rsidR="00442763" w:rsidRPr="00EB436F" w:rsidRDefault="00442763" w:rsidP="00EB436F">
      <w:pPr>
        <w:spacing w:line="480" w:lineRule="auto"/>
        <w:rPr>
          <w:rFonts w:ascii="Times New Roman" w:hAnsi="Times New Roman" w:cs="Times New Roman"/>
          <w:u w:val="single"/>
        </w:rPr>
      </w:pPr>
      <w:r w:rsidRPr="00EB436F">
        <w:rPr>
          <w:rFonts w:ascii="Times New Roman" w:hAnsi="Times New Roman" w:cs="Times New Roman"/>
          <w:u w:val="single"/>
        </w:rPr>
        <w:t>B</w:t>
      </w:r>
      <w:r w:rsidR="005333A0">
        <w:rPr>
          <w:rFonts w:ascii="Times New Roman" w:hAnsi="Times New Roman" w:cs="Times New Roman"/>
          <w:u w:val="single"/>
        </w:rPr>
        <w:t>:</w:t>
      </w:r>
      <w:r w:rsidRPr="00EB436F">
        <w:rPr>
          <w:rFonts w:ascii="Times New Roman" w:hAnsi="Times New Roman" w:cs="Times New Roman"/>
          <w:u w:val="single"/>
        </w:rPr>
        <w:t xml:space="preserve"> Recurrent heart failure hospitalization (261 events)</w:t>
      </w:r>
    </w:p>
    <w:tbl>
      <w:tblPr>
        <w:tblW w:w="7830" w:type="dxa"/>
        <w:tblLayout w:type="fixed"/>
        <w:tblLook w:val="04A0" w:firstRow="1" w:lastRow="0" w:firstColumn="1" w:lastColumn="0" w:noHBand="0" w:noVBand="1"/>
      </w:tblPr>
      <w:tblGrid>
        <w:gridCol w:w="990"/>
        <w:gridCol w:w="900"/>
        <w:gridCol w:w="1890"/>
        <w:gridCol w:w="990"/>
        <w:gridCol w:w="1890"/>
        <w:gridCol w:w="1170"/>
      </w:tblGrid>
      <w:tr w:rsidR="00442763" w:rsidRPr="00EB436F" w14:paraId="64637E96" w14:textId="77777777" w:rsidTr="00C069D0">
        <w:trPr>
          <w:trHeight w:val="330"/>
        </w:trPr>
        <w:tc>
          <w:tcPr>
            <w:tcW w:w="990" w:type="dxa"/>
            <w:tcBorders>
              <w:top w:val="nil"/>
              <w:left w:val="nil"/>
              <w:bottom w:val="nil"/>
              <w:right w:val="nil"/>
            </w:tcBorders>
            <w:shd w:val="clear" w:color="auto" w:fill="auto"/>
            <w:noWrap/>
            <w:vAlign w:val="center"/>
            <w:hideMark/>
          </w:tcPr>
          <w:p w14:paraId="08FC22F1" w14:textId="77777777" w:rsidR="00442763" w:rsidRPr="00EB436F" w:rsidRDefault="00442763" w:rsidP="00EB436F">
            <w:pPr>
              <w:spacing w:line="480" w:lineRule="auto"/>
              <w:rPr>
                <w:rFonts w:ascii="Times New Roman" w:eastAsia="Times New Roman" w:hAnsi="Times New Roman" w:cs="Times New Roman"/>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D52C73"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171AC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Unadjusted</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14:paraId="2D6A5C4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 xml:space="preserve">Adjusted </w:t>
            </w:r>
          </w:p>
        </w:tc>
      </w:tr>
      <w:tr w:rsidR="00442763" w:rsidRPr="00EB436F" w14:paraId="03522D43" w14:textId="77777777" w:rsidTr="00C069D0">
        <w:trPr>
          <w:trHeight w:val="645"/>
        </w:trPr>
        <w:tc>
          <w:tcPr>
            <w:tcW w:w="990" w:type="dxa"/>
            <w:tcBorders>
              <w:top w:val="nil"/>
              <w:left w:val="nil"/>
              <w:bottom w:val="nil"/>
              <w:right w:val="nil"/>
            </w:tcBorders>
            <w:shd w:val="clear" w:color="auto" w:fill="auto"/>
            <w:noWrap/>
            <w:vAlign w:val="center"/>
            <w:hideMark/>
          </w:tcPr>
          <w:p w14:paraId="57FC3C6C" w14:textId="77777777" w:rsidR="00442763" w:rsidRPr="00EB436F" w:rsidRDefault="00442763" w:rsidP="00EB436F">
            <w:pPr>
              <w:spacing w:line="480" w:lineRule="auto"/>
              <w:rPr>
                <w:rFonts w:ascii="Times New Roman" w:eastAsia="Times New Roman" w:hAnsi="Times New Roman" w:cs="Times New Roman"/>
                <w:color w:val="000000"/>
              </w:rPr>
            </w:pP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02A6E5B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n</w:t>
            </w:r>
          </w:p>
        </w:tc>
        <w:tc>
          <w:tcPr>
            <w:tcW w:w="1890" w:type="dxa"/>
            <w:tcBorders>
              <w:top w:val="nil"/>
              <w:left w:val="nil"/>
              <w:bottom w:val="single" w:sz="8" w:space="0" w:color="auto"/>
              <w:right w:val="single" w:sz="8" w:space="0" w:color="auto"/>
            </w:tcBorders>
            <w:shd w:val="clear" w:color="auto" w:fill="auto"/>
            <w:vAlign w:val="center"/>
            <w:hideMark/>
          </w:tcPr>
          <w:p w14:paraId="57C72EDD"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Rate Ratio (95% CI) per SD</w:t>
            </w:r>
          </w:p>
        </w:tc>
        <w:tc>
          <w:tcPr>
            <w:tcW w:w="990" w:type="dxa"/>
            <w:tcBorders>
              <w:top w:val="nil"/>
              <w:left w:val="nil"/>
              <w:bottom w:val="single" w:sz="8" w:space="0" w:color="auto"/>
              <w:right w:val="single" w:sz="8" w:space="0" w:color="auto"/>
            </w:tcBorders>
            <w:shd w:val="clear" w:color="auto" w:fill="auto"/>
            <w:noWrap/>
            <w:vAlign w:val="center"/>
            <w:hideMark/>
          </w:tcPr>
          <w:p w14:paraId="0F5DB386" w14:textId="297F2062"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c>
          <w:tcPr>
            <w:tcW w:w="1890" w:type="dxa"/>
            <w:tcBorders>
              <w:top w:val="nil"/>
              <w:left w:val="nil"/>
              <w:bottom w:val="single" w:sz="8" w:space="0" w:color="auto"/>
              <w:right w:val="single" w:sz="8" w:space="0" w:color="auto"/>
            </w:tcBorders>
            <w:shd w:val="clear" w:color="auto" w:fill="auto"/>
            <w:vAlign w:val="center"/>
            <w:hideMark/>
          </w:tcPr>
          <w:p w14:paraId="18BCE0F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Rate Ratio (95% CI) per SD</w:t>
            </w:r>
          </w:p>
        </w:tc>
        <w:tc>
          <w:tcPr>
            <w:tcW w:w="1170" w:type="dxa"/>
            <w:tcBorders>
              <w:top w:val="nil"/>
              <w:left w:val="nil"/>
              <w:bottom w:val="single" w:sz="8" w:space="0" w:color="auto"/>
              <w:right w:val="single" w:sz="8" w:space="0" w:color="auto"/>
            </w:tcBorders>
            <w:shd w:val="clear" w:color="auto" w:fill="auto"/>
            <w:noWrap/>
            <w:vAlign w:val="center"/>
            <w:hideMark/>
          </w:tcPr>
          <w:p w14:paraId="2110246D" w14:textId="2081365E"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r>
      <w:tr w:rsidR="00442763" w:rsidRPr="00EB436F" w14:paraId="6A3C1E02" w14:textId="77777777" w:rsidTr="00C069D0">
        <w:trPr>
          <w:trHeight w:val="330"/>
        </w:trPr>
        <w:tc>
          <w:tcPr>
            <w:tcW w:w="990" w:type="dxa"/>
            <w:tcBorders>
              <w:top w:val="single" w:sz="8" w:space="0" w:color="auto"/>
              <w:left w:val="single" w:sz="8" w:space="0" w:color="auto"/>
              <w:bottom w:val="single" w:sz="8" w:space="0" w:color="auto"/>
              <w:right w:val="nil"/>
            </w:tcBorders>
            <w:shd w:val="clear" w:color="auto" w:fill="auto"/>
            <w:noWrap/>
            <w:vAlign w:val="center"/>
            <w:hideMark/>
          </w:tcPr>
          <w:p w14:paraId="029F17A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TIMP-1</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2C5AC02E"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1,117</w:t>
            </w:r>
          </w:p>
        </w:tc>
        <w:tc>
          <w:tcPr>
            <w:tcW w:w="1890" w:type="dxa"/>
            <w:tcBorders>
              <w:top w:val="nil"/>
              <w:left w:val="nil"/>
              <w:bottom w:val="single" w:sz="8" w:space="0" w:color="auto"/>
              <w:right w:val="single" w:sz="8" w:space="0" w:color="auto"/>
            </w:tcBorders>
            <w:shd w:val="clear" w:color="auto" w:fill="auto"/>
            <w:noWrap/>
            <w:vAlign w:val="center"/>
            <w:hideMark/>
          </w:tcPr>
          <w:p w14:paraId="308B67C5" w14:textId="05A2EA0E"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1.74 (1.51–</w:t>
            </w:r>
            <w:r w:rsidR="00442763" w:rsidRPr="00EB436F">
              <w:rPr>
                <w:rFonts w:ascii="Times New Roman" w:eastAsia="Times New Roman" w:hAnsi="Times New Roman" w:cs="Times New Roman"/>
                <w:color w:val="000000"/>
              </w:rPr>
              <w:t>2)</w:t>
            </w:r>
          </w:p>
        </w:tc>
        <w:tc>
          <w:tcPr>
            <w:tcW w:w="990" w:type="dxa"/>
            <w:tcBorders>
              <w:top w:val="nil"/>
              <w:left w:val="nil"/>
              <w:bottom w:val="single" w:sz="8" w:space="0" w:color="auto"/>
              <w:right w:val="single" w:sz="8" w:space="0" w:color="auto"/>
            </w:tcBorders>
            <w:shd w:val="clear" w:color="auto" w:fill="auto"/>
            <w:noWrap/>
            <w:vAlign w:val="center"/>
            <w:hideMark/>
          </w:tcPr>
          <w:p w14:paraId="6F18B233"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c>
          <w:tcPr>
            <w:tcW w:w="1890" w:type="dxa"/>
            <w:tcBorders>
              <w:top w:val="nil"/>
              <w:left w:val="nil"/>
              <w:bottom w:val="single" w:sz="8" w:space="0" w:color="auto"/>
              <w:right w:val="single" w:sz="8" w:space="0" w:color="auto"/>
            </w:tcBorders>
            <w:shd w:val="clear" w:color="auto" w:fill="auto"/>
            <w:noWrap/>
            <w:vAlign w:val="center"/>
            <w:hideMark/>
          </w:tcPr>
          <w:p w14:paraId="2179533A" w14:textId="4B9A899F"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1.38 (1.16–</w:t>
            </w:r>
            <w:r w:rsidR="00442763" w:rsidRPr="00EB436F">
              <w:rPr>
                <w:rFonts w:ascii="Times New Roman" w:eastAsia="Times New Roman" w:hAnsi="Times New Roman" w:cs="Times New Roman"/>
                <w:color w:val="000000"/>
              </w:rPr>
              <w:t>1.65)</w:t>
            </w:r>
          </w:p>
        </w:tc>
        <w:tc>
          <w:tcPr>
            <w:tcW w:w="1170" w:type="dxa"/>
            <w:tcBorders>
              <w:top w:val="nil"/>
              <w:left w:val="nil"/>
              <w:bottom w:val="single" w:sz="8" w:space="0" w:color="auto"/>
              <w:right w:val="single" w:sz="8" w:space="0" w:color="auto"/>
            </w:tcBorders>
            <w:shd w:val="clear" w:color="auto" w:fill="auto"/>
            <w:noWrap/>
            <w:vAlign w:val="center"/>
            <w:hideMark/>
          </w:tcPr>
          <w:p w14:paraId="467AA5EC"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r>
      <w:tr w:rsidR="00442763" w:rsidRPr="00EB436F" w14:paraId="7ACF743C"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1F58135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sST2</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10E99CB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1,120</w:t>
            </w:r>
          </w:p>
        </w:tc>
        <w:tc>
          <w:tcPr>
            <w:tcW w:w="1890" w:type="dxa"/>
            <w:tcBorders>
              <w:top w:val="nil"/>
              <w:left w:val="nil"/>
              <w:bottom w:val="single" w:sz="8" w:space="0" w:color="auto"/>
              <w:right w:val="single" w:sz="8" w:space="0" w:color="auto"/>
            </w:tcBorders>
            <w:shd w:val="clear" w:color="auto" w:fill="auto"/>
            <w:noWrap/>
            <w:vAlign w:val="center"/>
            <w:hideMark/>
          </w:tcPr>
          <w:p w14:paraId="6D2DB1E1" w14:textId="18B2C314"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1.42 (1.26–</w:t>
            </w:r>
            <w:r w:rsidR="00442763" w:rsidRPr="00EB436F">
              <w:rPr>
                <w:rFonts w:ascii="Times New Roman" w:eastAsia="Times New Roman" w:hAnsi="Times New Roman" w:cs="Times New Roman"/>
                <w:color w:val="000000"/>
              </w:rPr>
              <w:t>1.61)</w:t>
            </w:r>
          </w:p>
        </w:tc>
        <w:tc>
          <w:tcPr>
            <w:tcW w:w="990" w:type="dxa"/>
            <w:tcBorders>
              <w:top w:val="nil"/>
              <w:left w:val="nil"/>
              <w:bottom w:val="single" w:sz="8" w:space="0" w:color="auto"/>
              <w:right w:val="single" w:sz="8" w:space="0" w:color="auto"/>
            </w:tcBorders>
            <w:shd w:val="clear" w:color="auto" w:fill="auto"/>
            <w:noWrap/>
            <w:vAlign w:val="center"/>
            <w:hideMark/>
          </w:tcPr>
          <w:p w14:paraId="0D0DF4A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c>
          <w:tcPr>
            <w:tcW w:w="1890" w:type="dxa"/>
            <w:tcBorders>
              <w:top w:val="nil"/>
              <w:left w:val="nil"/>
              <w:bottom w:val="single" w:sz="8" w:space="0" w:color="auto"/>
              <w:right w:val="single" w:sz="8" w:space="0" w:color="auto"/>
            </w:tcBorders>
            <w:shd w:val="clear" w:color="auto" w:fill="auto"/>
            <w:noWrap/>
            <w:vAlign w:val="center"/>
            <w:hideMark/>
          </w:tcPr>
          <w:p w14:paraId="6B709F6F" w14:textId="1A77BED8"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1.11 (0.97–</w:t>
            </w:r>
            <w:r w:rsidR="00442763" w:rsidRPr="00EB436F">
              <w:rPr>
                <w:rFonts w:ascii="Times New Roman" w:eastAsia="Times New Roman" w:hAnsi="Times New Roman" w:cs="Times New Roman"/>
                <w:color w:val="000000"/>
              </w:rPr>
              <w:t>1.28)</w:t>
            </w:r>
          </w:p>
        </w:tc>
        <w:tc>
          <w:tcPr>
            <w:tcW w:w="1170" w:type="dxa"/>
            <w:tcBorders>
              <w:top w:val="nil"/>
              <w:left w:val="nil"/>
              <w:bottom w:val="single" w:sz="8" w:space="0" w:color="auto"/>
              <w:right w:val="single" w:sz="8" w:space="0" w:color="auto"/>
            </w:tcBorders>
            <w:shd w:val="clear" w:color="auto" w:fill="auto"/>
            <w:noWrap/>
            <w:vAlign w:val="center"/>
            <w:hideMark/>
          </w:tcPr>
          <w:p w14:paraId="5AA1589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0.13</w:t>
            </w:r>
          </w:p>
        </w:tc>
      </w:tr>
      <w:tr w:rsidR="00442763" w:rsidRPr="00EB436F" w14:paraId="70491AF5"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03AB1F8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PIIINP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56E5501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1,108</w:t>
            </w:r>
          </w:p>
        </w:tc>
        <w:tc>
          <w:tcPr>
            <w:tcW w:w="1890" w:type="dxa"/>
            <w:tcBorders>
              <w:top w:val="nil"/>
              <w:left w:val="nil"/>
              <w:bottom w:val="single" w:sz="8" w:space="0" w:color="auto"/>
              <w:right w:val="single" w:sz="8" w:space="0" w:color="auto"/>
            </w:tcBorders>
            <w:shd w:val="clear" w:color="auto" w:fill="auto"/>
            <w:noWrap/>
            <w:vAlign w:val="center"/>
            <w:hideMark/>
          </w:tcPr>
          <w:p w14:paraId="363E5839" w14:textId="681EFBD0"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1.38 (1.15–</w:t>
            </w:r>
            <w:r w:rsidR="00442763" w:rsidRPr="00EB436F">
              <w:rPr>
                <w:rFonts w:ascii="Times New Roman" w:eastAsia="Times New Roman" w:hAnsi="Times New Roman" w:cs="Times New Roman"/>
                <w:color w:val="000000"/>
              </w:rPr>
              <w:t>1.67)</w:t>
            </w:r>
          </w:p>
        </w:tc>
        <w:tc>
          <w:tcPr>
            <w:tcW w:w="990" w:type="dxa"/>
            <w:tcBorders>
              <w:top w:val="nil"/>
              <w:left w:val="nil"/>
              <w:bottom w:val="single" w:sz="8" w:space="0" w:color="auto"/>
              <w:right w:val="single" w:sz="8" w:space="0" w:color="auto"/>
            </w:tcBorders>
            <w:shd w:val="clear" w:color="auto" w:fill="auto"/>
            <w:noWrap/>
            <w:vAlign w:val="center"/>
            <w:hideMark/>
          </w:tcPr>
          <w:p w14:paraId="10CB62B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0.001</w:t>
            </w:r>
          </w:p>
        </w:tc>
        <w:tc>
          <w:tcPr>
            <w:tcW w:w="1890" w:type="dxa"/>
            <w:tcBorders>
              <w:top w:val="nil"/>
              <w:left w:val="nil"/>
              <w:bottom w:val="single" w:sz="8" w:space="0" w:color="auto"/>
              <w:right w:val="single" w:sz="8" w:space="0" w:color="auto"/>
            </w:tcBorders>
            <w:shd w:val="clear" w:color="auto" w:fill="auto"/>
            <w:noWrap/>
            <w:vAlign w:val="center"/>
            <w:hideMark/>
          </w:tcPr>
          <w:p w14:paraId="6595EDED" w14:textId="0E52B6D7"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1.09 (0.89–</w:t>
            </w:r>
            <w:r w:rsidR="00442763" w:rsidRPr="00EB436F">
              <w:rPr>
                <w:rFonts w:ascii="Times New Roman" w:eastAsia="Times New Roman" w:hAnsi="Times New Roman" w:cs="Times New Roman"/>
                <w:color w:val="000000"/>
              </w:rPr>
              <w:t>1.34)</w:t>
            </w:r>
          </w:p>
        </w:tc>
        <w:tc>
          <w:tcPr>
            <w:tcW w:w="1170" w:type="dxa"/>
            <w:tcBorders>
              <w:top w:val="nil"/>
              <w:left w:val="nil"/>
              <w:bottom w:val="single" w:sz="8" w:space="0" w:color="auto"/>
              <w:right w:val="single" w:sz="8" w:space="0" w:color="auto"/>
            </w:tcBorders>
            <w:shd w:val="clear" w:color="auto" w:fill="auto"/>
            <w:noWrap/>
            <w:vAlign w:val="center"/>
            <w:hideMark/>
          </w:tcPr>
          <w:p w14:paraId="43D57DD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0.39</w:t>
            </w:r>
          </w:p>
        </w:tc>
      </w:tr>
      <w:tr w:rsidR="00442763" w:rsidRPr="00EB436F" w14:paraId="26DDE9AC"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3F9C2D41" w14:textId="4C3FE402"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w:t>
            </w:r>
            <w:r w:rsidR="005333A0">
              <w:rPr>
                <w:rFonts w:ascii="Times New Roman" w:eastAsia="Times New Roman" w:hAnsi="Times New Roman" w:cs="Times New Roman"/>
                <w:color w:val="000000"/>
              </w:rPr>
              <w:t>I</w:t>
            </w:r>
            <w:r w:rsidRPr="00EB436F">
              <w:rPr>
                <w:rFonts w:ascii="Times New Roman" w:eastAsia="Times New Roman" w:hAnsi="Times New Roman" w:cs="Times New Roman"/>
                <w:color w:val="000000"/>
              </w:rPr>
              <w:t>NP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6580E10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1,116</w:t>
            </w:r>
          </w:p>
        </w:tc>
        <w:tc>
          <w:tcPr>
            <w:tcW w:w="1890" w:type="dxa"/>
            <w:tcBorders>
              <w:top w:val="nil"/>
              <w:left w:val="nil"/>
              <w:bottom w:val="single" w:sz="8" w:space="0" w:color="auto"/>
              <w:right w:val="single" w:sz="8" w:space="0" w:color="auto"/>
            </w:tcBorders>
            <w:shd w:val="clear" w:color="auto" w:fill="auto"/>
            <w:noWrap/>
            <w:vAlign w:val="center"/>
            <w:hideMark/>
          </w:tcPr>
          <w:p w14:paraId="1C453E75" w14:textId="006754FF"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1.07 (0.87–</w:t>
            </w:r>
            <w:r w:rsidR="00442763" w:rsidRPr="00EB436F">
              <w:rPr>
                <w:rFonts w:ascii="Times New Roman" w:eastAsia="Times New Roman" w:hAnsi="Times New Roman" w:cs="Times New Roman"/>
                <w:color w:val="000000"/>
              </w:rPr>
              <w:t>1.33)</w:t>
            </w:r>
          </w:p>
        </w:tc>
        <w:tc>
          <w:tcPr>
            <w:tcW w:w="990" w:type="dxa"/>
            <w:tcBorders>
              <w:top w:val="nil"/>
              <w:left w:val="nil"/>
              <w:bottom w:val="single" w:sz="8" w:space="0" w:color="auto"/>
              <w:right w:val="single" w:sz="8" w:space="0" w:color="auto"/>
            </w:tcBorders>
            <w:shd w:val="clear" w:color="auto" w:fill="auto"/>
            <w:noWrap/>
            <w:vAlign w:val="center"/>
            <w:hideMark/>
          </w:tcPr>
          <w:p w14:paraId="2779C67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0.52</w:t>
            </w:r>
          </w:p>
        </w:tc>
        <w:tc>
          <w:tcPr>
            <w:tcW w:w="1890" w:type="dxa"/>
            <w:tcBorders>
              <w:top w:val="nil"/>
              <w:left w:val="nil"/>
              <w:bottom w:val="single" w:sz="8" w:space="0" w:color="auto"/>
              <w:right w:val="single" w:sz="8" w:space="0" w:color="auto"/>
            </w:tcBorders>
            <w:shd w:val="clear" w:color="auto" w:fill="auto"/>
            <w:noWrap/>
            <w:vAlign w:val="center"/>
            <w:hideMark/>
          </w:tcPr>
          <w:p w14:paraId="05C0041A" w14:textId="1580D998"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0.94 (0.76–</w:t>
            </w:r>
            <w:r w:rsidR="00442763" w:rsidRPr="00EB436F">
              <w:rPr>
                <w:rFonts w:ascii="Times New Roman" w:eastAsia="Times New Roman" w:hAnsi="Times New Roman" w:cs="Times New Roman"/>
                <w:color w:val="000000"/>
              </w:rPr>
              <w:t>1.15)</w:t>
            </w:r>
          </w:p>
        </w:tc>
        <w:tc>
          <w:tcPr>
            <w:tcW w:w="1170" w:type="dxa"/>
            <w:tcBorders>
              <w:top w:val="nil"/>
              <w:left w:val="nil"/>
              <w:bottom w:val="single" w:sz="8" w:space="0" w:color="auto"/>
              <w:right w:val="single" w:sz="8" w:space="0" w:color="auto"/>
            </w:tcBorders>
            <w:shd w:val="clear" w:color="auto" w:fill="auto"/>
            <w:noWrap/>
            <w:vAlign w:val="center"/>
            <w:hideMark/>
          </w:tcPr>
          <w:p w14:paraId="3269FB6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0.53</w:t>
            </w:r>
          </w:p>
        </w:tc>
      </w:tr>
      <w:tr w:rsidR="00442763" w:rsidRPr="00EB436F" w14:paraId="6AC8D806" w14:textId="77777777" w:rsidTr="00C069D0">
        <w:trPr>
          <w:trHeight w:val="330"/>
        </w:trPr>
        <w:tc>
          <w:tcPr>
            <w:tcW w:w="990" w:type="dxa"/>
            <w:tcBorders>
              <w:top w:val="nil"/>
              <w:left w:val="single" w:sz="8" w:space="0" w:color="auto"/>
              <w:bottom w:val="single" w:sz="8" w:space="0" w:color="auto"/>
              <w:right w:val="nil"/>
            </w:tcBorders>
            <w:shd w:val="clear" w:color="auto" w:fill="auto"/>
            <w:noWrap/>
            <w:vAlign w:val="center"/>
            <w:hideMark/>
          </w:tcPr>
          <w:p w14:paraId="2A5A23C2"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CITP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5F1A8CC3"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1,096</w:t>
            </w:r>
          </w:p>
        </w:tc>
        <w:tc>
          <w:tcPr>
            <w:tcW w:w="1890" w:type="dxa"/>
            <w:tcBorders>
              <w:top w:val="nil"/>
              <w:left w:val="nil"/>
              <w:bottom w:val="single" w:sz="8" w:space="0" w:color="auto"/>
              <w:right w:val="single" w:sz="8" w:space="0" w:color="auto"/>
            </w:tcBorders>
            <w:shd w:val="clear" w:color="auto" w:fill="auto"/>
            <w:noWrap/>
            <w:vAlign w:val="center"/>
            <w:hideMark/>
          </w:tcPr>
          <w:p w14:paraId="1896F307" w14:textId="2FA544FE"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1.60</w:t>
            </w:r>
            <w:r w:rsidR="005333A0">
              <w:rPr>
                <w:rFonts w:ascii="Times New Roman" w:eastAsia="Times New Roman" w:hAnsi="Times New Roman" w:cs="Times New Roman"/>
                <w:color w:val="000000"/>
              </w:rPr>
              <w:t xml:space="preserve"> (1.33–</w:t>
            </w:r>
            <w:r w:rsidRPr="00EB436F">
              <w:rPr>
                <w:rFonts w:ascii="Times New Roman" w:eastAsia="Times New Roman" w:hAnsi="Times New Roman" w:cs="Times New Roman"/>
                <w:color w:val="000000"/>
              </w:rPr>
              <w:t>1.93)</w:t>
            </w:r>
          </w:p>
        </w:tc>
        <w:tc>
          <w:tcPr>
            <w:tcW w:w="990" w:type="dxa"/>
            <w:tcBorders>
              <w:top w:val="nil"/>
              <w:left w:val="nil"/>
              <w:bottom w:val="single" w:sz="8" w:space="0" w:color="auto"/>
              <w:right w:val="single" w:sz="8" w:space="0" w:color="auto"/>
            </w:tcBorders>
            <w:shd w:val="clear" w:color="auto" w:fill="auto"/>
            <w:noWrap/>
            <w:vAlign w:val="center"/>
            <w:hideMark/>
          </w:tcPr>
          <w:p w14:paraId="71F61361"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&lt;0.001</w:t>
            </w:r>
          </w:p>
        </w:tc>
        <w:tc>
          <w:tcPr>
            <w:tcW w:w="1890" w:type="dxa"/>
            <w:tcBorders>
              <w:top w:val="nil"/>
              <w:left w:val="nil"/>
              <w:bottom w:val="single" w:sz="8" w:space="0" w:color="auto"/>
              <w:right w:val="single" w:sz="8" w:space="0" w:color="auto"/>
            </w:tcBorders>
            <w:shd w:val="clear" w:color="auto" w:fill="auto"/>
            <w:noWrap/>
            <w:vAlign w:val="center"/>
            <w:hideMark/>
          </w:tcPr>
          <w:p w14:paraId="08526727" w14:textId="2EC4C3F0"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1.07 (0.85</w:t>
            </w:r>
            <w:r w:rsidR="005333A0">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1.34)</w:t>
            </w:r>
          </w:p>
        </w:tc>
        <w:tc>
          <w:tcPr>
            <w:tcW w:w="1170" w:type="dxa"/>
            <w:tcBorders>
              <w:top w:val="nil"/>
              <w:left w:val="nil"/>
              <w:bottom w:val="single" w:sz="8" w:space="0" w:color="auto"/>
              <w:right w:val="single" w:sz="8" w:space="0" w:color="auto"/>
            </w:tcBorders>
            <w:shd w:val="clear" w:color="auto" w:fill="auto"/>
            <w:noWrap/>
            <w:vAlign w:val="center"/>
            <w:hideMark/>
          </w:tcPr>
          <w:p w14:paraId="5C4C00D5"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0.56</w:t>
            </w:r>
          </w:p>
        </w:tc>
      </w:tr>
    </w:tbl>
    <w:p w14:paraId="3614468E" w14:textId="77777777" w:rsidR="00442763" w:rsidRPr="00EB436F" w:rsidRDefault="00442763" w:rsidP="00EB436F">
      <w:pPr>
        <w:spacing w:line="480" w:lineRule="auto"/>
        <w:rPr>
          <w:rFonts w:ascii="Times New Roman" w:eastAsia="Times New Roman" w:hAnsi="Times New Roman" w:cs="Times New Roman"/>
          <w:color w:val="000000"/>
        </w:rPr>
      </w:pPr>
    </w:p>
    <w:p w14:paraId="42E39079" w14:textId="4A1B0521"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Hazard ratios and rate ratios with 95% confidence interval refers to increase in expected event rate per log increase in biomarker level. The following covariates were included: NT-proBNP, high sensitivity troponin, age, sex, region, history of stroke diabetes, hypertension, MI, ischemic cause of HF or AF, NYHA, LVEF, medications (MRA, Diuretic, BB), systolic and BP, eGFR and serum potassium. Abbreviations: CI, confidence interval; HR, hazard ratio; RR, rate ratio; SD, standard deviation</w:t>
      </w:r>
      <w:r w:rsidR="005333A0">
        <w:rPr>
          <w:rFonts w:ascii="Times New Roman" w:hAnsi="Times New Roman" w:cs="Times New Roman"/>
        </w:rPr>
        <w:t>.</w:t>
      </w:r>
    </w:p>
    <w:p w14:paraId="2F2A5876" w14:textId="77777777"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br w:type="page"/>
      </w:r>
    </w:p>
    <w:p w14:paraId="06906CEE" w14:textId="340A68CD" w:rsidR="00442763" w:rsidRPr="00EB436F" w:rsidRDefault="005333A0" w:rsidP="00EB436F">
      <w:pPr>
        <w:spacing w:line="480" w:lineRule="auto"/>
        <w:rPr>
          <w:rFonts w:ascii="Times New Roman" w:hAnsi="Times New Roman" w:cs="Times New Roman"/>
        </w:rPr>
      </w:pPr>
      <w:r>
        <w:rPr>
          <w:rFonts w:ascii="Times New Roman" w:hAnsi="Times New Roman" w:cs="Times New Roman"/>
        </w:rPr>
        <w:t>Supplemental Table 4.</w:t>
      </w:r>
      <w:r w:rsidR="00442763" w:rsidRPr="00EB436F">
        <w:rPr>
          <w:rFonts w:ascii="Times New Roman" w:hAnsi="Times New Roman" w:cs="Times New Roman"/>
        </w:rPr>
        <w:t xml:space="preserve"> Association of change in biomarker from baseline to 16 weeks after randomization versus subsequent primary endpoints</w:t>
      </w:r>
    </w:p>
    <w:tbl>
      <w:tblPr>
        <w:tblW w:w="7020" w:type="dxa"/>
        <w:tblLook w:val="04A0" w:firstRow="1" w:lastRow="0" w:firstColumn="1" w:lastColumn="0" w:noHBand="0" w:noVBand="1"/>
      </w:tblPr>
      <w:tblGrid>
        <w:gridCol w:w="1104"/>
        <w:gridCol w:w="1956"/>
        <w:gridCol w:w="990"/>
        <w:gridCol w:w="1890"/>
        <w:gridCol w:w="1080"/>
      </w:tblGrid>
      <w:tr w:rsidR="00442763" w:rsidRPr="00EB436F" w14:paraId="335AFBED" w14:textId="77777777" w:rsidTr="00C069D0">
        <w:trPr>
          <w:trHeight w:val="210"/>
        </w:trPr>
        <w:tc>
          <w:tcPr>
            <w:tcW w:w="1104" w:type="dxa"/>
            <w:tcBorders>
              <w:top w:val="nil"/>
              <w:left w:val="nil"/>
              <w:bottom w:val="nil"/>
              <w:right w:val="nil"/>
            </w:tcBorders>
            <w:shd w:val="clear" w:color="auto" w:fill="auto"/>
            <w:noWrap/>
            <w:vAlign w:val="bottom"/>
          </w:tcPr>
          <w:p w14:paraId="6DAF9391" w14:textId="77777777" w:rsidR="00442763" w:rsidRPr="00EB436F" w:rsidRDefault="00442763" w:rsidP="00EB436F">
            <w:pPr>
              <w:spacing w:line="480" w:lineRule="auto"/>
              <w:rPr>
                <w:rFonts w:ascii="Times New Roman" w:eastAsia="Times New Roman" w:hAnsi="Times New Roman" w:cs="Times New Roman"/>
              </w:rPr>
            </w:pPr>
          </w:p>
        </w:tc>
        <w:tc>
          <w:tcPr>
            <w:tcW w:w="2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BD08D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Adjusted Baseline Value</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060971AF" w14:textId="1555B7AF"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Adjusted</w:t>
            </w:r>
            <w:r w:rsidR="005333A0">
              <w:rPr>
                <w:rFonts w:ascii="Times New Roman" w:eastAsia="Times New Roman" w:hAnsi="Times New Roman" w:cs="Times New Roman"/>
                <w:color w:val="000000"/>
              </w:rPr>
              <w:t xml:space="preserve"> for Baseline and</w:t>
            </w:r>
            <w:r w:rsidRPr="00EB436F">
              <w:rPr>
                <w:rFonts w:ascii="Times New Roman" w:eastAsia="Times New Roman" w:hAnsi="Times New Roman" w:cs="Times New Roman"/>
                <w:color w:val="000000"/>
              </w:rPr>
              <w:t xml:space="preserve"> Clinical Covariates</w:t>
            </w:r>
          </w:p>
        </w:tc>
      </w:tr>
      <w:tr w:rsidR="00442763" w:rsidRPr="00EB436F" w14:paraId="64A7C760" w14:textId="77777777" w:rsidTr="00C069D0">
        <w:trPr>
          <w:trHeight w:val="210"/>
        </w:trPr>
        <w:tc>
          <w:tcPr>
            <w:tcW w:w="1104" w:type="dxa"/>
            <w:tcBorders>
              <w:top w:val="nil"/>
              <w:left w:val="nil"/>
              <w:bottom w:val="nil"/>
              <w:right w:val="nil"/>
            </w:tcBorders>
            <w:shd w:val="clear" w:color="auto" w:fill="auto"/>
            <w:noWrap/>
            <w:vAlign w:val="bottom"/>
          </w:tcPr>
          <w:p w14:paraId="447F7329" w14:textId="77777777" w:rsidR="00442763" w:rsidRPr="00EB436F" w:rsidRDefault="00442763" w:rsidP="00EB436F">
            <w:pPr>
              <w:spacing w:line="480" w:lineRule="auto"/>
              <w:rPr>
                <w:rFonts w:ascii="Times New Roman" w:eastAsia="Times New Roman" w:hAnsi="Times New Roman" w:cs="Times New Roman"/>
                <w:color w:val="000000"/>
              </w:rPr>
            </w:pPr>
          </w:p>
        </w:tc>
        <w:tc>
          <w:tcPr>
            <w:tcW w:w="1956" w:type="dxa"/>
            <w:tcBorders>
              <w:top w:val="nil"/>
              <w:left w:val="single" w:sz="4" w:space="0" w:color="auto"/>
              <w:bottom w:val="single" w:sz="4" w:space="0" w:color="auto"/>
              <w:right w:val="single" w:sz="4" w:space="0" w:color="auto"/>
            </w:tcBorders>
            <w:shd w:val="clear" w:color="auto" w:fill="auto"/>
            <w:noWrap/>
            <w:vAlign w:val="bottom"/>
          </w:tcPr>
          <w:p w14:paraId="6871D15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Rate Ratio per SD Change</w:t>
            </w:r>
          </w:p>
        </w:tc>
        <w:tc>
          <w:tcPr>
            <w:tcW w:w="990" w:type="dxa"/>
            <w:tcBorders>
              <w:top w:val="nil"/>
              <w:left w:val="nil"/>
              <w:bottom w:val="single" w:sz="4" w:space="0" w:color="auto"/>
              <w:right w:val="single" w:sz="4" w:space="0" w:color="auto"/>
            </w:tcBorders>
            <w:shd w:val="clear" w:color="auto" w:fill="auto"/>
            <w:noWrap/>
            <w:vAlign w:val="bottom"/>
          </w:tcPr>
          <w:p w14:paraId="71791AEC" w14:textId="23FF9C85"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c>
          <w:tcPr>
            <w:tcW w:w="1890" w:type="dxa"/>
            <w:tcBorders>
              <w:top w:val="nil"/>
              <w:left w:val="nil"/>
              <w:bottom w:val="single" w:sz="4" w:space="0" w:color="auto"/>
              <w:right w:val="single" w:sz="4" w:space="0" w:color="auto"/>
            </w:tcBorders>
            <w:shd w:val="clear" w:color="auto" w:fill="auto"/>
            <w:noWrap/>
            <w:vAlign w:val="bottom"/>
          </w:tcPr>
          <w:p w14:paraId="4E0AB68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Rate Ratio per SD Change</w:t>
            </w:r>
          </w:p>
        </w:tc>
        <w:tc>
          <w:tcPr>
            <w:tcW w:w="1080" w:type="dxa"/>
            <w:tcBorders>
              <w:top w:val="nil"/>
              <w:left w:val="nil"/>
              <w:bottom w:val="single" w:sz="4" w:space="0" w:color="auto"/>
              <w:right w:val="single" w:sz="4" w:space="0" w:color="auto"/>
            </w:tcBorders>
            <w:shd w:val="clear" w:color="auto" w:fill="auto"/>
            <w:noWrap/>
            <w:vAlign w:val="bottom"/>
          </w:tcPr>
          <w:p w14:paraId="0C0987B4" w14:textId="6DCAD704"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 </w:t>
            </w:r>
            <w:r w:rsidRPr="00EB436F">
              <w:rPr>
                <w:rFonts w:ascii="Times New Roman" w:eastAsia="Times New Roman" w:hAnsi="Times New Roman" w:cs="Times New Roman"/>
                <w:color w:val="000000"/>
              </w:rPr>
              <w:t>Value</w:t>
            </w:r>
          </w:p>
        </w:tc>
      </w:tr>
      <w:tr w:rsidR="00442763" w:rsidRPr="00EB436F" w14:paraId="39BB7CA4" w14:textId="77777777" w:rsidTr="00C069D0">
        <w:trPr>
          <w:trHeight w:val="21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8968E" w14:textId="568EAA43"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TIMP</w:t>
            </w:r>
            <w:r w:rsidR="005333A0">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w:t>
            </w:r>
          </w:p>
        </w:tc>
        <w:tc>
          <w:tcPr>
            <w:tcW w:w="1956" w:type="dxa"/>
            <w:tcBorders>
              <w:top w:val="nil"/>
              <w:left w:val="nil"/>
              <w:bottom w:val="single" w:sz="8" w:space="0" w:color="auto"/>
              <w:right w:val="single" w:sz="8" w:space="0" w:color="auto"/>
            </w:tcBorders>
            <w:shd w:val="clear" w:color="auto" w:fill="auto"/>
            <w:noWrap/>
            <w:vAlign w:val="center"/>
          </w:tcPr>
          <w:p w14:paraId="5FD46F8B" w14:textId="4B68210F"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1.31 (1.11–</w:t>
            </w:r>
            <w:r w:rsidR="00442763" w:rsidRPr="00EB436F">
              <w:rPr>
                <w:rFonts w:ascii="Times New Roman" w:eastAsia="Times New Roman" w:hAnsi="Times New Roman" w:cs="Times New Roman"/>
                <w:color w:val="000000"/>
              </w:rPr>
              <w:t>1.54)</w:t>
            </w:r>
          </w:p>
        </w:tc>
        <w:tc>
          <w:tcPr>
            <w:tcW w:w="990" w:type="dxa"/>
            <w:tcBorders>
              <w:top w:val="nil"/>
              <w:left w:val="nil"/>
              <w:bottom w:val="single" w:sz="8" w:space="0" w:color="auto"/>
              <w:right w:val="single" w:sz="8" w:space="0" w:color="auto"/>
            </w:tcBorders>
            <w:shd w:val="clear" w:color="auto" w:fill="auto"/>
            <w:noWrap/>
            <w:vAlign w:val="center"/>
          </w:tcPr>
          <w:p w14:paraId="73C81CE8"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0.001</w:t>
            </w:r>
          </w:p>
        </w:tc>
        <w:tc>
          <w:tcPr>
            <w:tcW w:w="1890" w:type="dxa"/>
            <w:tcBorders>
              <w:top w:val="nil"/>
              <w:left w:val="nil"/>
              <w:bottom w:val="single" w:sz="8" w:space="0" w:color="auto"/>
              <w:right w:val="single" w:sz="8" w:space="0" w:color="auto"/>
            </w:tcBorders>
            <w:shd w:val="clear" w:color="auto" w:fill="auto"/>
            <w:noWrap/>
            <w:vAlign w:val="center"/>
          </w:tcPr>
          <w:p w14:paraId="5F09E252" w14:textId="716C37A3"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1.23 (1.03–</w:t>
            </w:r>
            <w:r w:rsidR="00442763" w:rsidRPr="00EB436F">
              <w:rPr>
                <w:rFonts w:ascii="Times New Roman" w:eastAsia="Times New Roman" w:hAnsi="Times New Roman" w:cs="Times New Roman"/>
                <w:color w:val="000000"/>
              </w:rPr>
              <w:t>1.47)</w:t>
            </w:r>
          </w:p>
        </w:tc>
        <w:tc>
          <w:tcPr>
            <w:tcW w:w="1080" w:type="dxa"/>
            <w:tcBorders>
              <w:top w:val="nil"/>
              <w:left w:val="nil"/>
              <w:bottom w:val="single" w:sz="8" w:space="0" w:color="auto"/>
              <w:right w:val="single" w:sz="8" w:space="0" w:color="auto"/>
            </w:tcBorders>
            <w:shd w:val="clear" w:color="auto" w:fill="auto"/>
            <w:noWrap/>
            <w:vAlign w:val="center"/>
          </w:tcPr>
          <w:p w14:paraId="193C4F50"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0.023</w:t>
            </w:r>
          </w:p>
        </w:tc>
      </w:tr>
      <w:tr w:rsidR="00442763" w:rsidRPr="00EB436F" w14:paraId="4ED9548A" w14:textId="77777777" w:rsidTr="00C069D0">
        <w:trPr>
          <w:trHeight w:val="210"/>
        </w:trPr>
        <w:tc>
          <w:tcPr>
            <w:tcW w:w="1104" w:type="dxa"/>
            <w:tcBorders>
              <w:top w:val="nil"/>
              <w:left w:val="single" w:sz="4" w:space="0" w:color="auto"/>
              <w:bottom w:val="single" w:sz="4" w:space="0" w:color="auto"/>
              <w:right w:val="single" w:sz="4" w:space="0" w:color="auto"/>
            </w:tcBorders>
            <w:shd w:val="clear" w:color="auto" w:fill="auto"/>
            <w:noWrap/>
            <w:vAlign w:val="center"/>
          </w:tcPr>
          <w:p w14:paraId="68A96B7A"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sST2</w:t>
            </w:r>
          </w:p>
        </w:tc>
        <w:tc>
          <w:tcPr>
            <w:tcW w:w="1956" w:type="dxa"/>
            <w:tcBorders>
              <w:top w:val="nil"/>
              <w:left w:val="nil"/>
              <w:bottom w:val="single" w:sz="8" w:space="0" w:color="auto"/>
              <w:right w:val="single" w:sz="8" w:space="0" w:color="auto"/>
            </w:tcBorders>
            <w:shd w:val="clear" w:color="auto" w:fill="auto"/>
            <w:noWrap/>
            <w:vAlign w:val="center"/>
          </w:tcPr>
          <w:p w14:paraId="468D2799" w14:textId="7138BF4F"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1.18 (1.04–</w:t>
            </w:r>
            <w:r w:rsidR="00442763" w:rsidRPr="00EB436F">
              <w:rPr>
                <w:rFonts w:ascii="Times New Roman" w:eastAsia="Times New Roman" w:hAnsi="Times New Roman" w:cs="Times New Roman"/>
                <w:color w:val="000000"/>
              </w:rPr>
              <w:t>1.32)</w:t>
            </w:r>
          </w:p>
        </w:tc>
        <w:tc>
          <w:tcPr>
            <w:tcW w:w="990" w:type="dxa"/>
            <w:tcBorders>
              <w:top w:val="nil"/>
              <w:left w:val="nil"/>
              <w:bottom w:val="single" w:sz="8" w:space="0" w:color="auto"/>
              <w:right w:val="single" w:sz="8" w:space="0" w:color="auto"/>
            </w:tcBorders>
            <w:shd w:val="clear" w:color="auto" w:fill="auto"/>
            <w:noWrap/>
            <w:vAlign w:val="center"/>
          </w:tcPr>
          <w:p w14:paraId="3034F13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0.008</w:t>
            </w:r>
          </w:p>
        </w:tc>
        <w:tc>
          <w:tcPr>
            <w:tcW w:w="1890" w:type="dxa"/>
            <w:tcBorders>
              <w:top w:val="nil"/>
              <w:left w:val="nil"/>
              <w:bottom w:val="single" w:sz="8" w:space="0" w:color="auto"/>
              <w:right w:val="single" w:sz="8" w:space="0" w:color="auto"/>
            </w:tcBorders>
            <w:shd w:val="clear" w:color="auto" w:fill="auto"/>
            <w:noWrap/>
            <w:vAlign w:val="center"/>
          </w:tcPr>
          <w:p w14:paraId="7A16ECF9" w14:textId="7633EA2D"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1.15 (1.02–</w:t>
            </w:r>
            <w:r w:rsidR="00442763" w:rsidRPr="00EB436F">
              <w:rPr>
                <w:rFonts w:ascii="Times New Roman" w:eastAsia="Times New Roman" w:hAnsi="Times New Roman" w:cs="Times New Roman"/>
                <w:color w:val="000000"/>
              </w:rPr>
              <w:t>1.31)</w:t>
            </w:r>
          </w:p>
        </w:tc>
        <w:tc>
          <w:tcPr>
            <w:tcW w:w="1080" w:type="dxa"/>
            <w:tcBorders>
              <w:top w:val="nil"/>
              <w:left w:val="nil"/>
              <w:bottom w:val="single" w:sz="8" w:space="0" w:color="auto"/>
              <w:right w:val="single" w:sz="8" w:space="0" w:color="auto"/>
            </w:tcBorders>
            <w:shd w:val="clear" w:color="auto" w:fill="auto"/>
            <w:noWrap/>
            <w:vAlign w:val="center"/>
          </w:tcPr>
          <w:p w14:paraId="5C8E016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0.028</w:t>
            </w:r>
          </w:p>
        </w:tc>
      </w:tr>
      <w:tr w:rsidR="00442763" w:rsidRPr="00EB436F" w14:paraId="599C3248" w14:textId="77777777" w:rsidTr="00C069D0">
        <w:trPr>
          <w:trHeight w:val="226"/>
        </w:trPr>
        <w:tc>
          <w:tcPr>
            <w:tcW w:w="1104" w:type="dxa"/>
            <w:tcBorders>
              <w:top w:val="nil"/>
              <w:left w:val="single" w:sz="4" w:space="0" w:color="auto"/>
              <w:bottom w:val="single" w:sz="4" w:space="0" w:color="auto"/>
              <w:right w:val="single" w:sz="4" w:space="0" w:color="auto"/>
            </w:tcBorders>
            <w:shd w:val="clear" w:color="auto" w:fill="auto"/>
            <w:noWrap/>
            <w:vAlign w:val="center"/>
          </w:tcPr>
          <w:p w14:paraId="028D16D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PIIINP</w:t>
            </w:r>
          </w:p>
        </w:tc>
        <w:tc>
          <w:tcPr>
            <w:tcW w:w="1956" w:type="dxa"/>
            <w:tcBorders>
              <w:top w:val="nil"/>
              <w:left w:val="nil"/>
              <w:bottom w:val="single" w:sz="8" w:space="0" w:color="auto"/>
              <w:right w:val="single" w:sz="8" w:space="0" w:color="auto"/>
            </w:tcBorders>
            <w:shd w:val="clear" w:color="auto" w:fill="auto"/>
            <w:noWrap/>
            <w:vAlign w:val="center"/>
          </w:tcPr>
          <w:p w14:paraId="79B1EE60" w14:textId="6DDACCA0"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1.27 (1.05</w:t>
            </w:r>
            <w:r w:rsidR="005333A0">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1.54)</w:t>
            </w:r>
          </w:p>
        </w:tc>
        <w:tc>
          <w:tcPr>
            <w:tcW w:w="990" w:type="dxa"/>
            <w:tcBorders>
              <w:top w:val="nil"/>
              <w:left w:val="nil"/>
              <w:bottom w:val="single" w:sz="8" w:space="0" w:color="auto"/>
              <w:right w:val="single" w:sz="8" w:space="0" w:color="auto"/>
            </w:tcBorders>
            <w:shd w:val="clear" w:color="auto" w:fill="auto"/>
            <w:noWrap/>
            <w:vAlign w:val="center"/>
          </w:tcPr>
          <w:p w14:paraId="3A12C287"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0.015</w:t>
            </w:r>
          </w:p>
        </w:tc>
        <w:tc>
          <w:tcPr>
            <w:tcW w:w="1890" w:type="dxa"/>
            <w:tcBorders>
              <w:top w:val="nil"/>
              <w:left w:val="nil"/>
              <w:bottom w:val="single" w:sz="8" w:space="0" w:color="auto"/>
              <w:right w:val="single" w:sz="8" w:space="0" w:color="auto"/>
            </w:tcBorders>
            <w:shd w:val="clear" w:color="auto" w:fill="auto"/>
            <w:noWrap/>
            <w:vAlign w:val="center"/>
          </w:tcPr>
          <w:p w14:paraId="7CBD83F0" w14:textId="16E73FE8"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1.09 (0.90</w:t>
            </w:r>
            <w:r w:rsidR="005333A0">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1.31)</w:t>
            </w:r>
          </w:p>
        </w:tc>
        <w:tc>
          <w:tcPr>
            <w:tcW w:w="1080" w:type="dxa"/>
            <w:tcBorders>
              <w:top w:val="nil"/>
              <w:left w:val="nil"/>
              <w:bottom w:val="single" w:sz="8" w:space="0" w:color="auto"/>
              <w:right w:val="single" w:sz="8" w:space="0" w:color="auto"/>
            </w:tcBorders>
            <w:shd w:val="clear" w:color="auto" w:fill="auto"/>
            <w:noWrap/>
            <w:vAlign w:val="center"/>
          </w:tcPr>
          <w:p w14:paraId="0D7B98A9"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0.366</w:t>
            </w:r>
          </w:p>
        </w:tc>
      </w:tr>
      <w:tr w:rsidR="00442763" w:rsidRPr="00EB436F" w14:paraId="77674213" w14:textId="77777777" w:rsidTr="00C069D0">
        <w:trPr>
          <w:trHeight w:val="210"/>
        </w:trPr>
        <w:tc>
          <w:tcPr>
            <w:tcW w:w="1104" w:type="dxa"/>
            <w:tcBorders>
              <w:top w:val="nil"/>
              <w:left w:val="single" w:sz="4" w:space="0" w:color="auto"/>
              <w:bottom w:val="single" w:sz="4" w:space="0" w:color="auto"/>
              <w:right w:val="single" w:sz="4" w:space="0" w:color="auto"/>
            </w:tcBorders>
            <w:shd w:val="clear" w:color="auto" w:fill="auto"/>
            <w:noWrap/>
            <w:vAlign w:val="center"/>
          </w:tcPr>
          <w:p w14:paraId="5841D869" w14:textId="7C14B297"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P</w:t>
            </w:r>
            <w:r w:rsidR="005333A0">
              <w:rPr>
                <w:rFonts w:ascii="Times New Roman" w:eastAsia="Times New Roman" w:hAnsi="Times New Roman" w:cs="Times New Roman"/>
                <w:color w:val="000000"/>
              </w:rPr>
              <w:t>I</w:t>
            </w:r>
            <w:r w:rsidRPr="00EB436F">
              <w:rPr>
                <w:rFonts w:ascii="Times New Roman" w:eastAsia="Times New Roman" w:hAnsi="Times New Roman" w:cs="Times New Roman"/>
                <w:color w:val="000000"/>
              </w:rPr>
              <w:t>NP</w:t>
            </w:r>
          </w:p>
        </w:tc>
        <w:tc>
          <w:tcPr>
            <w:tcW w:w="1956" w:type="dxa"/>
            <w:tcBorders>
              <w:top w:val="nil"/>
              <w:left w:val="nil"/>
              <w:bottom w:val="single" w:sz="8" w:space="0" w:color="auto"/>
              <w:right w:val="single" w:sz="8" w:space="0" w:color="auto"/>
            </w:tcBorders>
            <w:shd w:val="clear" w:color="auto" w:fill="auto"/>
            <w:noWrap/>
            <w:vAlign w:val="center"/>
          </w:tcPr>
          <w:p w14:paraId="71180F54" w14:textId="788A93FF"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1.25 (1.03–</w:t>
            </w:r>
            <w:r w:rsidR="00442763" w:rsidRPr="00EB436F">
              <w:rPr>
                <w:rFonts w:ascii="Times New Roman" w:eastAsia="Times New Roman" w:hAnsi="Times New Roman" w:cs="Times New Roman"/>
                <w:color w:val="000000"/>
              </w:rPr>
              <w:t>1.53)</w:t>
            </w:r>
          </w:p>
        </w:tc>
        <w:tc>
          <w:tcPr>
            <w:tcW w:w="990" w:type="dxa"/>
            <w:tcBorders>
              <w:top w:val="nil"/>
              <w:left w:val="nil"/>
              <w:bottom w:val="single" w:sz="8" w:space="0" w:color="auto"/>
              <w:right w:val="single" w:sz="8" w:space="0" w:color="auto"/>
            </w:tcBorders>
            <w:shd w:val="clear" w:color="auto" w:fill="auto"/>
            <w:noWrap/>
            <w:vAlign w:val="center"/>
          </w:tcPr>
          <w:p w14:paraId="43110BE4"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0.028</w:t>
            </w:r>
          </w:p>
        </w:tc>
        <w:tc>
          <w:tcPr>
            <w:tcW w:w="1890" w:type="dxa"/>
            <w:tcBorders>
              <w:top w:val="nil"/>
              <w:left w:val="nil"/>
              <w:bottom w:val="single" w:sz="8" w:space="0" w:color="auto"/>
              <w:right w:val="single" w:sz="8" w:space="0" w:color="auto"/>
            </w:tcBorders>
            <w:shd w:val="clear" w:color="auto" w:fill="auto"/>
            <w:noWrap/>
            <w:vAlign w:val="center"/>
          </w:tcPr>
          <w:p w14:paraId="000205C5" w14:textId="3CA43BF8" w:rsidR="00442763" w:rsidRPr="00EB436F" w:rsidRDefault="00442763" w:rsidP="005333A0">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1.13 (0.95</w:t>
            </w:r>
            <w:r w:rsidR="005333A0">
              <w:rPr>
                <w:rFonts w:ascii="Times New Roman" w:eastAsia="Times New Roman" w:hAnsi="Times New Roman" w:cs="Times New Roman"/>
                <w:color w:val="000000"/>
              </w:rPr>
              <w:t>–</w:t>
            </w:r>
            <w:r w:rsidRPr="00EB436F">
              <w:rPr>
                <w:rFonts w:ascii="Times New Roman" w:eastAsia="Times New Roman" w:hAnsi="Times New Roman" w:cs="Times New Roman"/>
                <w:color w:val="000000"/>
              </w:rPr>
              <w:t>1.36)</w:t>
            </w:r>
          </w:p>
        </w:tc>
        <w:tc>
          <w:tcPr>
            <w:tcW w:w="1080" w:type="dxa"/>
            <w:tcBorders>
              <w:top w:val="nil"/>
              <w:left w:val="nil"/>
              <w:bottom w:val="single" w:sz="8" w:space="0" w:color="auto"/>
              <w:right w:val="single" w:sz="8" w:space="0" w:color="auto"/>
            </w:tcBorders>
            <w:shd w:val="clear" w:color="auto" w:fill="auto"/>
            <w:noWrap/>
            <w:vAlign w:val="center"/>
          </w:tcPr>
          <w:p w14:paraId="68A4052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0.173</w:t>
            </w:r>
          </w:p>
        </w:tc>
      </w:tr>
      <w:tr w:rsidR="00442763" w:rsidRPr="00EB436F" w14:paraId="208AAE5F" w14:textId="77777777" w:rsidTr="00C069D0">
        <w:trPr>
          <w:trHeight w:val="210"/>
        </w:trPr>
        <w:tc>
          <w:tcPr>
            <w:tcW w:w="1104" w:type="dxa"/>
            <w:tcBorders>
              <w:top w:val="nil"/>
              <w:left w:val="single" w:sz="4" w:space="0" w:color="auto"/>
              <w:bottom w:val="single" w:sz="4" w:space="0" w:color="auto"/>
              <w:right w:val="single" w:sz="4" w:space="0" w:color="auto"/>
            </w:tcBorders>
            <w:shd w:val="clear" w:color="auto" w:fill="auto"/>
            <w:noWrap/>
            <w:vAlign w:val="center"/>
          </w:tcPr>
          <w:p w14:paraId="4F5EB97B"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CITP</w:t>
            </w:r>
          </w:p>
        </w:tc>
        <w:tc>
          <w:tcPr>
            <w:tcW w:w="1956" w:type="dxa"/>
            <w:tcBorders>
              <w:top w:val="nil"/>
              <w:left w:val="nil"/>
              <w:bottom w:val="single" w:sz="8" w:space="0" w:color="auto"/>
              <w:right w:val="single" w:sz="8" w:space="0" w:color="auto"/>
            </w:tcBorders>
            <w:shd w:val="clear" w:color="auto" w:fill="auto"/>
            <w:noWrap/>
            <w:vAlign w:val="center"/>
          </w:tcPr>
          <w:p w14:paraId="7FFE70C8" w14:textId="3EE7CB22"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1.36 (1.13–</w:t>
            </w:r>
            <w:r w:rsidR="00442763" w:rsidRPr="00EB436F">
              <w:rPr>
                <w:rFonts w:ascii="Times New Roman" w:eastAsia="Times New Roman" w:hAnsi="Times New Roman" w:cs="Times New Roman"/>
                <w:color w:val="000000"/>
              </w:rPr>
              <w:t>1.64)</w:t>
            </w:r>
          </w:p>
        </w:tc>
        <w:tc>
          <w:tcPr>
            <w:tcW w:w="990" w:type="dxa"/>
            <w:tcBorders>
              <w:top w:val="nil"/>
              <w:left w:val="nil"/>
              <w:bottom w:val="single" w:sz="8" w:space="0" w:color="auto"/>
              <w:right w:val="single" w:sz="8" w:space="0" w:color="auto"/>
            </w:tcBorders>
            <w:shd w:val="clear" w:color="auto" w:fill="auto"/>
            <w:noWrap/>
            <w:vAlign w:val="center"/>
          </w:tcPr>
          <w:p w14:paraId="5F39A556"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0.001</w:t>
            </w:r>
          </w:p>
        </w:tc>
        <w:tc>
          <w:tcPr>
            <w:tcW w:w="1890" w:type="dxa"/>
            <w:tcBorders>
              <w:top w:val="nil"/>
              <w:left w:val="nil"/>
              <w:bottom w:val="single" w:sz="8" w:space="0" w:color="auto"/>
              <w:right w:val="single" w:sz="8" w:space="0" w:color="auto"/>
            </w:tcBorders>
            <w:shd w:val="clear" w:color="auto" w:fill="auto"/>
            <w:noWrap/>
            <w:vAlign w:val="center"/>
          </w:tcPr>
          <w:p w14:paraId="4188B7AC" w14:textId="2297997A" w:rsidR="00442763" w:rsidRPr="00EB436F" w:rsidRDefault="005333A0" w:rsidP="00EB43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1.26 (1.03–</w:t>
            </w:r>
            <w:r w:rsidR="00442763" w:rsidRPr="00EB436F">
              <w:rPr>
                <w:rFonts w:ascii="Times New Roman" w:eastAsia="Times New Roman" w:hAnsi="Times New Roman" w:cs="Times New Roman"/>
                <w:color w:val="000000"/>
              </w:rPr>
              <w:t>1.55)</w:t>
            </w:r>
          </w:p>
        </w:tc>
        <w:tc>
          <w:tcPr>
            <w:tcW w:w="1080" w:type="dxa"/>
            <w:tcBorders>
              <w:top w:val="nil"/>
              <w:left w:val="nil"/>
              <w:bottom w:val="single" w:sz="8" w:space="0" w:color="auto"/>
              <w:right w:val="single" w:sz="8" w:space="0" w:color="auto"/>
            </w:tcBorders>
            <w:shd w:val="clear" w:color="auto" w:fill="auto"/>
            <w:noWrap/>
            <w:vAlign w:val="center"/>
          </w:tcPr>
          <w:p w14:paraId="34FB1CBF" w14:textId="77777777" w:rsidR="00442763" w:rsidRPr="00EB436F" w:rsidRDefault="00442763" w:rsidP="00EB436F">
            <w:pPr>
              <w:spacing w:line="480" w:lineRule="auto"/>
              <w:rPr>
                <w:rFonts w:ascii="Times New Roman" w:eastAsia="Times New Roman" w:hAnsi="Times New Roman" w:cs="Times New Roman"/>
                <w:color w:val="000000"/>
              </w:rPr>
            </w:pPr>
            <w:r w:rsidRPr="00EB436F">
              <w:rPr>
                <w:rFonts w:ascii="Times New Roman" w:eastAsia="Times New Roman" w:hAnsi="Times New Roman" w:cs="Times New Roman"/>
                <w:color w:val="000000"/>
              </w:rPr>
              <w:t>0.027</w:t>
            </w:r>
          </w:p>
        </w:tc>
      </w:tr>
    </w:tbl>
    <w:p w14:paraId="035023F8" w14:textId="77777777"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 xml:space="preserve">Rate ratios with 95% confidence interval refers to increase in expected event rate per standard deviation of log-transformed change in biomarker between baseline and 16 weeks after randomization, adjusted for baseline value alone (left columns) or baseline value and clinical covariates (right column). The following covariates were included: treatment group, age, sex, region, history of stroke diabetes, hypertension, MI, ischemic cause of HF or AF, NYHA, LVEF, medications (MRA, Diuretic, BB), systolic and BP, eGFR and serum potassium, NT-proBNP, and high sensitivity troponin. There were 292 primary endpoint events after the week 16 visit. </w:t>
      </w:r>
    </w:p>
    <w:p w14:paraId="34809013" w14:textId="2CE7AFD1" w:rsidR="00442763" w:rsidRPr="00EB436F" w:rsidRDefault="00442763" w:rsidP="00EB436F">
      <w:pPr>
        <w:spacing w:line="480" w:lineRule="auto"/>
        <w:rPr>
          <w:rFonts w:ascii="Times New Roman" w:hAnsi="Times New Roman" w:cs="Times New Roman"/>
        </w:rPr>
      </w:pPr>
      <w:r w:rsidRPr="00EB436F">
        <w:rPr>
          <w:rFonts w:ascii="Times New Roman" w:hAnsi="Times New Roman" w:cs="Times New Roman"/>
        </w:rPr>
        <w:t>Abbreviations: CI, confidence interval; HR, hazard ratio; RR, rate ratio; SD, standard deviation</w:t>
      </w:r>
      <w:r w:rsidR="005333A0">
        <w:rPr>
          <w:rFonts w:ascii="Times New Roman" w:hAnsi="Times New Roman" w:cs="Times New Roman"/>
        </w:rPr>
        <w:t>.</w:t>
      </w:r>
    </w:p>
    <w:p w14:paraId="7119E7E0" w14:textId="77777777" w:rsidR="00744A31" w:rsidRPr="00EB436F" w:rsidRDefault="00744A31" w:rsidP="00EB436F">
      <w:pPr>
        <w:spacing w:line="480" w:lineRule="auto"/>
        <w:rPr>
          <w:rFonts w:ascii="Times New Roman" w:hAnsi="Times New Roman" w:cs="Times New Roman"/>
        </w:rPr>
      </w:pPr>
    </w:p>
    <w:sectPr w:rsidR="00744A31" w:rsidRPr="00EB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CE"/>
    <w:rsid w:val="002404FE"/>
    <w:rsid w:val="00442763"/>
    <w:rsid w:val="005333A0"/>
    <w:rsid w:val="00744A31"/>
    <w:rsid w:val="00AA6CCE"/>
    <w:rsid w:val="00AF6777"/>
    <w:rsid w:val="00D86E73"/>
    <w:rsid w:val="00EB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4488"/>
  <w15:chartTrackingRefBased/>
  <w15:docId w15:val="{3565A1CA-70B2-4295-AA05-E84DF26C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63"/>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C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Jonathan W.,M.D.</dc:creator>
  <cp:keywords/>
  <dc:description/>
  <cp:lastModifiedBy>Karen Hallman</cp:lastModifiedBy>
  <cp:revision>3</cp:revision>
  <dcterms:created xsi:type="dcterms:W3CDTF">2020-06-10T19:13:00Z</dcterms:created>
  <dcterms:modified xsi:type="dcterms:W3CDTF">2020-06-11T15:45:00Z</dcterms:modified>
</cp:coreProperties>
</file>