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92BB5" w14:textId="3F7529C0" w:rsidR="000461EF" w:rsidRDefault="00F8192F" w:rsidP="000461EF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Supplemental Appendix</w:t>
      </w:r>
    </w:p>
    <w:p w14:paraId="0CCF8D49" w14:textId="77777777" w:rsidR="00F8192F" w:rsidRPr="00CB323D" w:rsidRDefault="00F8192F" w:rsidP="000461EF">
      <w:pPr>
        <w:spacing w:after="0" w:line="240" w:lineRule="auto"/>
        <w:rPr>
          <w:b/>
          <w:bCs/>
        </w:rPr>
      </w:pPr>
    </w:p>
    <w:p w14:paraId="195E9EBD" w14:textId="77777777" w:rsidR="000461EF" w:rsidRDefault="000461EF" w:rsidP="000461EF">
      <w:pPr>
        <w:rPr>
          <w:rFonts w:eastAsia="MinionPro-Regular" w:cs="Arial"/>
          <w:szCs w:val="24"/>
        </w:rPr>
      </w:pPr>
      <w:r>
        <w:rPr>
          <w:rFonts w:eastAsia="MinionPro-Regular" w:cs="Arial"/>
          <w:szCs w:val="24"/>
        </w:rPr>
        <w:t>This appendix has been provided by the authors to give readers additional information about their work.</w:t>
      </w:r>
    </w:p>
    <w:p w14:paraId="5DFC8649" w14:textId="06C3CEF8" w:rsidR="000461EF" w:rsidRDefault="000461EF" w:rsidP="000461EF">
      <w:pPr>
        <w:autoSpaceDE w:val="0"/>
        <w:autoSpaceDN w:val="0"/>
        <w:adjustRightInd w:val="0"/>
        <w:spacing w:after="0" w:line="240" w:lineRule="auto"/>
      </w:pPr>
      <w:r>
        <w:rPr>
          <w:rFonts w:eastAsia="MinionPro-Regular" w:cs="Arial"/>
          <w:szCs w:val="24"/>
        </w:rPr>
        <w:t xml:space="preserve">Supplement to: </w:t>
      </w:r>
      <w:r w:rsidRPr="008B6956">
        <w:rPr>
          <w:rFonts w:eastAsia="MyriadPro-Regular" w:cs="Arial"/>
          <w:szCs w:val="24"/>
        </w:rPr>
        <w:t>Rossignol</w:t>
      </w:r>
      <w:r w:rsidR="005149BD">
        <w:rPr>
          <w:rFonts w:eastAsia="MyriadPro-Regular" w:cs="Arial"/>
          <w:szCs w:val="24"/>
        </w:rPr>
        <w:t xml:space="preserve"> P</w:t>
      </w:r>
      <w:r>
        <w:rPr>
          <w:rFonts w:eastAsia="MyriadPro-Regular" w:cs="Arial"/>
          <w:szCs w:val="24"/>
        </w:rPr>
        <w:t xml:space="preserve">, </w:t>
      </w:r>
      <w:r w:rsidR="005149BD">
        <w:rPr>
          <w:rFonts w:eastAsia="MyriadPro-Regular" w:cs="Arial"/>
          <w:szCs w:val="24"/>
        </w:rPr>
        <w:t>Williams B</w:t>
      </w:r>
      <w:r>
        <w:rPr>
          <w:rFonts w:eastAsia="MyriadPro-Regular" w:cs="Arial"/>
          <w:szCs w:val="24"/>
        </w:rPr>
        <w:t>,</w:t>
      </w:r>
      <w:r>
        <w:rPr>
          <w:rFonts w:eastAsia="MyriadPro-Regular" w:cs="Arial"/>
          <w:szCs w:val="24"/>
          <w:vertAlign w:val="superscript"/>
        </w:rPr>
        <w:t xml:space="preserve"> </w:t>
      </w:r>
      <w:r w:rsidR="00E22281">
        <w:rPr>
          <w:rFonts w:eastAsia="MyriadPro-Regular" w:cs="Arial"/>
          <w:szCs w:val="24"/>
        </w:rPr>
        <w:t>Mayo</w:t>
      </w:r>
      <w:r w:rsidR="005149BD">
        <w:rPr>
          <w:rFonts w:eastAsia="MyriadPro-Regular" w:cs="Arial"/>
          <w:szCs w:val="24"/>
        </w:rPr>
        <w:t xml:space="preserve"> </w:t>
      </w:r>
      <w:r w:rsidR="00E22281">
        <w:rPr>
          <w:rFonts w:eastAsia="MyriadPro-Regular" w:cs="Arial"/>
          <w:szCs w:val="24"/>
        </w:rPr>
        <w:t>MR</w:t>
      </w:r>
      <w:r>
        <w:rPr>
          <w:rFonts w:eastAsia="MyriadPro-Regular" w:cs="Arial"/>
          <w:szCs w:val="24"/>
        </w:rPr>
        <w:t>,</w:t>
      </w:r>
      <w:r w:rsidRPr="008B6956">
        <w:rPr>
          <w:rFonts w:eastAsia="MyriadPro-Regular" w:cs="Arial"/>
          <w:szCs w:val="24"/>
        </w:rPr>
        <w:t xml:space="preserve"> </w:t>
      </w:r>
      <w:r>
        <w:rPr>
          <w:rFonts w:eastAsia="MinionPro-Regular" w:cs="Arial"/>
          <w:szCs w:val="24"/>
        </w:rPr>
        <w:t xml:space="preserve">et al. </w:t>
      </w:r>
      <w:r w:rsidR="00936699" w:rsidRPr="00936699">
        <w:rPr>
          <w:rFonts w:eastAsia="MinionPro-Regular" w:cs="Arial"/>
          <w:szCs w:val="24"/>
        </w:rPr>
        <w:t>Patiromer versus Placebo to Enable Spironolactone Use in Patients with Resistant Hypertension and Chronic Kidney Disease (AMBER): Results in the Pre-specified Subgroup with Heart Failure</w:t>
      </w:r>
    </w:p>
    <w:p w14:paraId="3BB87F41" w14:textId="77777777" w:rsidR="000461EF" w:rsidRDefault="000461EF" w:rsidP="000461EF">
      <w:pPr>
        <w:spacing w:after="0" w:line="240" w:lineRule="auto"/>
      </w:pPr>
    </w:p>
    <w:sdt>
      <w:sdtPr>
        <w:rPr>
          <w:sz w:val="22"/>
        </w:rPr>
        <w:id w:val="5447182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06046C8" w14:textId="77777777" w:rsidR="003A17FA" w:rsidRDefault="000461EF">
          <w:pPr>
            <w:pStyle w:val="TM1"/>
            <w:rPr>
              <w:rFonts w:cs="Arial"/>
              <w:b/>
              <w:bCs/>
              <w:szCs w:val="20"/>
            </w:rPr>
          </w:pPr>
          <w:r w:rsidRPr="000A7E33">
            <w:rPr>
              <w:rFonts w:cs="Arial"/>
              <w:b/>
              <w:bCs/>
              <w:szCs w:val="20"/>
            </w:rPr>
            <w:t>Table of Contents</w:t>
          </w:r>
        </w:p>
        <w:p w14:paraId="6383C90A" w14:textId="124ED8F8" w:rsidR="00F8192F" w:rsidRDefault="000461E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24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24"/>
            </w:rPr>
            <w:fldChar w:fldCharType="separate"/>
          </w:r>
          <w:hyperlink w:anchor="_Toc32332490" w:history="1">
            <w:r w:rsidR="00F8192F" w:rsidRPr="002E53BB">
              <w:rPr>
                <w:rStyle w:val="Lienhypertexte"/>
                <w:noProof/>
              </w:rPr>
              <w:t xml:space="preserve">Supplemental Appendix A. </w:t>
            </w:r>
            <w:r w:rsidR="00F8192F" w:rsidRPr="002E53BB">
              <w:rPr>
                <w:rStyle w:val="Lienhypertexte"/>
                <w:bCs/>
                <w:noProof/>
              </w:rPr>
              <w:t>Serum calcium and magnesium levels during the study.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_Toc32332490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2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51C4825D" w14:textId="5C7F02C1" w:rsidR="00F8192F" w:rsidRDefault="00F1787B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2332491" w:history="1">
            <w:r w:rsidR="00F8192F" w:rsidRPr="002E53BB">
              <w:rPr>
                <w:rStyle w:val="Lienhypertexte"/>
                <w:noProof/>
              </w:rPr>
              <w:t>Supplemental Table 1. Reasons for early discontinuation of study treatment.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_Toc32332491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3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7AC9FBAE" w14:textId="1166AC99" w:rsidR="00F8192F" w:rsidRDefault="00F1787B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2332492" w:history="1">
            <w:r w:rsidR="00F8192F" w:rsidRPr="002E53BB">
              <w:rPr>
                <w:rStyle w:val="Lienhypertexte"/>
                <w:noProof/>
              </w:rPr>
              <w:t xml:space="preserve">Supplemental Table 2. </w:t>
            </w:r>
            <w:r w:rsidR="00F8192F" w:rsidRPr="002E53BB">
              <w:rPr>
                <w:rStyle w:val="Lienhypertexte"/>
                <w:bCs/>
                <w:noProof/>
              </w:rPr>
              <w:t>Last recorded spironolactone dose in patients who discontinued because of hyperkalaemia</w:t>
            </w:r>
            <w:r w:rsidR="00F8192F" w:rsidRPr="002E53BB">
              <w:rPr>
                <w:rStyle w:val="Lienhypertexte"/>
                <w:noProof/>
              </w:rPr>
              <w:t>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_Toc32332492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4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31C93082" w14:textId="1645D45F" w:rsidR="00F8192F" w:rsidRDefault="00F1787B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2332493" w:history="1">
            <w:r w:rsidR="00F8192F" w:rsidRPr="002E53BB">
              <w:rPr>
                <w:rStyle w:val="Lienhypertexte"/>
                <w:noProof/>
              </w:rPr>
              <w:t>Supplemental Table 3. Heart failure characteristics.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_Toc32332493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5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0E56AD18" w14:textId="4ED71AA4" w:rsidR="00F8192F" w:rsidRDefault="00F1787B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2332494" w:history="1">
            <w:r w:rsidR="00F8192F" w:rsidRPr="002E53BB">
              <w:rPr>
                <w:rStyle w:val="Lienhypertexte"/>
                <w:noProof/>
              </w:rPr>
              <w:t xml:space="preserve">Supplemental Table 4. </w:t>
            </w:r>
            <w:r w:rsidR="00F8192F" w:rsidRPr="002E53BB">
              <w:rPr>
                <w:rStyle w:val="Lienhypertexte"/>
                <w:bCs/>
                <w:noProof/>
              </w:rPr>
              <w:t>Cumulative spironolactone dose over 12 weeks.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_Toc32332494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6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2E3B183C" w14:textId="4CBED5E7" w:rsidR="00F8192F" w:rsidRDefault="00F1787B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2332495" w:history="1">
            <w:r w:rsidR="00F8192F" w:rsidRPr="002E53BB">
              <w:rPr>
                <w:rStyle w:val="Lienhypertexte"/>
                <w:noProof/>
              </w:rPr>
              <w:t>Supplemental Table 5.  Prespecified laboratory values of interest.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_Toc32332495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7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2C1D7736" w14:textId="567902E7" w:rsidR="00F8192F" w:rsidRDefault="00F1787B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2332496" w:history="1">
            <w:r w:rsidR="00F8192F" w:rsidRPr="002E53BB">
              <w:rPr>
                <w:rStyle w:val="Lienhypertexte"/>
                <w:noProof/>
              </w:rPr>
              <w:t xml:space="preserve">Supplemental Table 6. </w:t>
            </w:r>
            <w:r w:rsidR="00F8192F" w:rsidRPr="002E53BB">
              <w:rPr>
                <w:rStyle w:val="Lienhypertexte"/>
                <w:bCs/>
                <w:noProof/>
              </w:rPr>
              <w:t>Estimated</w:t>
            </w:r>
            <w:r w:rsidR="00F8192F" w:rsidRPr="002E53BB">
              <w:rPr>
                <w:rStyle w:val="Lienhypertexte"/>
                <w:noProof/>
              </w:rPr>
              <w:t xml:space="preserve"> GFR and urine albumin/creatinine ratio change from baseline at </w:t>
            </w:r>
            <w:r w:rsidR="00E4677B">
              <w:rPr>
                <w:rStyle w:val="Lienhypertexte"/>
                <w:noProof/>
              </w:rPr>
              <w:t>W</w:t>
            </w:r>
            <w:r w:rsidR="00F8192F" w:rsidRPr="002E53BB">
              <w:rPr>
                <w:rStyle w:val="Lienhypertexte"/>
                <w:noProof/>
              </w:rPr>
              <w:t>eek 12.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_Toc32332496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8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01731C0D" w14:textId="62EFE271" w:rsidR="00F8192F" w:rsidRDefault="00F1787B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2332497" w:history="1">
            <w:r w:rsidR="00F8192F" w:rsidRPr="002E53BB">
              <w:rPr>
                <w:rStyle w:val="Lienhypertexte"/>
                <w:noProof/>
              </w:rPr>
              <w:t>Supplemental Table 7. Serum calcium and magnesium levels results over time and change from baseline.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_Toc32332497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9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3807D280" w14:textId="79284C8D" w:rsidR="00F8192F" w:rsidRDefault="00F1787B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2332498" w:history="1">
            <w:r w:rsidR="00F8192F" w:rsidRPr="002E53BB">
              <w:rPr>
                <w:rStyle w:val="Lienhypertexte"/>
                <w:noProof/>
              </w:rPr>
              <w:t>Supplemental Figure 1. Patient disposition by HF subgroups.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_Toc32332498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10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1F233FAF" w14:textId="3FF98EA1" w:rsidR="00F8192F" w:rsidRDefault="00F1787B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2332499" w:history="1">
            <w:r w:rsidR="00F8192F" w:rsidRPr="002E53BB">
              <w:rPr>
                <w:rStyle w:val="Lienhypertexte"/>
                <w:noProof/>
              </w:rPr>
              <w:t>Supplemental Figure 2. Mean (SE) central laboratory serum potassium during active treatment in patients A) with heart failure, and B) without heart failure.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_Toc32332499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11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264EF0F2" w14:textId="597DFC9C" w:rsidR="00F8192F" w:rsidRPr="00E53C7D" w:rsidRDefault="00F1787B" w:rsidP="00D921C7">
          <w:pPr>
            <w:pStyle w:val="TM2"/>
            <w:tabs>
              <w:tab w:val="right" w:leader="dot" w:pos="10790"/>
            </w:tabs>
            <w:rPr>
              <w:noProof/>
              <w:color w:val="0563C1" w:themeColor="hyperlink"/>
              <w:u w:val="single"/>
            </w:rPr>
          </w:pPr>
          <w:hyperlink w:anchor="_Toc32332500" w:history="1">
            <w:r w:rsidR="00F8192F" w:rsidRPr="002E53BB">
              <w:rPr>
                <w:rStyle w:val="Lienhypertexte"/>
                <w:noProof/>
              </w:rPr>
              <w:t>Supplemental Figure 3. NT-proBNP levels at baseline and Week 12</w:t>
            </w:r>
            <w:r w:rsidR="00D921C7">
              <w:rPr>
                <w:rStyle w:val="Lienhypertexte"/>
                <w:noProof/>
              </w:rPr>
              <w:t xml:space="preserve"> in A) the overall population, </w:t>
            </w:r>
            <w:r w:rsidR="00F96673">
              <w:rPr>
                <w:rStyle w:val="Lienhypertexte"/>
                <w:noProof/>
              </w:rPr>
              <w:br/>
            </w:r>
            <w:r w:rsidR="00D921C7">
              <w:rPr>
                <w:rStyle w:val="Lienhypertexte"/>
                <w:noProof/>
              </w:rPr>
              <w:t>B) patients with atrial fibrillation, and C) patients without atrial fibrillation</w:t>
            </w:r>
            <w:r w:rsidR="00F8192F" w:rsidRPr="002E53BB">
              <w:rPr>
                <w:rStyle w:val="Lienhypertexte"/>
                <w:noProof/>
              </w:rPr>
              <w:t>.</w:t>
            </w:r>
            <w:r w:rsidR="00F8192F">
              <w:rPr>
                <w:noProof/>
                <w:webHidden/>
              </w:rPr>
              <w:tab/>
            </w:r>
            <w:r w:rsidR="00F8192F">
              <w:rPr>
                <w:noProof/>
                <w:webHidden/>
              </w:rPr>
              <w:fldChar w:fldCharType="begin"/>
            </w:r>
            <w:r w:rsidR="00F8192F">
              <w:rPr>
                <w:noProof/>
                <w:webHidden/>
              </w:rPr>
              <w:instrText xml:space="preserve"> PAGEREF _Toc32332500 \h </w:instrText>
            </w:r>
            <w:r w:rsidR="00F8192F">
              <w:rPr>
                <w:noProof/>
                <w:webHidden/>
              </w:rPr>
            </w:r>
            <w:r w:rsidR="00F8192F">
              <w:rPr>
                <w:noProof/>
                <w:webHidden/>
              </w:rPr>
              <w:fldChar w:fldCharType="separate"/>
            </w:r>
            <w:r w:rsidR="00F8192F">
              <w:rPr>
                <w:noProof/>
                <w:webHidden/>
              </w:rPr>
              <w:t>13</w:t>
            </w:r>
            <w:r w:rsidR="00F8192F">
              <w:rPr>
                <w:noProof/>
                <w:webHidden/>
              </w:rPr>
              <w:fldChar w:fldCharType="end"/>
            </w:r>
          </w:hyperlink>
        </w:p>
        <w:p w14:paraId="436FECA1" w14:textId="0F7A57B7" w:rsidR="000461EF" w:rsidRDefault="000461EF" w:rsidP="000461EF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7D5C191" w14:textId="77777777" w:rsidR="000461EF" w:rsidRDefault="000461EF" w:rsidP="000461EF">
      <w:pPr>
        <w:pStyle w:val="Figures"/>
        <w:sectPr w:rsidR="000461EF" w:rsidSect="00A0090B">
          <w:footerReference w:type="default" r:id="rId11"/>
          <w:footnotePr>
            <w:numFmt w:val="lowerLetter"/>
            <w:numRestart w:val="eachPage"/>
          </w:footnote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6FB2CA" w14:textId="2DA47769" w:rsidR="000461EF" w:rsidRDefault="000461EF" w:rsidP="000A1241">
      <w:pPr>
        <w:pStyle w:val="Figures"/>
      </w:pPr>
      <w:bookmarkStart w:id="1" w:name="_Toc32332490"/>
      <w:r w:rsidRPr="00F945E7">
        <w:lastRenderedPageBreak/>
        <w:t xml:space="preserve">Supplemental Appendix A. </w:t>
      </w:r>
      <w:r w:rsidR="00453716">
        <w:rPr>
          <w:b w:val="0"/>
          <w:bCs/>
        </w:rPr>
        <w:t>S</w:t>
      </w:r>
      <w:r w:rsidR="003C71D1" w:rsidRPr="000A1241">
        <w:rPr>
          <w:b w:val="0"/>
          <w:bCs/>
        </w:rPr>
        <w:t>erum c</w:t>
      </w:r>
      <w:r w:rsidR="00E37E10" w:rsidRPr="000A1241">
        <w:rPr>
          <w:b w:val="0"/>
          <w:bCs/>
        </w:rPr>
        <w:t xml:space="preserve">alcium and </w:t>
      </w:r>
      <w:r w:rsidR="003C71D1" w:rsidRPr="000A1241">
        <w:rPr>
          <w:b w:val="0"/>
          <w:bCs/>
        </w:rPr>
        <w:t>m</w:t>
      </w:r>
      <w:r w:rsidRPr="000A1241">
        <w:rPr>
          <w:b w:val="0"/>
          <w:bCs/>
        </w:rPr>
        <w:t>agnesium</w:t>
      </w:r>
      <w:r w:rsidR="004A5FB5" w:rsidRPr="000A1241">
        <w:rPr>
          <w:b w:val="0"/>
          <w:bCs/>
        </w:rPr>
        <w:t xml:space="preserve"> </w:t>
      </w:r>
      <w:r w:rsidR="003C71D1" w:rsidRPr="000A1241">
        <w:rPr>
          <w:b w:val="0"/>
          <w:bCs/>
        </w:rPr>
        <w:t>l</w:t>
      </w:r>
      <w:r w:rsidR="004A5FB5" w:rsidRPr="000A1241">
        <w:rPr>
          <w:b w:val="0"/>
          <w:bCs/>
        </w:rPr>
        <w:t xml:space="preserve">evels </w:t>
      </w:r>
      <w:r w:rsidR="003C71D1" w:rsidRPr="000A1241">
        <w:rPr>
          <w:b w:val="0"/>
          <w:bCs/>
        </w:rPr>
        <w:t xml:space="preserve">during </w:t>
      </w:r>
      <w:r w:rsidRPr="000A1241">
        <w:rPr>
          <w:b w:val="0"/>
          <w:bCs/>
        </w:rPr>
        <w:t xml:space="preserve">the </w:t>
      </w:r>
      <w:r w:rsidR="003C71D1" w:rsidRPr="000A1241">
        <w:rPr>
          <w:b w:val="0"/>
          <w:bCs/>
        </w:rPr>
        <w:t>study</w:t>
      </w:r>
      <w:r w:rsidR="000A1241" w:rsidRPr="000A1241">
        <w:rPr>
          <w:b w:val="0"/>
          <w:bCs/>
        </w:rPr>
        <w:t>.</w:t>
      </w:r>
      <w:bookmarkEnd w:id="1"/>
    </w:p>
    <w:p w14:paraId="36FD651F" w14:textId="77777777" w:rsidR="000A1241" w:rsidRPr="00F945E7" w:rsidRDefault="000A1241" w:rsidP="000A1241"/>
    <w:p w14:paraId="3E2AC46D" w14:textId="2DA12D72" w:rsidR="000461EF" w:rsidRDefault="000461EF" w:rsidP="000461EF">
      <w:pPr>
        <w:autoSpaceDE w:val="0"/>
        <w:autoSpaceDN w:val="0"/>
        <w:adjustRightInd w:val="0"/>
        <w:spacing w:after="0"/>
        <w:ind w:firstLine="360"/>
        <w:rPr>
          <w:rFonts w:cs="Arial"/>
          <w:szCs w:val="24"/>
        </w:rPr>
      </w:pPr>
      <w:r w:rsidRPr="00A54FD4">
        <w:rPr>
          <w:rFonts w:cs="Arial"/>
          <w:szCs w:val="24"/>
        </w:rPr>
        <w:t>In patients with HF, on-study serum calcium values &gt;</w:t>
      </w:r>
      <w:r>
        <w:rPr>
          <w:rFonts w:cs="Arial"/>
          <w:szCs w:val="24"/>
        </w:rPr>
        <w:t xml:space="preserve">2.62 mmol/L (the ULN) </w:t>
      </w:r>
      <w:r w:rsidRPr="00A54FD4">
        <w:rPr>
          <w:rFonts w:cs="Arial"/>
          <w:szCs w:val="24"/>
        </w:rPr>
        <w:t xml:space="preserve">were observed in 2 patients </w:t>
      </w:r>
      <w:r>
        <w:rPr>
          <w:rFonts w:cs="Arial"/>
          <w:szCs w:val="24"/>
        </w:rPr>
        <w:t>on</w:t>
      </w:r>
      <w:r w:rsidRPr="00A54FD4">
        <w:rPr>
          <w:rFonts w:cs="Arial"/>
          <w:szCs w:val="24"/>
        </w:rPr>
        <w:t xml:space="preserve"> placebo, and 2 patients </w:t>
      </w:r>
      <w:r>
        <w:rPr>
          <w:rFonts w:cs="Arial"/>
          <w:szCs w:val="24"/>
        </w:rPr>
        <w:t>on</w:t>
      </w:r>
      <w:r w:rsidRPr="00A54FD4">
        <w:rPr>
          <w:rFonts w:cs="Arial"/>
          <w:szCs w:val="24"/>
        </w:rPr>
        <w:t xml:space="preserve"> patiromer</w:t>
      </w:r>
      <w:r>
        <w:rPr>
          <w:rFonts w:cs="Arial"/>
          <w:szCs w:val="24"/>
        </w:rPr>
        <w:t xml:space="preserve"> (</w:t>
      </w:r>
      <w:r>
        <w:rPr>
          <w:rFonts w:cs="Arial"/>
          <w:b/>
          <w:szCs w:val="24"/>
        </w:rPr>
        <w:t xml:space="preserve">Supplemental Table </w:t>
      </w:r>
      <w:r w:rsidR="0096771B">
        <w:rPr>
          <w:rFonts w:cs="Arial"/>
          <w:b/>
          <w:szCs w:val="24"/>
        </w:rPr>
        <w:t>5</w:t>
      </w:r>
      <w:r>
        <w:rPr>
          <w:rFonts w:cs="Arial"/>
          <w:szCs w:val="24"/>
        </w:rPr>
        <w:t>)</w:t>
      </w:r>
      <w:r w:rsidRPr="00A54FD4">
        <w:rPr>
          <w:rFonts w:cs="Arial"/>
          <w:szCs w:val="24"/>
        </w:rPr>
        <w:t xml:space="preserve">. All </w:t>
      </w:r>
      <w:r>
        <w:rPr>
          <w:rFonts w:cs="Arial"/>
          <w:szCs w:val="24"/>
        </w:rPr>
        <w:t xml:space="preserve">4 </w:t>
      </w:r>
      <w:r w:rsidRPr="00A54FD4">
        <w:rPr>
          <w:rFonts w:cs="Arial"/>
          <w:szCs w:val="24"/>
        </w:rPr>
        <w:t>of these patients had screening or baseline serum calcium &gt;</w:t>
      </w:r>
      <w:r>
        <w:rPr>
          <w:rFonts w:cs="Arial"/>
          <w:szCs w:val="24"/>
        </w:rPr>
        <w:t>2.62 mmol/L</w:t>
      </w:r>
      <w:r w:rsidRPr="00A54FD4">
        <w:rPr>
          <w:rFonts w:cs="Arial"/>
          <w:szCs w:val="24"/>
        </w:rPr>
        <w:t>. One HF patient in the patiromer group also had an AE of hypercalcemia</w:t>
      </w:r>
      <w:r>
        <w:rPr>
          <w:rFonts w:cs="Arial"/>
          <w:szCs w:val="24"/>
        </w:rPr>
        <w:t>, with a serum calcium value of 2.9 mmol/L at the time the AE was reported (the AE resolved without a change in dosing of patiromer or spironolactone)</w:t>
      </w:r>
      <w:r w:rsidRPr="00A54FD4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A54FD4">
        <w:rPr>
          <w:rFonts w:cs="Arial"/>
          <w:szCs w:val="24"/>
        </w:rPr>
        <w:t>In patients without HF, on-study serum calcium values &gt;</w:t>
      </w:r>
      <w:r>
        <w:rPr>
          <w:rFonts w:cs="Arial"/>
          <w:szCs w:val="24"/>
        </w:rPr>
        <w:t>2.62 mmol/L</w:t>
      </w:r>
      <w:r w:rsidRPr="00A54FD4">
        <w:rPr>
          <w:rFonts w:cs="Arial"/>
          <w:szCs w:val="24"/>
        </w:rPr>
        <w:t xml:space="preserve"> were observed in 3 patients </w:t>
      </w:r>
      <w:r>
        <w:rPr>
          <w:rFonts w:cs="Arial"/>
          <w:szCs w:val="24"/>
        </w:rPr>
        <w:t>on</w:t>
      </w:r>
      <w:r w:rsidRPr="00A54FD4">
        <w:rPr>
          <w:rFonts w:cs="Arial"/>
          <w:szCs w:val="24"/>
        </w:rPr>
        <w:t xml:space="preserve"> placebo</w:t>
      </w:r>
      <w:r>
        <w:rPr>
          <w:rFonts w:cs="Arial"/>
          <w:szCs w:val="24"/>
        </w:rPr>
        <w:t xml:space="preserve"> (2 with </w:t>
      </w:r>
      <w:r w:rsidRPr="00A54FD4">
        <w:rPr>
          <w:rFonts w:cs="Arial"/>
          <w:szCs w:val="24"/>
        </w:rPr>
        <w:t>serum calcium &gt;</w:t>
      </w:r>
      <w:r>
        <w:rPr>
          <w:rFonts w:cs="Arial"/>
          <w:szCs w:val="24"/>
        </w:rPr>
        <w:t>2.62 mmol/L</w:t>
      </w:r>
      <w:r w:rsidRPr="00A54FD4">
        <w:rPr>
          <w:rFonts w:cs="Arial"/>
          <w:szCs w:val="24"/>
        </w:rPr>
        <w:t xml:space="preserve"> before treatment</w:t>
      </w:r>
      <w:r>
        <w:rPr>
          <w:rFonts w:cs="Arial"/>
          <w:szCs w:val="24"/>
        </w:rPr>
        <w:t>)</w:t>
      </w:r>
      <w:r w:rsidRPr="00A54FD4">
        <w:rPr>
          <w:rFonts w:cs="Arial"/>
          <w:szCs w:val="24"/>
        </w:rPr>
        <w:t xml:space="preserve">, and </w:t>
      </w:r>
      <w:r>
        <w:rPr>
          <w:rFonts w:cs="Arial"/>
          <w:szCs w:val="24"/>
        </w:rPr>
        <w:t xml:space="preserve">in </w:t>
      </w:r>
      <w:r w:rsidRPr="00A54FD4">
        <w:rPr>
          <w:rFonts w:cs="Arial"/>
          <w:szCs w:val="24"/>
        </w:rPr>
        <w:t xml:space="preserve">2 patients </w:t>
      </w:r>
      <w:r>
        <w:rPr>
          <w:rFonts w:cs="Arial"/>
          <w:szCs w:val="24"/>
        </w:rPr>
        <w:t>on</w:t>
      </w:r>
      <w:r w:rsidRPr="00A54FD4">
        <w:rPr>
          <w:rFonts w:cs="Arial"/>
          <w:szCs w:val="24"/>
        </w:rPr>
        <w:t xml:space="preserve"> patiromer</w:t>
      </w:r>
      <w:r>
        <w:rPr>
          <w:rFonts w:cs="Arial"/>
          <w:szCs w:val="24"/>
        </w:rPr>
        <w:t>. Serum calcium returned to the normal range during the follow-up visit</w:t>
      </w:r>
      <w:r>
        <w:rPr>
          <w:rStyle w:val="Marquedecommentaire"/>
        </w:rPr>
        <w:t xml:space="preserve"> </w:t>
      </w:r>
      <w:r>
        <w:rPr>
          <w:rFonts w:cs="Arial"/>
          <w:szCs w:val="24"/>
        </w:rPr>
        <w:t xml:space="preserve">in the 3 patients with on-study calcium above the ULN </w:t>
      </w:r>
    </w:p>
    <w:p w14:paraId="5E3568B9" w14:textId="388D2719" w:rsidR="00580A44" w:rsidRDefault="000461EF" w:rsidP="000461EF">
      <w:pPr>
        <w:autoSpaceDE w:val="0"/>
        <w:autoSpaceDN w:val="0"/>
        <w:adjustRightInd w:val="0"/>
        <w:spacing w:after="0"/>
        <w:ind w:firstLine="36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8F1804">
        <w:rPr>
          <w:rFonts w:cs="Arial"/>
          <w:szCs w:val="24"/>
        </w:rPr>
        <w:t>n-study serum magnesium &lt;</w:t>
      </w:r>
      <w:r>
        <w:rPr>
          <w:rFonts w:cs="Arial"/>
          <w:szCs w:val="24"/>
        </w:rPr>
        <w:t>0.58 mmol/L</w:t>
      </w:r>
      <w:r w:rsidRPr="008F1804">
        <w:rPr>
          <w:rFonts w:cs="Arial"/>
          <w:szCs w:val="24"/>
        </w:rPr>
        <w:t xml:space="preserve"> occurred in 1 </w:t>
      </w:r>
      <w:r>
        <w:rPr>
          <w:rFonts w:cs="Arial"/>
          <w:szCs w:val="24"/>
        </w:rPr>
        <w:t xml:space="preserve">HF </w:t>
      </w:r>
      <w:r w:rsidRPr="008F1804">
        <w:rPr>
          <w:rFonts w:cs="Arial"/>
          <w:szCs w:val="24"/>
        </w:rPr>
        <w:t>patient</w:t>
      </w:r>
      <w:r>
        <w:rPr>
          <w:rFonts w:cs="Arial"/>
          <w:szCs w:val="24"/>
        </w:rPr>
        <w:t xml:space="preserve"> (who had</w:t>
      </w:r>
      <w:r w:rsidRPr="008F180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serum </w:t>
      </w:r>
      <w:r w:rsidRPr="008F1804">
        <w:rPr>
          <w:rFonts w:cs="Arial"/>
          <w:szCs w:val="24"/>
        </w:rPr>
        <w:t xml:space="preserve">magnesium </w:t>
      </w:r>
      <w:r>
        <w:rPr>
          <w:rFonts w:cs="Arial"/>
          <w:szCs w:val="24"/>
        </w:rPr>
        <w:t xml:space="preserve">within the normal range at </w:t>
      </w:r>
      <w:r w:rsidRPr="008F1804">
        <w:rPr>
          <w:rFonts w:cs="Arial"/>
          <w:szCs w:val="24"/>
        </w:rPr>
        <w:t>screening/baseline</w:t>
      </w:r>
      <w:r>
        <w:rPr>
          <w:rFonts w:cs="Arial"/>
          <w:szCs w:val="24"/>
        </w:rPr>
        <w:t xml:space="preserve">) </w:t>
      </w:r>
      <w:r w:rsidRPr="008F1804">
        <w:rPr>
          <w:rFonts w:cs="Arial"/>
          <w:szCs w:val="24"/>
        </w:rPr>
        <w:t>randomized to the placebo group</w:t>
      </w:r>
      <w:r>
        <w:rPr>
          <w:rFonts w:cs="Arial"/>
          <w:szCs w:val="24"/>
        </w:rPr>
        <w:t>,</w:t>
      </w:r>
      <w:r w:rsidRPr="008F180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</w:t>
      </w:r>
      <w:r w:rsidRPr="008F1804">
        <w:rPr>
          <w:rFonts w:cs="Arial"/>
          <w:szCs w:val="24"/>
        </w:rPr>
        <w:t xml:space="preserve"> in 2 patients </w:t>
      </w:r>
      <w:r>
        <w:rPr>
          <w:rFonts w:cs="Arial"/>
          <w:szCs w:val="24"/>
        </w:rPr>
        <w:t xml:space="preserve">with </w:t>
      </w:r>
      <w:r w:rsidRPr="008F1804">
        <w:rPr>
          <w:rFonts w:cs="Arial"/>
          <w:szCs w:val="24"/>
        </w:rPr>
        <w:t xml:space="preserve">HF receiving patiromer (both of whom had serum magnesium </w:t>
      </w:r>
      <w:r>
        <w:rPr>
          <w:rFonts w:cs="Arial"/>
          <w:szCs w:val="24"/>
        </w:rPr>
        <w:t>of</w:t>
      </w:r>
      <w:r w:rsidR="00E113D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0.58 mmol/L</w:t>
      </w:r>
      <w:r w:rsidRPr="008F1804">
        <w:rPr>
          <w:rFonts w:cs="Arial"/>
          <w:szCs w:val="24"/>
        </w:rPr>
        <w:t xml:space="preserve"> at screening or </w:t>
      </w:r>
      <w:r>
        <w:rPr>
          <w:rFonts w:cs="Arial"/>
          <w:szCs w:val="24"/>
        </w:rPr>
        <w:t>baseline</w:t>
      </w:r>
      <w:r w:rsidRPr="008F1804">
        <w:rPr>
          <w:rFonts w:cs="Arial"/>
          <w:szCs w:val="24"/>
        </w:rPr>
        <w:t xml:space="preserve">). At the follow-up visit, the patient </w:t>
      </w:r>
      <w:r>
        <w:rPr>
          <w:rFonts w:cs="Arial"/>
          <w:szCs w:val="24"/>
        </w:rPr>
        <w:t>on</w:t>
      </w:r>
      <w:r w:rsidRPr="008F1804">
        <w:rPr>
          <w:rFonts w:cs="Arial"/>
          <w:szCs w:val="24"/>
        </w:rPr>
        <w:t xml:space="preserve"> placebo had </w:t>
      </w:r>
      <w:r>
        <w:rPr>
          <w:rFonts w:cs="Arial"/>
          <w:szCs w:val="24"/>
        </w:rPr>
        <w:t xml:space="preserve">a </w:t>
      </w:r>
      <w:r w:rsidRPr="008F1804">
        <w:rPr>
          <w:rFonts w:cs="Arial"/>
          <w:szCs w:val="24"/>
        </w:rPr>
        <w:t xml:space="preserve">serum magnesium </w:t>
      </w:r>
      <w:r>
        <w:rPr>
          <w:rFonts w:cs="Arial"/>
          <w:szCs w:val="24"/>
        </w:rPr>
        <w:t>of 0.58 mmol/L</w:t>
      </w:r>
      <w:r w:rsidRPr="008F1804">
        <w:rPr>
          <w:rFonts w:cs="Arial"/>
          <w:szCs w:val="24"/>
        </w:rPr>
        <w:t xml:space="preserve">; serum magnesium was </w:t>
      </w:r>
      <w:r>
        <w:rPr>
          <w:rFonts w:cs="Arial"/>
          <w:szCs w:val="24"/>
        </w:rPr>
        <w:t>0.53 mmol/L</w:t>
      </w:r>
      <w:r w:rsidRPr="008F1804">
        <w:rPr>
          <w:rFonts w:cs="Arial"/>
          <w:szCs w:val="24"/>
        </w:rPr>
        <w:t xml:space="preserve"> in one patient who had been taking patiromer</w:t>
      </w:r>
      <w:r>
        <w:rPr>
          <w:rFonts w:cs="Arial"/>
          <w:szCs w:val="24"/>
        </w:rPr>
        <w:t xml:space="preserve"> (the other patient did not attend the follow-up visit)</w:t>
      </w:r>
      <w:r w:rsidRPr="008F1804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68E826A0" w14:textId="51189EB3" w:rsidR="000461EF" w:rsidRPr="00E97BBB" w:rsidRDefault="000461EF" w:rsidP="00E97BBB">
      <w:pPr>
        <w:autoSpaceDE w:val="0"/>
        <w:autoSpaceDN w:val="0"/>
        <w:adjustRightInd w:val="0"/>
        <w:spacing w:after="0"/>
        <w:ind w:firstLine="360"/>
        <w:rPr>
          <w:rFonts w:cs="Arial"/>
          <w:szCs w:val="24"/>
        </w:rPr>
        <w:sectPr w:rsidR="000461EF" w:rsidRPr="00E97BBB" w:rsidSect="00A0090B">
          <w:footnotePr>
            <w:numFmt w:val="lowerLetter"/>
            <w:numRestart w:val="eachPage"/>
          </w:footnote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Arial"/>
          <w:szCs w:val="24"/>
        </w:rPr>
        <w:t xml:space="preserve">One </w:t>
      </w:r>
      <w:r w:rsidRPr="00300111">
        <w:rPr>
          <w:rFonts w:cs="Arial"/>
          <w:szCs w:val="24"/>
        </w:rPr>
        <w:t xml:space="preserve">patient </w:t>
      </w:r>
      <w:r>
        <w:rPr>
          <w:rFonts w:cs="Arial"/>
          <w:szCs w:val="24"/>
        </w:rPr>
        <w:t>without HF in the patiromer group who had</w:t>
      </w:r>
      <w:r w:rsidRPr="00300111">
        <w:rPr>
          <w:rFonts w:cs="Arial"/>
          <w:szCs w:val="24"/>
        </w:rPr>
        <w:t xml:space="preserve"> serum magnesium in the normal range at baseline had an on-study value &lt;</w:t>
      </w:r>
      <w:r>
        <w:rPr>
          <w:rFonts w:cs="Arial"/>
          <w:szCs w:val="24"/>
        </w:rPr>
        <w:t>0.58 mmol/L</w:t>
      </w:r>
      <w:r w:rsidRPr="00300111">
        <w:rPr>
          <w:rFonts w:cs="Arial"/>
          <w:szCs w:val="24"/>
        </w:rPr>
        <w:t xml:space="preserve">; serum magnesium had returned to the normal range at the follow-up visit. </w:t>
      </w:r>
      <w:r>
        <w:rPr>
          <w:rFonts w:cs="Arial"/>
          <w:szCs w:val="24"/>
        </w:rPr>
        <w:t>Two patients without HF had AEs of hypomagnesaemia. One had a laboratory serum magnesium value equal to 0.58 mmol/L at the time of the AE (0.70 mmol/L at baseline, 0.74 mmol/L at follow-up). The other patient had 3 separate AEs of hypomagnesaemia, with lab values of 0.70 mmol/L at the time of each AE (0.82 mmol/L at baseline, 0.70 mmol/L at follow-up).</w:t>
      </w:r>
    </w:p>
    <w:p w14:paraId="2D1EA4BD" w14:textId="57690CC9" w:rsidR="000461EF" w:rsidRDefault="000461EF" w:rsidP="000461EF">
      <w:pPr>
        <w:pStyle w:val="Figures"/>
      </w:pPr>
      <w:bookmarkStart w:id="2" w:name="_Toc32332491"/>
      <w:r>
        <w:lastRenderedPageBreak/>
        <w:t xml:space="preserve">Supplemental Table 1. </w:t>
      </w:r>
      <w:r w:rsidRPr="00283718">
        <w:rPr>
          <w:b w:val="0"/>
        </w:rPr>
        <w:t xml:space="preserve">Reasons for </w:t>
      </w:r>
      <w:r w:rsidR="00A366FA">
        <w:rPr>
          <w:b w:val="0"/>
        </w:rPr>
        <w:t>e</w:t>
      </w:r>
      <w:r w:rsidR="00A366FA" w:rsidRPr="00283718">
        <w:rPr>
          <w:b w:val="0"/>
        </w:rPr>
        <w:t xml:space="preserve">arly </w:t>
      </w:r>
      <w:r w:rsidR="00A366FA">
        <w:rPr>
          <w:b w:val="0"/>
        </w:rPr>
        <w:t>d</w:t>
      </w:r>
      <w:r w:rsidR="00A366FA" w:rsidRPr="00283718">
        <w:rPr>
          <w:b w:val="0"/>
        </w:rPr>
        <w:t xml:space="preserve">iscontinuation </w:t>
      </w:r>
      <w:r w:rsidRPr="00283718">
        <w:rPr>
          <w:b w:val="0"/>
        </w:rPr>
        <w:t xml:space="preserve">of </w:t>
      </w:r>
      <w:r w:rsidR="00A366FA">
        <w:rPr>
          <w:b w:val="0"/>
        </w:rPr>
        <w:t>s</w:t>
      </w:r>
      <w:r w:rsidR="00A366FA" w:rsidRPr="00283718">
        <w:rPr>
          <w:b w:val="0"/>
        </w:rPr>
        <w:t xml:space="preserve">tudy </w:t>
      </w:r>
      <w:r w:rsidR="00A366FA">
        <w:rPr>
          <w:b w:val="0"/>
        </w:rPr>
        <w:t>t</w:t>
      </w:r>
      <w:r w:rsidR="00A366FA" w:rsidRPr="00283718">
        <w:rPr>
          <w:b w:val="0"/>
        </w:rPr>
        <w:t>reatment</w:t>
      </w:r>
      <w:r w:rsidRPr="00283718">
        <w:rPr>
          <w:b w:val="0"/>
        </w:rPr>
        <w:t>.</w:t>
      </w:r>
      <w:bookmarkEnd w:id="2"/>
    </w:p>
    <w:p w14:paraId="0BA2AD9F" w14:textId="77777777" w:rsidR="000461EF" w:rsidRDefault="000461EF" w:rsidP="000461EF">
      <w:pPr>
        <w:rPr>
          <w:rFonts w:cs="Arial"/>
          <w:sz w:val="16"/>
        </w:rPr>
      </w:pPr>
    </w:p>
    <w:tbl>
      <w:tblPr>
        <w:tblStyle w:val="Grilledutableau"/>
        <w:tblW w:w="14305" w:type="dxa"/>
        <w:tblLayout w:type="fixed"/>
        <w:tblCellMar>
          <w:left w:w="43" w:type="dxa"/>
          <w:right w:w="43" w:type="dxa"/>
        </w:tblCellMar>
        <w:tblLook w:val="0420" w:firstRow="1" w:lastRow="0" w:firstColumn="0" w:lastColumn="0" w:noHBand="0" w:noVBand="1"/>
      </w:tblPr>
      <w:tblGrid>
        <w:gridCol w:w="7285"/>
        <w:gridCol w:w="1170"/>
        <w:gridCol w:w="1170"/>
        <w:gridCol w:w="1170"/>
        <w:gridCol w:w="1170"/>
        <w:gridCol w:w="1170"/>
        <w:gridCol w:w="1170"/>
      </w:tblGrid>
      <w:tr w:rsidR="000461EF" w:rsidRPr="00E63C50" w14:paraId="6555D614" w14:textId="77777777" w:rsidTr="00C96C7B">
        <w:trPr>
          <w:trHeight w:val="392"/>
        </w:trPr>
        <w:tc>
          <w:tcPr>
            <w:tcW w:w="7285" w:type="dxa"/>
            <w:vMerge w:val="restart"/>
            <w:hideMark/>
          </w:tcPr>
          <w:p w14:paraId="7AEB60C2" w14:textId="77777777" w:rsidR="000461EF" w:rsidRPr="00E63C50" w:rsidRDefault="000461EF" w:rsidP="00A0090B">
            <w:pPr>
              <w:rPr>
                <w:rFonts w:eastAsia="MinionPro-Regular" w:cs="Arial"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vAlign w:val="center"/>
            <w:hideMark/>
          </w:tcPr>
          <w:p w14:paraId="32EBF4EE" w14:textId="40378C3C" w:rsidR="000461EF" w:rsidRPr="004848CF" w:rsidRDefault="000461EF" w:rsidP="00A0090B">
            <w:pPr>
              <w:jc w:val="center"/>
              <w:rPr>
                <w:rFonts w:eastAsia="MinionPro-Regular" w:cs="Arial"/>
                <w:b/>
                <w:bCs/>
                <w:sz w:val="22"/>
              </w:rPr>
            </w:pPr>
            <w:r w:rsidRPr="00E63C50">
              <w:rPr>
                <w:rFonts w:eastAsia="MinionPro-Regular" w:cs="Arial"/>
                <w:b/>
                <w:bCs/>
                <w:sz w:val="22"/>
                <w:szCs w:val="22"/>
              </w:rPr>
              <w:t>Patients With Heart Failure</w:t>
            </w:r>
          </w:p>
        </w:tc>
        <w:tc>
          <w:tcPr>
            <w:tcW w:w="3510" w:type="dxa"/>
            <w:gridSpan w:val="3"/>
            <w:vAlign w:val="center"/>
          </w:tcPr>
          <w:p w14:paraId="21200B15" w14:textId="77777777" w:rsidR="000461EF" w:rsidRPr="004848CF" w:rsidRDefault="000461EF" w:rsidP="00A0090B">
            <w:pPr>
              <w:jc w:val="center"/>
              <w:rPr>
                <w:rFonts w:eastAsia="MinionPro-Regular" w:cs="Arial"/>
                <w:b/>
                <w:bCs/>
                <w:sz w:val="22"/>
              </w:rPr>
            </w:pPr>
            <w:r w:rsidRPr="004848CF">
              <w:rPr>
                <w:rFonts w:eastAsia="MinionPro-Regular" w:cs="Arial"/>
                <w:b/>
                <w:bCs/>
                <w:sz w:val="22"/>
              </w:rPr>
              <w:t>Patients With</w:t>
            </w:r>
            <w:r>
              <w:rPr>
                <w:rFonts w:eastAsia="MinionPro-Regular" w:cs="Arial"/>
                <w:b/>
                <w:bCs/>
                <w:sz w:val="22"/>
              </w:rPr>
              <w:t>out</w:t>
            </w:r>
            <w:r w:rsidRPr="004848CF">
              <w:rPr>
                <w:rFonts w:eastAsia="MinionPro-Regular" w:cs="Arial"/>
                <w:b/>
                <w:bCs/>
                <w:sz w:val="22"/>
              </w:rPr>
              <w:t xml:space="preserve"> Heart Failure</w:t>
            </w:r>
          </w:p>
        </w:tc>
      </w:tr>
      <w:tr w:rsidR="000461EF" w:rsidRPr="00E63C50" w14:paraId="5AC09CE0" w14:textId="77777777" w:rsidTr="00C96C7B">
        <w:trPr>
          <w:trHeight w:val="1036"/>
        </w:trPr>
        <w:tc>
          <w:tcPr>
            <w:tcW w:w="7285" w:type="dxa"/>
            <w:vMerge/>
            <w:hideMark/>
          </w:tcPr>
          <w:p w14:paraId="2902B8F9" w14:textId="77777777" w:rsidR="000461EF" w:rsidRPr="00E63C50" w:rsidRDefault="000461EF" w:rsidP="00A0090B">
            <w:pPr>
              <w:rPr>
                <w:rFonts w:eastAsia="MinionPro-Regular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  <w:hideMark/>
          </w:tcPr>
          <w:p w14:paraId="687EFE06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sz w:val="22"/>
                <w:szCs w:val="22"/>
              </w:rPr>
              <w:t>SPIRO + PBO</w:t>
            </w:r>
          </w:p>
          <w:p w14:paraId="6AE416A7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(n=69)</w:t>
            </w:r>
          </w:p>
        </w:tc>
        <w:tc>
          <w:tcPr>
            <w:tcW w:w="1170" w:type="dxa"/>
            <w:vAlign w:val="center"/>
            <w:hideMark/>
          </w:tcPr>
          <w:p w14:paraId="4B45E2C7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sz w:val="22"/>
                <w:szCs w:val="22"/>
              </w:rPr>
              <w:t xml:space="preserve">SPIRO </w:t>
            </w:r>
            <w:r>
              <w:rPr>
                <w:rFonts w:eastAsia="MinionPro-Regular" w:cs="Arial"/>
                <w:sz w:val="22"/>
                <w:szCs w:val="22"/>
              </w:rPr>
              <w:br/>
              <w:t>+ PAT</w:t>
            </w:r>
          </w:p>
          <w:p w14:paraId="5319CB87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(n=63)</w:t>
            </w:r>
          </w:p>
        </w:tc>
        <w:tc>
          <w:tcPr>
            <w:tcW w:w="1170" w:type="dxa"/>
            <w:vAlign w:val="center"/>
          </w:tcPr>
          <w:p w14:paraId="1FA1CEB7" w14:textId="77777777" w:rsidR="000461EF" w:rsidRPr="00115546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9249D2">
              <w:rPr>
                <w:rFonts w:eastAsia="Calibri" w:cs="Arial"/>
                <w:color w:val="000000" w:themeColor="text1"/>
                <w:kern w:val="24"/>
                <w:sz w:val="22"/>
                <w:szCs w:val="22"/>
              </w:rPr>
              <w:t>Subgroup total (n=132)</w:t>
            </w:r>
          </w:p>
        </w:tc>
        <w:tc>
          <w:tcPr>
            <w:tcW w:w="1170" w:type="dxa"/>
            <w:vAlign w:val="center"/>
          </w:tcPr>
          <w:p w14:paraId="1D83FFB3" w14:textId="77777777" w:rsidR="000461EF" w:rsidRPr="009249D2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sz w:val="22"/>
                <w:szCs w:val="22"/>
              </w:rPr>
              <w:t xml:space="preserve">SPIRO </w:t>
            </w:r>
            <w:r>
              <w:rPr>
                <w:rFonts w:eastAsia="MinionPro-Regular" w:cs="Arial"/>
                <w:sz w:val="22"/>
                <w:szCs w:val="22"/>
              </w:rPr>
              <w:br/>
              <w:t>+ PBO</w:t>
            </w:r>
          </w:p>
          <w:p w14:paraId="6BF538DC" w14:textId="77777777" w:rsidR="000461EF" w:rsidRPr="00115546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9249D2">
              <w:rPr>
                <w:rFonts w:eastAsia="MinionPro-Regular" w:cs="Arial"/>
                <w:sz w:val="22"/>
                <w:szCs w:val="22"/>
              </w:rPr>
              <w:t>(n=79)</w:t>
            </w:r>
          </w:p>
        </w:tc>
        <w:tc>
          <w:tcPr>
            <w:tcW w:w="1170" w:type="dxa"/>
            <w:vAlign w:val="center"/>
          </w:tcPr>
          <w:p w14:paraId="39935106" w14:textId="77777777" w:rsidR="000461EF" w:rsidRPr="009249D2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sz w:val="22"/>
                <w:szCs w:val="22"/>
              </w:rPr>
              <w:t xml:space="preserve">SPIRO </w:t>
            </w:r>
            <w:r>
              <w:rPr>
                <w:rFonts w:eastAsia="MinionPro-Regular" w:cs="Arial"/>
                <w:sz w:val="22"/>
                <w:szCs w:val="22"/>
              </w:rPr>
              <w:br/>
              <w:t>+ PAT</w:t>
            </w:r>
          </w:p>
          <w:p w14:paraId="63982BD1" w14:textId="77777777" w:rsidR="000461EF" w:rsidRPr="00115546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9249D2">
              <w:rPr>
                <w:rFonts w:eastAsia="MinionPro-Regular" w:cs="Arial"/>
                <w:sz w:val="22"/>
                <w:szCs w:val="22"/>
              </w:rPr>
              <w:t>(n=84)</w:t>
            </w:r>
          </w:p>
        </w:tc>
        <w:tc>
          <w:tcPr>
            <w:tcW w:w="1170" w:type="dxa"/>
            <w:vAlign w:val="center"/>
          </w:tcPr>
          <w:p w14:paraId="5FD5EC8E" w14:textId="77777777" w:rsidR="000461EF" w:rsidRDefault="000461EF" w:rsidP="00A0090B">
            <w:pPr>
              <w:jc w:val="center"/>
              <w:rPr>
                <w:rFonts w:eastAsia="Calibri" w:cs="Arial"/>
                <w:color w:val="000000" w:themeColor="text1"/>
                <w:kern w:val="24"/>
                <w:sz w:val="22"/>
                <w:szCs w:val="22"/>
              </w:rPr>
            </w:pPr>
            <w:r w:rsidRPr="009249D2">
              <w:rPr>
                <w:rFonts w:eastAsia="Calibri" w:cs="Arial"/>
                <w:color w:val="000000" w:themeColor="text1"/>
                <w:kern w:val="24"/>
                <w:sz w:val="22"/>
                <w:szCs w:val="22"/>
              </w:rPr>
              <w:t xml:space="preserve">Subgroup </w:t>
            </w:r>
          </w:p>
          <w:p w14:paraId="2CE0F88D" w14:textId="77777777" w:rsidR="000461EF" w:rsidRDefault="000461EF" w:rsidP="00A0090B">
            <w:pPr>
              <w:jc w:val="center"/>
              <w:rPr>
                <w:rFonts w:eastAsia="Calibri" w:cs="Arial"/>
                <w:color w:val="000000" w:themeColor="text1"/>
                <w:kern w:val="24"/>
                <w:sz w:val="22"/>
                <w:szCs w:val="22"/>
              </w:rPr>
            </w:pPr>
            <w:r w:rsidRPr="009249D2">
              <w:rPr>
                <w:rFonts w:eastAsia="Calibri" w:cs="Arial"/>
                <w:color w:val="000000" w:themeColor="text1"/>
                <w:kern w:val="24"/>
                <w:sz w:val="22"/>
                <w:szCs w:val="22"/>
              </w:rPr>
              <w:t xml:space="preserve">total </w:t>
            </w:r>
          </w:p>
          <w:p w14:paraId="4DAC0174" w14:textId="77777777" w:rsidR="000461EF" w:rsidRPr="00115546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9249D2">
              <w:rPr>
                <w:rFonts w:eastAsia="Calibri" w:cs="Arial"/>
                <w:color w:val="000000" w:themeColor="text1"/>
                <w:kern w:val="24"/>
                <w:sz w:val="22"/>
                <w:szCs w:val="22"/>
              </w:rPr>
              <w:t>(n=163)</w:t>
            </w:r>
          </w:p>
        </w:tc>
      </w:tr>
      <w:tr w:rsidR="000461EF" w:rsidRPr="00E63C50" w14:paraId="09606FC5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2A4F2022" w14:textId="77777777" w:rsidR="000461EF" w:rsidRPr="00E63C50" w:rsidRDefault="000461EF" w:rsidP="004C7BA0">
            <w:pPr>
              <w:spacing w:before="40" w:after="40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cs="Arial"/>
                <w:sz w:val="22"/>
                <w:szCs w:val="22"/>
              </w:rPr>
              <w:t>Discontinued early from study treatment</w:t>
            </w:r>
          </w:p>
        </w:tc>
        <w:tc>
          <w:tcPr>
            <w:tcW w:w="1170" w:type="dxa"/>
            <w:vAlign w:val="bottom"/>
          </w:tcPr>
          <w:p w14:paraId="38907B43" w14:textId="5BF4447C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22 (32)</w:t>
            </w:r>
          </w:p>
        </w:tc>
        <w:tc>
          <w:tcPr>
            <w:tcW w:w="1170" w:type="dxa"/>
            <w:vAlign w:val="bottom"/>
          </w:tcPr>
          <w:p w14:paraId="19D59B0D" w14:textId="44F42D4D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10 (16)</w:t>
            </w:r>
          </w:p>
        </w:tc>
        <w:tc>
          <w:tcPr>
            <w:tcW w:w="1170" w:type="dxa"/>
            <w:vAlign w:val="bottom"/>
          </w:tcPr>
          <w:p w14:paraId="32A9EFCE" w14:textId="667ABE29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249D2">
              <w:rPr>
                <w:color w:val="000000"/>
                <w:sz w:val="22"/>
                <w:szCs w:val="22"/>
              </w:rPr>
              <w:t>32 (24)</w:t>
            </w:r>
          </w:p>
        </w:tc>
        <w:tc>
          <w:tcPr>
            <w:tcW w:w="1170" w:type="dxa"/>
            <w:vAlign w:val="bottom"/>
          </w:tcPr>
          <w:p w14:paraId="3C618083" w14:textId="0DDE06E9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249D2">
              <w:rPr>
                <w:color w:val="000000"/>
                <w:sz w:val="22"/>
                <w:szCs w:val="22"/>
              </w:rPr>
              <w:t>28 (35)</w:t>
            </w:r>
          </w:p>
        </w:tc>
        <w:tc>
          <w:tcPr>
            <w:tcW w:w="1170" w:type="dxa"/>
            <w:vAlign w:val="bottom"/>
          </w:tcPr>
          <w:p w14:paraId="038BF0CB" w14:textId="19BBCE39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249D2">
              <w:rPr>
                <w:color w:val="000000"/>
                <w:sz w:val="22"/>
                <w:szCs w:val="22"/>
              </w:rPr>
              <w:t>11 (13)</w:t>
            </w:r>
          </w:p>
        </w:tc>
        <w:tc>
          <w:tcPr>
            <w:tcW w:w="1170" w:type="dxa"/>
            <w:vAlign w:val="bottom"/>
          </w:tcPr>
          <w:p w14:paraId="2AA14F00" w14:textId="54E30F50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249D2">
              <w:rPr>
                <w:color w:val="000000"/>
                <w:sz w:val="22"/>
                <w:szCs w:val="22"/>
              </w:rPr>
              <w:t>39 (24)</w:t>
            </w:r>
          </w:p>
        </w:tc>
      </w:tr>
      <w:tr w:rsidR="000461EF" w:rsidRPr="00E63C50" w14:paraId="5D8B7615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53AC97F4" w14:textId="77777777" w:rsidR="000461EF" w:rsidRPr="003222B7" w:rsidRDefault="000461EF" w:rsidP="004C7BA0">
            <w:pPr>
              <w:spacing w:before="40" w:after="40"/>
              <w:ind w:left="376"/>
              <w:rPr>
                <w:rFonts w:cs="Arial"/>
                <w:sz w:val="22"/>
                <w:szCs w:val="22"/>
                <w:lang w:val="en-GB"/>
              </w:rPr>
            </w:pPr>
            <w:r w:rsidRPr="003222B7">
              <w:rPr>
                <w:rFonts w:cs="Arial"/>
              </w:rPr>
              <w:t xml:space="preserve">Met 1 of 3 </w:t>
            </w:r>
            <w:r w:rsidRPr="003222B7">
              <w:rPr>
                <w:rFonts w:cs="Arial"/>
                <w:lang w:val="en-GB"/>
              </w:rPr>
              <w:t>protocol-specified withdrawal criteria* for high serum potassium:</w:t>
            </w:r>
          </w:p>
        </w:tc>
        <w:tc>
          <w:tcPr>
            <w:tcW w:w="1170" w:type="dxa"/>
            <w:vAlign w:val="bottom"/>
          </w:tcPr>
          <w:p w14:paraId="1F4E5F1C" w14:textId="25CF4927" w:rsidR="000461EF" w:rsidRPr="003222B7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</w:rPr>
            </w:pPr>
            <w:r w:rsidRPr="003222B7">
              <w:rPr>
                <w:rFonts w:eastAsia="MinionPro-Regular" w:cs="Arial"/>
              </w:rPr>
              <w:t>16 (23)</w:t>
            </w:r>
          </w:p>
        </w:tc>
        <w:tc>
          <w:tcPr>
            <w:tcW w:w="1170" w:type="dxa"/>
            <w:vAlign w:val="bottom"/>
          </w:tcPr>
          <w:p w14:paraId="1CA36521" w14:textId="1C3635E3" w:rsidR="000461EF" w:rsidRPr="003222B7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</w:rPr>
            </w:pPr>
            <w:r w:rsidRPr="003222B7">
              <w:rPr>
                <w:rFonts w:eastAsia="MinionPro-Regular" w:cs="Arial"/>
              </w:rPr>
              <w:t>7 (11)</w:t>
            </w:r>
          </w:p>
        </w:tc>
        <w:tc>
          <w:tcPr>
            <w:tcW w:w="1170" w:type="dxa"/>
            <w:vAlign w:val="bottom"/>
          </w:tcPr>
          <w:p w14:paraId="436B600E" w14:textId="66BDFB56" w:rsidR="000461EF" w:rsidRPr="003222B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222B7">
              <w:rPr>
                <w:rFonts w:cs="Arial"/>
              </w:rPr>
              <w:t>23 (17)</w:t>
            </w:r>
          </w:p>
        </w:tc>
        <w:tc>
          <w:tcPr>
            <w:tcW w:w="1170" w:type="dxa"/>
            <w:vAlign w:val="bottom"/>
          </w:tcPr>
          <w:p w14:paraId="0950D45A" w14:textId="21600316" w:rsidR="000461EF" w:rsidRPr="003222B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222B7">
              <w:rPr>
                <w:rFonts w:cs="Arial"/>
              </w:rPr>
              <w:t>18 (23)</w:t>
            </w:r>
          </w:p>
        </w:tc>
        <w:tc>
          <w:tcPr>
            <w:tcW w:w="1170" w:type="dxa"/>
            <w:vAlign w:val="bottom"/>
          </w:tcPr>
          <w:p w14:paraId="7CEF3D4F" w14:textId="7B632B98" w:rsidR="000461EF" w:rsidRPr="003222B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222B7">
              <w:rPr>
                <w:rFonts w:cs="Arial"/>
              </w:rPr>
              <w:t>3 (4)</w:t>
            </w:r>
          </w:p>
        </w:tc>
        <w:tc>
          <w:tcPr>
            <w:tcW w:w="1170" w:type="dxa"/>
            <w:vAlign w:val="bottom"/>
          </w:tcPr>
          <w:p w14:paraId="010FFDE2" w14:textId="268C66CC" w:rsidR="000461EF" w:rsidRPr="003222B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222B7">
              <w:rPr>
                <w:rFonts w:cs="Arial"/>
              </w:rPr>
              <w:t>21 (13)</w:t>
            </w:r>
          </w:p>
        </w:tc>
      </w:tr>
      <w:tr w:rsidR="000461EF" w:rsidRPr="00E63C50" w14:paraId="438B2128" w14:textId="77777777" w:rsidTr="00C96C7B">
        <w:trPr>
          <w:trHeight w:val="576"/>
        </w:trPr>
        <w:tc>
          <w:tcPr>
            <w:tcW w:w="7285" w:type="dxa"/>
            <w:vAlign w:val="bottom"/>
          </w:tcPr>
          <w:p w14:paraId="4A3DD933" w14:textId="77777777" w:rsidR="000461EF" w:rsidRPr="00E63C50" w:rsidRDefault="000461EF" w:rsidP="004C7BA0">
            <w:pPr>
              <w:tabs>
                <w:tab w:val="left" w:pos="944"/>
              </w:tabs>
              <w:spacing w:before="40" w:after="40"/>
              <w:ind w:left="943" w:hanging="288"/>
              <w:rPr>
                <w:rFonts w:cs="Arial"/>
                <w:sz w:val="22"/>
                <w:lang w:val="en-GB"/>
              </w:rPr>
            </w:pPr>
            <w:r w:rsidRPr="00DE538D">
              <w:rPr>
                <w:rFonts w:cs="Arial"/>
                <w:sz w:val="22"/>
                <w:lang w:val="en-GB"/>
              </w:rPr>
              <w:t xml:space="preserve">1) </w:t>
            </w:r>
            <w:r w:rsidRPr="00DE538D">
              <w:rPr>
                <w:rFonts w:cs="Arial"/>
                <w:sz w:val="22"/>
              </w:rPr>
              <w:t xml:space="preserve">Patiromer/placebo dose = max, </w:t>
            </w:r>
            <w:r>
              <w:rPr>
                <w:rFonts w:cs="Arial"/>
                <w:sz w:val="22"/>
              </w:rPr>
              <w:br/>
            </w:r>
            <w:r w:rsidRPr="00DE538D">
              <w:rPr>
                <w:rFonts w:cs="Arial"/>
                <w:sz w:val="22"/>
              </w:rPr>
              <w:t>confirmed* potassium ≥ 5.5 and &lt; 6.0</w:t>
            </w:r>
          </w:p>
        </w:tc>
        <w:tc>
          <w:tcPr>
            <w:tcW w:w="1170" w:type="dxa"/>
            <w:vAlign w:val="bottom"/>
          </w:tcPr>
          <w:p w14:paraId="41C2491A" w14:textId="73506E42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</w:rPr>
            </w:pPr>
            <w:r w:rsidRPr="001E16AF">
              <w:rPr>
                <w:rFonts w:eastAsia="MinionPro-Regular" w:cs="Arial"/>
                <w:sz w:val="22"/>
                <w:szCs w:val="22"/>
              </w:rPr>
              <w:t>7 (10)</w:t>
            </w:r>
          </w:p>
        </w:tc>
        <w:tc>
          <w:tcPr>
            <w:tcW w:w="1170" w:type="dxa"/>
            <w:vAlign w:val="bottom"/>
          </w:tcPr>
          <w:p w14:paraId="557B4089" w14:textId="6FA2C51F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</w:rPr>
            </w:pPr>
            <w:r w:rsidRPr="00167DED">
              <w:rPr>
                <w:rFonts w:eastAsia="MinionPro-Regular" w:cs="Arial"/>
                <w:sz w:val="22"/>
                <w:szCs w:val="22"/>
              </w:rPr>
              <w:t>3 (5)</w:t>
            </w:r>
          </w:p>
        </w:tc>
        <w:tc>
          <w:tcPr>
            <w:tcW w:w="1170" w:type="dxa"/>
            <w:vAlign w:val="bottom"/>
          </w:tcPr>
          <w:p w14:paraId="7467BCA8" w14:textId="52712CDF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C73BB6">
              <w:rPr>
                <w:rFonts w:cs="Arial"/>
                <w:sz w:val="22"/>
                <w:szCs w:val="22"/>
              </w:rPr>
              <w:t>10 (8)</w:t>
            </w:r>
          </w:p>
        </w:tc>
        <w:tc>
          <w:tcPr>
            <w:tcW w:w="1170" w:type="dxa"/>
            <w:vAlign w:val="bottom"/>
          </w:tcPr>
          <w:p w14:paraId="4ABD60A8" w14:textId="5AD35588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546C03">
              <w:rPr>
                <w:rFonts w:cs="Arial"/>
                <w:sz w:val="22"/>
                <w:szCs w:val="22"/>
              </w:rPr>
              <w:t>14 (18)</w:t>
            </w:r>
          </w:p>
        </w:tc>
        <w:tc>
          <w:tcPr>
            <w:tcW w:w="1170" w:type="dxa"/>
            <w:vAlign w:val="bottom"/>
          </w:tcPr>
          <w:p w14:paraId="5E31EEF6" w14:textId="77777777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A82EDD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3CA93CB8" w14:textId="7885192C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F7EFD">
              <w:rPr>
                <w:rFonts w:cs="Arial"/>
                <w:sz w:val="22"/>
                <w:szCs w:val="22"/>
              </w:rPr>
              <w:t>14 (9)</w:t>
            </w:r>
          </w:p>
        </w:tc>
      </w:tr>
      <w:tr w:rsidR="000461EF" w:rsidRPr="00E63C50" w14:paraId="645235F6" w14:textId="77777777" w:rsidTr="00C96C7B">
        <w:trPr>
          <w:trHeight w:val="576"/>
        </w:trPr>
        <w:tc>
          <w:tcPr>
            <w:tcW w:w="7285" w:type="dxa"/>
            <w:vAlign w:val="bottom"/>
          </w:tcPr>
          <w:p w14:paraId="4B83CBDB" w14:textId="6C0A5E84" w:rsidR="000461EF" w:rsidRPr="00E63C50" w:rsidRDefault="000461EF" w:rsidP="004C7BA0">
            <w:pPr>
              <w:tabs>
                <w:tab w:val="left" w:pos="430"/>
              </w:tabs>
              <w:spacing w:before="40" w:after="40"/>
              <w:ind w:left="943" w:hanging="288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</w:rPr>
              <w:t xml:space="preserve">2) </w:t>
            </w:r>
            <w:r w:rsidRPr="00DE538D">
              <w:rPr>
                <w:rFonts w:cs="Arial"/>
                <w:sz w:val="22"/>
              </w:rPr>
              <w:t xml:space="preserve">Patiromer/placebo dose increased by </w:t>
            </w:r>
            <w:r w:rsidR="00904BC2">
              <w:rPr>
                <w:rFonts w:cs="Arial"/>
                <w:sz w:val="22"/>
              </w:rPr>
              <w:t>8.4 g</w:t>
            </w:r>
            <w:r w:rsidRPr="00DE538D">
              <w:rPr>
                <w:rFonts w:cs="Arial"/>
                <w:sz w:val="22"/>
              </w:rPr>
              <w:t xml:space="preserve">/day, </w:t>
            </w:r>
            <w:r>
              <w:rPr>
                <w:rFonts w:cs="Arial"/>
                <w:sz w:val="22"/>
              </w:rPr>
              <w:br/>
            </w:r>
            <w:r w:rsidRPr="00DE538D">
              <w:rPr>
                <w:rFonts w:cs="Arial"/>
                <w:sz w:val="22"/>
              </w:rPr>
              <w:t>confirmed</w:t>
            </w:r>
            <w:r w:rsidRPr="00DE538D">
              <w:rPr>
                <w:rFonts w:cs="Arial"/>
                <w:sz w:val="22"/>
                <w:vertAlign w:val="superscript"/>
              </w:rPr>
              <w:t>†</w:t>
            </w:r>
            <w:r w:rsidRPr="00DE538D">
              <w:rPr>
                <w:rFonts w:cs="Arial"/>
                <w:sz w:val="22"/>
              </w:rPr>
              <w:t xml:space="preserve"> potassium ≥5.5 and &lt;6.0</w:t>
            </w:r>
          </w:p>
        </w:tc>
        <w:tc>
          <w:tcPr>
            <w:tcW w:w="1170" w:type="dxa"/>
            <w:vAlign w:val="bottom"/>
          </w:tcPr>
          <w:p w14:paraId="1A305F9C" w14:textId="252393DD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</w:rPr>
            </w:pPr>
            <w:r w:rsidRPr="001E16AF">
              <w:rPr>
                <w:rFonts w:eastAsia="MinionPro-Regular" w:cs="Arial"/>
                <w:sz w:val="22"/>
                <w:szCs w:val="22"/>
              </w:rPr>
              <w:t>4 (6)</w:t>
            </w:r>
          </w:p>
        </w:tc>
        <w:tc>
          <w:tcPr>
            <w:tcW w:w="1170" w:type="dxa"/>
            <w:vAlign w:val="bottom"/>
          </w:tcPr>
          <w:p w14:paraId="4CD0AF59" w14:textId="60EC47E5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</w:rPr>
            </w:pPr>
            <w:r w:rsidRPr="00167DED">
              <w:rPr>
                <w:rFonts w:eastAsia="MinionPro-Regular" w:cs="Arial"/>
                <w:sz w:val="22"/>
                <w:szCs w:val="22"/>
              </w:rPr>
              <w:t>4 (6)</w:t>
            </w:r>
          </w:p>
        </w:tc>
        <w:tc>
          <w:tcPr>
            <w:tcW w:w="1170" w:type="dxa"/>
            <w:vAlign w:val="bottom"/>
          </w:tcPr>
          <w:p w14:paraId="7CE3D4B3" w14:textId="638F0863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C73BB6">
              <w:rPr>
                <w:rFonts w:cs="Arial"/>
                <w:sz w:val="22"/>
                <w:szCs w:val="22"/>
              </w:rPr>
              <w:t>8 (6)</w:t>
            </w:r>
          </w:p>
        </w:tc>
        <w:tc>
          <w:tcPr>
            <w:tcW w:w="1170" w:type="dxa"/>
            <w:vAlign w:val="bottom"/>
          </w:tcPr>
          <w:p w14:paraId="4B63E265" w14:textId="0141A2E6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546C03">
              <w:rPr>
                <w:rFonts w:cs="Arial"/>
                <w:sz w:val="22"/>
                <w:szCs w:val="22"/>
              </w:rPr>
              <w:t>3 (4)</w:t>
            </w:r>
          </w:p>
        </w:tc>
        <w:tc>
          <w:tcPr>
            <w:tcW w:w="1170" w:type="dxa"/>
            <w:vAlign w:val="bottom"/>
          </w:tcPr>
          <w:p w14:paraId="51F110D6" w14:textId="4E12F85E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A82EDD">
              <w:rPr>
                <w:rFonts w:cs="Arial"/>
                <w:sz w:val="22"/>
                <w:szCs w:val="22"/>
              </w:rPr>
              <w:t>2 (2)</w:t>
            </w:r>
          </w:p>
        </w:tc>
        <w:tc>
          <w:tcPr>
            <w:tcW w:w="1170" w:type="dxa"/>
            <w:vAlign w:val="bottom"/>
          </w:tcPr>
          <w:p w14:paraId="281FBAE9" w14:textId="48CF0B6F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F7EFD">
              <w:rPr>
                <w:rFonts w:cs="Arial"/>
                <w:sz w:val="22"/>
                <w:szCs w:val="22"/>
              </w:rPr>
              <w:t>5 (3)</w:t>
            </w:r>
          </w:p>
        </w:tc>
      </w:tr>
      <w:tr w:rsidR="000461EF" w:rsidRPr="00E63C50" w14:paraId="466A344D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40ED1CD9" w14:textId="77777777" w:rsidR="000461EF" w:rsidRPr="00E63C50" w:rsidRDefault="000461EF" w:rsidP="004C7BA0">
            <w:pPr>
              <w:spacing w:before="40" w:after="40"/>
              <w:ind w:left="673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 xml:space="preserve">3) </w:t>
            </w:r>
            <w:r w:rsidRPr="00E63C50">
              <w:rPr>
                <w:rFonts w:cs="Arial"/>
                <w:sz w:val="22"/>
                <w:szCs w:val="22"/>
              </w:rPr>
              <w:t>Confirmed* potassium ≥ 6.0</w:t>
            </w:r>
          </w:p>
        </w:tc>
        <w:tc>
          <w:tcPr>
            <w:tcW w:w="1170" w:type="dxa"/>
            <w:vAlign w:val="bottom"/>
          </w:tcPr>
          <w:p w14:paraId="63787BAF" w14:textId="49F68C19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</w:rPr>
            </w:pPr>
            <w:r w:rsidRPr="001E16AF">
              <w:rPr>
                <w:rFonts w:eastAsia="MinionPro-Regular" w:cs="Arial"/>
                <w:sz w:val="22"/>
                <w:szCs w:val="22"/>
              </w:rPr>
              <w:t>5 (7)</w:t>
            </w:r>
          </w:p>
        </w:tc>
        <w:tc>
          <w:tcPr>
            <w:tcW w:w="1170" w:type="dxa"/>
            <w:vAlign w:val="bottom"/>
          </w:tcPr>
          <w:p w14:paraId="202DD406" w14:textId="77777777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</w:rPr>
            </w:pPr>
            <w:r w:rsidRPr="00167DED">
              <w:rPr>
                <w:rFonts w:eastAsia="MinionPro-Regular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192BAFCA" w14:textId="12696EB5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C73BB6">
              <w:rPr>
                <w:rFonts w:cs="Arial"/>
                <w:sz w:val="22"/>
                <w:szCs w:val="22"/>
              </w:rPr>
              <w:t>5 (4)</w:t>
            </w:r>
          </w:p>
        </w:tc>
        <w:tc>
          <w:tcPr>
            <w:tcW w:w="1170" w:type="dxa"/>
            <w:vAlign w:val="bottom"/>
          </w:tcPr>
          <w:p w14:paraId="3C03A868" w14:textId="71C8BE23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546C03">
              <w:rPr>
                <w:rFonts w:cs="Arial"/>
                <w:sz w:val="22"/>
                <w:szCs w:val="22"/>
              </w:rPr>
              <w:t>1 (1)</w:t>
            </w:r>
          </w:p>
        </w:tc>
        <w:tc>
          <w:tcPr>
            <w:tcW w:w="1170" w:type="dxa"/>
            <w:vAlign w:val="bottom"/>
          </w:tcPr>
          <w:p w14:paraId="73607751" w14:textId="3D33413F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A82EDD">
              <w:rPr>
                <w:rFonts w:cs="Arial"/>
                <w:sz w:val="22"/>
                <w:szCs w:val="22"/>
              </w:rPr>
              <w:t>1 (1)</w:t>
            </w:r>
          </w:p>
        </w:tc>
        <w:tc>
          <w:tcPr>
            <w:tcW w:w="1170" w:type="dxa"/>
            <w:vAlign w:val="bottom"/>
          </w:tcPr>
          <w:p w14:paraId="56CE60F3" w14:textId="725AE387" w:rsidR="000461EF" w:rsidRPr="009F3A87" w:rsidRDefault="000461EF" w:rsidP="004C7BA0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F7EFD">
              <w:rPr>
                <w:rFonts w:cs="Arial"/>
                <w:sz w:val="22"/>
                <w:szCs w:val="22"/>
              </w:rPr>
              <w:t>2 (1)</w:t>
            </w:r>
          </w:p>
        </w:tc>
      </w:tr>
      <w:tr w:rsidR="000461EF" w:rsidRPr="00E63C50" w14:paraId="4C7AF287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736548A2" w14:textId="77777777" w:rsidR="000461EF" w:rsidRPr="00E63C50" w:rsidRDefault="000461EF" w:rsidP="004C7BA0">
            <w:pPr>
              <w:spacing w:before="40" w:after="40"/>
              <w:ind w:left="403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cs="Arial"/>
                <w:sz w:val="22"/>
                <w:szCs w:val="22"/>
                <w:lang w:val="en-GB"/>
              </w:rPr>
              <w:t>Had protocol-defined symptomatic hypotension</w:t>
            </w:r>
            <w:r w:rsidRPr="00E63C50">
              <w:rPr>
                <w:rFonts w:cs="Arial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170" w:type="dxa"/>
            <w:vAlign w:val="bottom"/>
          </w:tcPr>
          <w:p w14:paraId="0FA066D1" w14:textId="77777777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17950C10" w14:textId="23D7A37D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1 (2)</w:t>
            </w:r>
          </w:p>
        </w:tc>
        <w:tc>
          <w:tcPr>
            <w:tcW w:w="1170" w:type="dxa"/>
            <w:vAlign w:val="bottom"/>
          </w:tcPr>
          <w:p w14:paraId="4BFC74C3" w14:textId="22A7A630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(0.8)</w:t>
            </w:r>
          </w:p>
        </w:tc>
        <w:tc>
          <w:tcPr>
            <w:tcW w:w="1170" w:type="dxa"/>
            <w:vAlign w:val="bottom"/>
          </w:tcPr>
          <w:p w14:paraId="2F184A76" w14:textId="149F469F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F3A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51ED60BD" w14:textId="3D650AAB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F3A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1AA524A1" w14:textId="685711D8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(3)</w:t>
            </w:r>
          </w:p>
        </w:tc>
      </w:tr>
      <w:tr w:rsidR="000461EF" w:rsidRPr="00E63C50" w14:paraId="3418A042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23B70E2B" w14:textId="77777777" w:rsidR="000461EF" w:rsidRPr="00E63C50" w:rsidRDefault="000461EF" w:rsidP="004C7BA0">
            <w:pPr>
              <w:spacing w:before="40" w:after="40"/>
              <w:ind w:left="403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cs="Arial"/>
                <w:sz w:val="22"/>
                <w:szCs w:val="22"/>
                <w:lang w:val="en-GB"/>
              </w:rPr>
              <w:t>Had protocol-defined decline in eGFR</w:t>
            </w:r>
            <w:r w:rsidRPr="00E63C50">
              <w:rPr>
                <w:rFonts w:cs="Arial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vAlign w:val="bottom"/>
          </w:tcPr>
          <w:p w14:paraId="40A75B64" w14:textId="6F546F7F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2 (3)</w:t>
            </w:r>
          </w:p>
        </w:tc>
        <w:tc>
          <w:tcPr>
            <w:tcW w:w="1170" w:type="dxa"/>
            <w:vAlign w:val="bottom"/>
          </w:tcPr>
          <w:p w14:paraId="6F69E803" w14:textId="154647C9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2 (3)</w:t>
            </w:r>
          </w:p>
        </w:tc>
        <w:tc>
          <w:tcPr>
            <w:tcW w:w="1170" w:type="dxa"/>
            <w:vAlign w:val="bottom"/>
          </w:tcPr>
          <w:p w14:paraId="4CF6AF61" w14:textId="443CAC2E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170" w:type="dxa"/>
            <w:vAlign w:val="bottom"/>
          </w:tcPr>
          <w:p w14:paraId="2EB2F27B" w14:textId="66A64975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F3A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220D3526" w14:textId="145D0B29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170" w:type="dxa"/>
            <w:vAlign w:val="bottom"/>
          </w:tcPr>
          <w:p w14:paraId="6FBCABD3" w14:textId="5081EED2" w:rsidR="000461EF" w:rsidRPr="009249D2" w:rsidRDefault="000461EF" w:rsidP="004C7BA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F3A87">
              <w:rPr>
                <w:color w:val="000000"/>
                <w:sz w:val="22"/>
                <w:szCs w:val="22"/>
              </w:rPr>
              <w:t>)</w:t>
            </w:r>
          </w:p>
        </w:tc>
      </w:tr>
      <w:tr w:rsidR="000461EF" w:rsidRPr="00E63C50" w14:paraId="09B1E65D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33C150B5" w14:textId="11876244" w:rsidR="000461EF" w:rsidRPr="005149BD" w:rsidRDefault="005149BD" w:rsidP="004C7BA0">
            <w:pPr>
              <w:spacing w:before="40" w:after="40"/>
              <w:ind w:left="403" w:hanging="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1170" w:type="dxa"/>
            <w:vAlign w:val="bottom"/>
          </w:tcPr>
          <w:p w14:paraId="01CDB53D" w14:textId="013C1D0E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5 (7</w:t>
            </w:r>
            <w:r w:rsidR="005149BD"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71A7A296" w14:textId="48D849AA" w:rsidR="000461EF" w:rsidRPr="00E63C50" w:rsidRDefault="000461EF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2 (3</w:t>
            </w:r>
            <w:r w:rsidR="005149BD"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23C75A12" w14:textId="5713AA6D" w:rsidR="000461EF" w:rsidRPr="005149BD" w:rsidRDefault="000461EF" w:rsidP="004C7BA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(5</w:t>
            </w:r>
            <w:r w:rsidR="005149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446C86F3" w14:textId="02082AE2" w:rsidR="000461EF" w:rsidRPr="005149BD" w:rsidRDefault="000461EF" w:rsidP="004C7BA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8</w:t>
            </w:r>
            <w:r w:rsidR="005149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75F0B66E" w14:textId="2954F357" w:rsidR="000461EF" w:rsidRPr="005149BD" w:rsidRDefault="000461EF" w:rsidP="004C7BA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4 (</w:t>
            </w:r>
            <w:r>
              <w:rPr>
                <w:color w:val="000000"/>
                <w:sz w:val="22"/>
                <w:szCs w:val="22"/>
              </w:rPr>
              <w:t>5</w:t>
            </w:r>
            <w:r w:rsidR="005149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25A0177D" w14:textId="21B40DE5" w:rsidR="000461EF" w:rsidRPr="005149BD" w:rsidRDefault="000461EF" w:rsidP="004C7BA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10 (6</w:t>
            </w:r>
            <w:r w:rsidR="005149BD">
              <w:rPr>
                <w:color w:val="000000"/>
                <w:sz w:val="22"/>
                <w:szCs w:val="22"/>
              </w:rPr>
              <w:t>)</w:t>
            </w:r>
          </w:p>
        </w:tc>
      </w:tr>
      <w:tr w:rsidR="005149BD" w:rsidRPr="00E63C50" w14:paraId="0404DB39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0ACD6E3D" w14:textId="11A9A2AB" w:rsidR="005149BD" w:rsidRPr="005149BD" w:rsidRDefault="005149BD" w:rsidP="004C7BA0">
            <w:pPr>
              <w:tabs>
                <w:tab w:val="left" w:pos="720"/>
              </w:tabs>
              <w:spacing w:before="40" w:after="40"/>
              <w:ind w:left="420" w:firstLine="25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Adverse event</w:t>
            </w:r>
          </w:p>
        </w:tc>
        <w:tc>
          <w:tcPr>
            <w:tcW w:w="1170" w:type="dxa"/>
            <w:vAlign w:val="bottom"/>
          </w:tcPr>
          <w:p w14:paraId="060AD475" w14:textId="2F611273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3 (4</w:t>
            </w:r>
            <w:r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68854C1E" w14:textId="3283AA10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1 (2</w:t>
            </w:r>
            <w:r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5CC5FCE7" w14:textId="211C4BA4" w:rsidR="005149BD" w:rsidRPr="005149BD" w:rsidRDefault="005149BD" w:rsidP="004C7BA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3A87">
              <w:rPr>
                <w:color w:val="000000"/>
                <w:sz w:val="22"/>
                <w:szCs w:val="22"/>
              </w:rPr>
              <w:t>(3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32841A3D" w14:textId="054C581F" w:rsidR="005149BD" w:rsidRPr="005149BD" w:rsidRDefault="005149BD" w:rsidP="004C7BA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2 (3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10EF545B" w14:textId="16054266" w:rsidR="005149BD" w:rsidRPr="005149BD" w:rsidRDefault="005149BD" w:rsidP="004C7BA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2 (</w:t>
            </w:r>
            <w:r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170" w:type="dxa"/>
            <w:vAlign w:val="bottom"/>
          </w:tcPr>
          <w:p w14:paraId="4883D165" w14:textId="17C3513E" w:rsidR="005149BD" w:rsidRPr="005149BD" w:rsidRDefault="005149BD" w:rsidP="004C7BA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4 (3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149BD" w:rsidRPr="00E63C50" w14:paraId="20259465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152AAF64" w14:textId="03EAC261" w:rsidR="005149BD" w:rsidRPr="005149BD" w:rsidRDefault="005149BD" w:rsidP="004C7BA0">
            <w:pPr>
              <w:tabs>
                <w:tab w:val="left" w:pos="720"/>
              </w:tabs>
              <w:spacing w:before="40" w:after="40"/>
              <w:ind w:left="420" w:firstLine="25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Patient withdrawal</w:t>
            </w:r>
          </w:p>
        </w:tc>
        <w:tc>
          <w:tcPr>
            <w:tcW w:w="1170" w:type="dxa"/>
            <w:vAlign w:val="bottom"/>
          </w:tcPr>
          <w:p w14:paraId="219740EF" w14:textId="18B5D7CD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2 (3</w:t>
            </w:r>
            <w:r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42A2CDBE" w14:textId="7D62328A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7ABBBF59" w14:textId="4310459D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9249D2">
              <w:rPr>
                <w:rFonts w:eastAsia="MinionPro-Regular" w:cs="Arial"/>
                <w:sz w:val="22"/>
                <w:szCs w:val="22"/>
              </w:rPr>
              <w:t>2 (2</w:t>
            </w:r>
            <w:r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0FA8A48F" w14:textId="356B2E29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9249D2">
              <w:rPr>
                <w:rFonts w:eastAsia="MinionPro-Regular" w:cs="Arial"/>
                <w:sz w:val="22"/>
                <w:szCs w:val="22"/>
              </w:rPr>
              <w:t>3 (4</w:t>
            </w:r>
            <w:r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53BDB2BA" w14:textId="056C958B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9249D2">
              <w:rPr>
                <w:rFonts w:eastAsia="MinionPro-Regular" w:cs="Arial"/>
                <w:sz w:val="22"/>
                <w:szCs w:val="22"/>
              </w:rPr>
              <w:t>1 (1</w:t>
            </w:r>
            <w:r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2F7E6CED" w14:textId="35C41AD5" w:rsidR="005149BD" w:rsidRPr="005149BD" w:rsidRDefault="005149BD" w:rsidP="004C7BA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9F3A87">
              <w:rPr>
                <w:color w:val="000000"/>
                <w:sz w:val="22"/>
                <w:szCs w:val="22"/>
              </w:rPr>
              <w:t>4 (3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149BD" w:rsidRPr="00E63C50" w14:paraId="0B5303B6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766A560F" w14:textId="056F3204" w:rsidR="005149BD" w:rsidRPr="005149BD" w:rsidRDefault="005149BD" w:rsidP="004C7BA0">
            <w:pPr>
              <w:tabs>
                <w:tab w:val="left" w:pos="720"/>
              </w:tabs>
              <w:spacing w:before="40" w:after="40"/>
              <w:ind w:left="420" w:firstLine="25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Low serum potassium</w:t>
            </w:r>
          </w:p>
        </w:tc>
        <w:tc>
          <w:tcPr>
            <w:tcW w:w="1170" w:type="dxa"/>
            <w:vAlign w:val="bottom"/>
          </w:tcPr>
          <w:p w14:paraId="6874697E" w14:textId="521A41AB" w:rsidR="005149BD" w:rsidRPr="00E63C50" w:rsidRDefault="005149BD" w:rsidP="004C7BA0">
            <w:pPr>
              <w:spacing w:before="40" w:after="40"/>
              <w:jc w:val="center"/>
              <w:rPr>
                <w:rFonts w:eastAsia="MinionPro-Regular" w:cs="Arial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55000447" w14:textId="067E1FD9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1 (2</w:t>
            </w:r>
            <w:r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7CB0FB25" w14:textId="047C4A6B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9249D2">
              <w:rPr>
                <w:rFonts w:eastAsia="MinionPro-Regular" w:cs="Arial"/>
                <w:sz w:val="22"/>
                <w:szCs w:val="22"/>
              </w:rPr>
              <w:t>1 (</w:t>
            </w:r>
            <w:r>
              <w:rPr>
                <w:rFonts w:eastAsia="MinionPro-Regular" w:cs="Arial"/>
                <w:sz w:val="22"/>
                <w:szCs w:val="22"/>
              </w:rPr>
              <w:t>0.8)</w:t>
            </w:r>
          </w:p>
        </w:tc>
        <w:tc>
          <w:tcPr>
            <w:tcW w:w="1170" w:type="dxa"/>
            <w:vAlign w:val="bottom"/>
          </w:tcPr>
          <w:p w14:paraId="2C9FB51A" w14:textId="788FE850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 w:rsidRPr="009249D2">
              <w:rPr>
                <w:rFonts w:eastAsia="MinionPro-Regular" w:cs="Arial"/>
                <w:sz w:val="22"/>
                <w:szCs w:val="22"/>
              </w:rPr>
              <w:t>1 (1</w:t>
            </w:r>
            <w:r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bottom"/>
          </w:tcPr>
          <w:p w14:paraId="05F36743" w14:textId="2699A37D" w:rsidR="005149BD" w:rsidRPr="005149BD" w:rsidRDefault="005149BD" w:rsidP="004C7BA0">
            <w:pPr>
              <w:spacing w:before="40" w:after="40"/>
              <w:jc w:val="center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65CD2D62" w14:textId="411F35BC" w:rsidR="005149BD" w:rsidRPr="005149BD" w:rsidRDefault="005149BD" w:rsidP="004C7B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9249D2">
              <w:rPr>
                <w:sz w:val="22"/>
                <w:szCs w:val="22"/>
              </w:rPr>
              <w:t>1 (1</w:t>
            </w:r>
            <w:r>
              <w:rPr>
                <w:sz w:val="22"/>
                <w:szCs w:val="22"/>
              </w:rPr>
              <w:t>)</w:t>
            </w:r>
          </w:p>
        </w:tc>
      </w:tr>
      <w:tr w:rsidR="005149BD" w:rsidRPr="00E63C50" w14:paraId="07EC9CBE" w14:textId="77777777" w:rsidTr="00C96C7B">
        <w:trPr>
          <w:trHeight w:val="288"/>
        </w:trPr>
        <w:tc>
          <w:tcPr>
            <w:tcW w:w="7285" w:type="dxa"/>
            <w:vAlign w:val="bottom"/>
          </w:tcPr>
          <w:p w14:paraId="28EE63EE" w14:textId="0795A338" w:rsidR="005149BD" w:rsidRPr="00E63C50" w:rsidRDefault="005149BD" w:rsidP="004C7BA0">
            <w:pPr>
              <w:spacing w:before="40" w:after="40"/>
              <w:ind w:left="674"/>
              <w:rPr>
                <w:rFonts w:cs="Arial"/>
              </w:rPr>
            </w:pPr>
            <w:r w:rsidRPr="00E63C50">
              <w:rPr>
                <w:rFonts w:cs="Arial"/>
                <w:sz w:val="22"/>
                <w:szCs w:val="22"/>
              </w:rPr>
              <w:t>Investigator decision</w:t>
            </w:r>
          </w:p>
        </w:tc>
        <w:tc>
          <w:tcPr>
            <w:tcW w:w="1170" w:type="dxa"/>
            <w:vAlign w:val="bottom"/>
          </w:tcPr>
          <w:p w14:paraId="5C7C784D" w14:textId="773918B4" w:rsidR="005149BD" w:rsidRPr="00E63C50" w:rsidRDefault="005149BD" w:rsidP="004C7BA0">
            <w:pPr>
              <w:spacing w:before="40" w:after="40"/>
              <w:jc w:val="center"/>
              <w:rPr>
                <w:rFonts w:eastAsia="MinionPro-Regular" w:cs="Arial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2E200FD2" w14:textId="474CF0EF" w:rsidR="005149BD" w:rsidRPr="00E63C50" w:rsidRDefault="005149BD" w:rsidP="004C7BA0">
            <w:pPr>
              <w:spacing w:before="40" w:after="40"/>
              <w:jc w:val="center"/>
              <w:rPr>
                <w:rFonts w:eastAsia="MinionPro-Regular" w:cs="Arial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1F0BA9B5" w14:textId="16F3975E" w:rsidR="005149BD" w:rsidRPr="009F3A87" w:rsidRDefault="005149BD" w:rsidP="004C7BA0">
            <w:pPr>
              <w:spacing w:before="40" w:after="40"/>
              <w:jc w:val="center"/>
              <w:rPr>
                <w:color w:val="000000"/>
              </w:rPr>
            </w:pPr>
            <w:r w:rsidRPr="00E155DB">
              <w:rPr>
                <w:rFonts w:eastAsia="MinionPro-Regular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1D7A43FF" w14:textId="2E69532A" w:rsidR="005149BD" w:rsidRPr="009F3A87" w:rsidRDefault="005149BD" w:rsidP="004C7BA0">
            <w:pPr>
              <w:spacing w:before="40" w:after="40"/>
              <w:jc w:val="center"/>
              <w:rPr>
                <w:color w:val="000000"/>
              </w:rPr>
            </w:pPr>
            <w:r w:rsidRPr="00E155DB">
              <w:rPr>
                <w:rFonts w:eastAsia="MinionPro-Regular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14:paraId="768F4CCC" w14:textId="4EBA4CC2" w:rsidR="005149BD" w:rsidRPr="009F3A87" w:rsidRDefault="005149BD" w:rsidP="004C7BA0">
            <w:pPr>
              <w:spacing w:before="40" w:after="40"/>
              <w:jc w:val="center"/>
              <w:rPr>
                <w:color w:val="000000"/>
              </w:rPr>
            </w:pPr>
            <w:r w:rsidRPr="00E155DB">
              <w:rPr>
                <w:rFonts w:eastAsia="MinionPro-Regular" w:cs="Arial"/>
                <w:sz w:val="22"/>
                <w:szCs w:val="22"/>
              </w:rPr>
              <w:t>1 (1)</w:t>
            </w:r>
          </w:p>
        </w:tc>
        <w:tc>
          <w:tcPr>
            <w:tcW w:w="1170" w:type="dxa"/>
            <w:vAlign w:val="bottom"/>
          </w:tcPr>
          <w:p w14:paraId="72823308" w14:textId="088385A6" w:rsidR="005149BD" w:rsidRPr="009F3A87" w:rsidRDefault="005149BD" w:rsidP="004C7BA0">
            <w:pPr>
              <w:spacing w:before="40" w:after="40"/>
              <w:jc w:val="center"/>
              <w:rPr>
                <w:color w:val="000000"/>
              </w:rPr>
            </w:pPr>
            <w:r w:rsidRPr="009249D2">
              <w:rPr>
                <w:sz w:val="22"/>
                <w:szCs w:val="22"/>
              </w:rPr>
              <w:t>1 (1)</w:t>
            </w:r>
          </w:p>
        </w:tc>
      </w:tr>
    </w:tbl>
    <w:p w14:paraId="08DF29FF" w14:textId="63420E15" w:rsidR="000461EF" w:rsidRPr="00671F38" w:rsidRDefault="000461EF" w:rsidP="000461EF">
      <w:pPr>
        <w:pStyle w:val="TableFootnote"/>
      </w:pPr>
      <w:r w:rsidRPr="00AC6EFB">
        <w:rPr>
          <w:rStyle w:val="TableFootnoteChar"/>
        </w:rPr>
        <w:t>Data are n (%). Note: patients could have more than one reason for discontinuing early from study treatment.</w:t>
      </w:r>
      <w:r>
        <w:rPr>
          <w:rStyle w:val="TableFootnoteChar"/>
        </w:rPr>
        <w:br/>
        <w:t>PAT = patiromer; PBO = placebo; SPIRO = spironolactone</w:t>
      </w:r>
      <w:r w:rsidRPr="00AC6EFB">
        <w:rPr>
          <w:rStyle w:val="TableFootnoteChar"/>
        </w:rPr>
        <w:br/>
        <w:t>* Repeat potassium measurement (taken within 1 day) that confirms the initial measurement</w:t>
      </w:r>
      <w:r w:rsidRPr="00AC6EFB">
        <w:rPr>
          <w:rStyle w:val="TableFootnoteChar"/>
        </w:rPr>
        <w:br/>
        <w:t xml:space="preserve">† Repeat potassium measurement (taken within 3 days after the </w:t>
      </w:r>
      <w:r w:rsidR="00904BC2">
        <w:rPr>
          <w:rStyle w:val="TableFootnoteChar"/>
        </w:rPr>
        <w:t xml:space="preserve">8.4 g/day </w:t>
      </w:r>
      <w:r w:rsidRPr="00AC6EFB">
        <w:rPr>
          <w:rStyle w:val="TableFootnoteChar"/>
        </w:rPr>
        <w:t>dose increase) that confirms the initial measurement</w:t>
      </w:r>
      <w:r w:rsidRPr="00671F38">
        <w:br/>
        <w:t>‡ Systolic AOBP &lt; 100 mmHg, or symptoms of hypotension and systolic AOBP &lt; 120 mmHg.</w:t>
      </w:r>
      <w:r w:rsidRPr="00671F38">
        <w:br/>
        <w:t>§ eGFR decrease of 30–50% from baseline that did not return to ≤ 30% of baseline within 4 weeks.</w:t>
      </w:r>
    </w:p>
    <w:p w14:paraId="745AD58E" w14:textId="77777777" w:rsidR="000461EF" w:rsidRDefault="000461EF" w:rsidP="000461EF">
      <w:pPr>
        <w:rPr>
          <w:sz w:val="20"/>
        </w:rPr>
      </w:pPr>
    </w:p>
    <w:p w14:paraId="5BBF9215" w14:textId="77777777" w:rsidR="000461EF" w:rsidRDefault="000461EF" w:rsidP="000461EF">
      <w:pPr>
        <w:tabs>
          <w:tab w:val="left" w:pos="2040"/>
        </w:tabs>
        <w:sectPr w:rsidR="000461EF" w:rsidSect="00A0090B">
          <w:footnotePr>
            <w:numFmt w:val="lowerLetter"/>
            <w:numRestart w:val="eachPage"/>
          </w:footnotePr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9241686"/>
    </w:p>
    <w:p w14:paraId="5E0F260F" w14:textId="77777777" w:rsidR="00453716" w:rsidRDefault="00453716" w:rsidP="00453716">
      <w:pPr>
        <w:pStyle w:val="Figures"/>
        <w:rPr>
          <w:b w:val="0"/>
        </w:rPr>
      </w:pPr>
      <w:bookmarkStart w:id="4" w:name="_Toc32332492"/>
      <w:r>
        <w:lastRenderedPageBreak/>
        <w:t xml:space="preserve">Supplemental Table 2. </w:t>
      </w:r>
      <w:r>
        <w:rPr>
          <w:b w:val="0"/>
          <w:bCs/>
        </w:rPr>
        <w:t>Last recorded spironolactone dose in patients who discontinued because of hyperkalaemia</w:t>
      </w:r>
      <w:r>
        <w:rPr>
          <w:b w:val="0"/>
        </w:rPr>
        <w:t>.</w:t>
      </w:r>
      <w:bookmarkEnd w:id="4"/>
    </w:p>
    <w:p w14:paraId="0633F049" w14:textId="77777777" w:rsidR="00453716" w:rsidRDefault="00453716" w:rsidP="00453716">
      <w:pPr>
        <w:spacing w:after="0" w:line="240" w:lineRule="auto"/>
      </w:pPr>
    </w:p>
    <w:tbl>
      <w:tblPr>
        <w:tblStyle w:val="Grilledutableau"/>
        <w:tblW w:w="0" w:type="auto"/>
        <w:tblLook w:val="0420" w:firstRow="1" w:lastRow="0" w:firstColumn="0" w:lastColumn="0" w:noHBand="0" w:noVBand="1"/>
      </w:tblPr>
      <w:tblGrid>
        <w:gridCol w:w="3595"/>
        <w:gridCol w:w="2338"/>
        <w:gridCol w:w="2339"/>
        <w:gridCol w:w="2339"/>
        <w:gridCol w:w="2339"/>
      </w:tblGrid>
      <w:tr w:rsidR="00453716" w14:paraId="2C67DC65" w14:textId="77777777" w:rsidTr="00453716">
        <w:trPr>
          <w:trHeight w:val="57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C40A" w14:textId="77777777" w:rsidR="00453716" w:rsidRDefault="00453716"/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6ADB" w14:textId="77777777" w:rsidR="00453716" w:rsidRDefault="00453716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b/>
                <w:bCs/>
              </w:rPr>
              <w:t>Patients With Heart Failure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2861" w14:textId="77777777" w:rsidR="00453716" w:rsidRDefault="00453716">
            <w:pPr>
              <w:jc w:val="center"/>
              <w:rPr>
                <w:rFonts w:eastAsia="MinionPro-Regular" w:cs="Arial"/>
              </w:rPr>
            </w:pPr>
            <w:r>
              <w:rPr>
                <w:rFonts w:eastAsia="MinionPro-Regular" w:cs="Arial"/>
                <w:b/>
                <w:bCs/>
              </w:rPr>
              <w:t>Patients Without Heart Failure</w:t>
            </w:r>
          </w:p>
        </w:tc>
      </w:tr>
      <w:tr w:rsidR="00453716" w14:paraId="13F68CD7" w14:textId="77777777" w:rsidTr="00453716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94A" w14:textId="77777777" w:rsidR="00453716" w:rsidRDefault="00453716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D102" w14:textId="77777777" w:rsidR="00453716" w:rsidRDefault="00453716">
            <w:pPr>
              <w:jc w:val="center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Spironolactone + Placebo</w:t>
            </w:r>
          </w:p>
          <w:p w14:paraId="0EEB0B40" w14:textId="77777777" w:rsidR="00453716" w:rsidRDefault="00453716">
            <w:pPr>
              <w:jc w:val="center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(n=16/69)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61B3" w14:textId="77777777" w:rsidR="00453716" w:rsidRDefault="00453716">
            <w:pPr>
              <w:jc w:val="center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Spironolactone + Patiromer</w:t>
            </w:r>
          </w:p>
          <w:p w14:paraId="37800CDC" w14:textId="77777777" w:rsidR="00453716" w:rsidRDefault="00453716">
            <w:pPr>
              <w:jc w:val="center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(n=7/63)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1EED" w14:textId="77777777" w:rsidR="00453716" w:rsidRDefault="00453716">
            <w:pPr>
              <w:jc w:val="center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Spironolactone + Placebo</w:t>
            </w:r>
          </w:p>
          <w:p w14:paraId="56013D1E" w14:textId="77777777" w:rsidR="00453716" w:rsidRDefault="00453716">
            <w:pPr>
              <w:jc w:val="center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(n=18/79)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8BA2" w14:textId="77777777" w:rsidR="00453716" w:rsidRDefault="00453716">
            <w:pPr>
              <w:jc w:val="center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Spironolactone + Patiromer</w:t>
            </w:r>
          </w:p>
          <w:p w14:paraId="79037042" w14:textId="77777777" w:rsidR="00453716" w:rsidRDefault="00453716">
            <w:pPr>
              <w:jc w:val="center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(n=3/84)</w:t>
            </w:r>
          </w:p>
        </w:tc>
      </w:tr>
      <w:tr w:rsidR="00453716" w14:paraId="5E9002FB" w14:textId="77777777" w:rsidTr="00453716">
        <w:trPr>
          <w:trHeight w:val="634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914DF" w14:textId="77777777" w:rsidR="00453716" w:rsidRDefault="00453716">
            <w:pPr>
              <w:spacing w:before="40" w:after="40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Spironolactone dose 25 mg, 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27A18" w14:textId="77777777" w:rsidR="00453716" w:rsidRDefault="0045371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29E57" w14:textId="22A97E2B" w:rsidR="00453716" w:rsidRDefault="00762343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17594" w14:textId="77777777" w:rsidR="00453716" w:rsidRDefault="00453716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87FEA" w14:textId="5B59FFB3" w:rsidR="00453716" w:rsidRDefault="00762343">
            <w:pPr>
              <w:spacing w:before="40" w:after="40"/>
              <w:jc w:val="center"/>
            </w:pPr>
            <w:r>
              <w:t>2</w:t>
            </w:r>
          </w:p>
        </w:tc>
      </w:tr>
      <w:tr w:rsidR="00453716" w14:paraId="5A269BC8" w14:textId="77777777" w:rsidTr="00453716">
        <w:trPr>
          <w:trHeight w:val="634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4241" w14:textId="77777777" w:rsidR="00453716" w:rsidRDefault="00453716">
            <w:pPr>
              <w:spacing w:before="40" w:after="40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Spironolactone dose 50 mg, 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DA71C" w14:textId="77777777" w:rsidR="00453716" w:rsidRDefault="0045371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09B6F" w14:textId="77777777" w:rsidR="00453716" w:rsidRDefault="0045371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7EF5B" w14:textId="77777777" w:rsidR="00453716" w:rsidRDefault="00453716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63D9E" w14:textId="77777777" w:rsidR="00453716" w:rsidRDefault="00453716">
            <w:pPr>
              <w:spacing w:before="40" w:after="40"/>
              <w:jc w:val="center"/>
            </w:pPr>
            <w:r>
              <w:t>1</w:t>
            </w:r>
          </w:p>
        </w:tc>
      </w:tr>
    </w:tbl>
    <w:p w14:paraId="16332924" w14:textId="77777777" w:rsidR="00453716" w:rsidRDefault="00453716" w:rsidP="00453716">
      <w:pPr>
        <w:rPr>
          <w:sz w:val="20"/>
        </w:rPr>
      </w:pPr>
      <w:r>
        <w:rPr>
          <w:sz w:val="20"/>
        </w:rPr>
        <w:t>All patients were receiving placebo or patiromer at the time of spironolactone discontinuation; if spironolactone was discontinued,</w:t>
      </w:r>
      <w:r>
        <w:rPr>
          <w:sz w:val="18"/>
        </w:rPr>
        <w:t xml:space="preserve"> </w:t>
      </w:r>
      <w:r>
        <w:rPr>
          <w:sz w:val="20"/>
        </w:rPr>
        <w:t>double-blind study drug (patiromer or placebo) was discontinued at the same time, and if patiromer/placebo was discontinued, spironolactone was discontinued at the same time.</w:t>
      </w:r>
    </w:p>
    <w:p w14:paraId="43BE099E" w14:textId="77777777" w:rsidR="00453716" w:rsidRDefault="00453716" w:rsidP="00453716"/>
    <w:p w14:paraId="6C83CD6F" w14:textId="77777777" w:rsidR="00453716" w:rsidRDefault="00453716" w:rsidP="00453716"/>
    <w:p w14:paraId="776BA7EA" w14:textId="77777777" w:rsidR="00453716" w:rsidRDefault="00453716">
      <w:pPr>
        <w:rPr>
          <w:rFonts w:eastAsiaTheme="minorEastAsia" w:cs="Arial"/>
          <w:b/>
          <w:color w:val="000000" w:themeColor="text1"/>
          <w:kern w:val="24"/>
          <w:sz w:val="24"/>
          <w:szCs w:val="24"/>
        </w:rPr>
      </w:pPr>
      <w:r>
        <w:br w:type="page"/>
      </w:r>
    </w:p>
    <w:p w14:paraId="5F54263D" w14:textId="3BD8C2D3" w:rsidR="000461EF" w:rsidRPr="00B63BCE" w:rsidRDefault="000461EF" w:rsidP="000461EF">
      <w:pPr>
        <w:pStyle w:val="Figures"/>
      </w:pPr>
      <w:bookmarkStart w:id="5" w:name="_Toc32332493"/>
      <w:r>
        <w:lastRenderedPageBreak/>
        <w:t xml:space="preserve">Supplemental </w:t>
      </w:r>
      <w:r w:rsidRPr="00B63BCE">
        <w:t xml:space="preserve">Table </w:t>
      </w:r>
      <w:r w:rsidR="00453716">
        <w:t>3</w:t>
      </w:r>
      <w:r w:rsidRPr="00B63BCE">
        <w:t xml:space="preserve">. </w:t>
      </w:r>
      <w:r w:rsidRPr="0084188A">
        <w:rPr>
          <w:b w:val="0"/>
        </w:rPr>
        <w:t>Heart failure characteristics.</w:t>
      </w:r>
      <w:bookmarkEnd w:id="5"/>
    </w:p>
    <w:p w14:paraId="3A4BE09B" w14:textId="77777777" w:rsidR="000461EF" w:rsidRDefault="000461EF" w:rsidP="000461EF"/>
    <w:tbl>
      <w:tblPr>
        <w:tblStyle w:val="Grilledutableau"/>
        <w:tblW w:w="10680" w:type="dxa"/>
        <w:tblLook w:val="0420" w:firstRow="1" w:lastRow="0" w:firstColumn="0" w:lastColumn="0" w:noHBand="0" w:noVBand="1"/>
      </w:tblPr>
      <w:tblGrid>
        <w:gridCol w:w="3975"/>
        <w:gridCol w:w="4048"/>
        <w:gridCol w:w="2657"/>
      </w:tblGrid>
      <w:tr w:rsidR="000461EF" w:rsidRPr="007B0D7E" w14:paraId="60025F5C" w14:textId="77777777" w:rsidTr="00701D6A">
        <w:trPr>
          <w:trHeight w:val="308"/>
        </w:trPr>
        <w:tc>
          <w:tcPr>
            <w:tcW w:w="3975" w:type="dxa"/>
            <w:vMerge w:val="restart"/>
            <w:vAlign w:val="center"/>
            <w:hideMark/>
          </w:tcPr>
          <w:p w14:paraId="0BF46A1C" w14:textId="77777777" w:rsidR="000461EF" w:rsidRPr="007B0D7E" w:rsidRDefault="000461EF" w:rsidP="00A0090B">
            <w:pPr>
              <w:rPr>
                <w:rFonts w:cs="Arial"/>
              </w:rPr>
            </w:pPr>
            <w:bookmarkStart w:id="6" w:name="_Hlk13665406"/>
            <w:r w:rsidRPr="007B0D7E">
              <w:rPr>
                <w:rFonts w:cs="Arial"/>
                <w:b/>
                <w:bCs/>
              </w:rPr>
              <w:t>Characteristic</w:t>
            </w:r>
          </w:p>
        </w:tc>
        <w:tc>
          <w:tcPr>
            <w:tcW w:w="6705" w:type="dxa"/>
            <w:gridSpan w:val="2"/>
            <w:vAlign w:val="center"/>
            <w:hideMark/>
          </w:tcPr>
          <w:p w14:paraId="3A9778CF" w14:textId="77777777" w:rsidR="000461EF" w:rsidRPr="007B0D7E" w:rsidRDefault="000461EF" w:rsidP="00A0090B">
            <w:pPr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  <w:b/>
                <w:bCs/>
              </w:rPr>
              <w:t>Patients With Heart Failure</w:t>
            </w:r>
          </w:p>
        </w:tc>
      </w:tr>
      <w:tr w:rsidR="000461EF" w:rsidRPr="007B0D7E" w14:paraId="27F2AB43" w14:textId="77777777" w:rsidTr="00701D6A">
        <w:trPr>
          <w:trHeight w:val="492"/>
        </w:trPr>
        <w:tc>
          <w:tcPr>
            <w:tcW w:w="3975" w:type="dxa"/>
            <w:vMerge/>
            <w:vAlign w:val="center"/>
            <w:hideMark/>
          </w:tcPr>
          <w:p w14:paraId="5611352C" w14:textId="77777777" w:rsidR="000461EF" w:rsidRPr="007B0D7E" w:rsidRDefault="000461EF" w:rsidP="00A0090B">
            <w:pPr>
              <w:spacing w:after="160"/>
              <w:rPr>
                <w:rFonts w:cs="Arial"/>
              </w:rPr>
            </w:pPr>
          </w:p>
        </w:tc>
        <w:tc>
          <w:tcPr>
            <w:tcW w:w="4048" w:type="dxa"/>
            <w:vAlign w:val="center"/>
            <w:hideMark/>
          </w:tcPr>
          <w:p w14:paraId="6D31B046" w14:textId="77777777" w:rsidR="000461EF" w:rsidRPr="007B0D7E" w:rsidRDefault="000461EF" w:rsidP="00A0090B">
            <w:pPr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Spironolactone + Placebo</w:t>
            </w:r>
            <w:r>
              <w:rPr>
                <w:rFonts w:eastAsia="Calibri" w:cs="Arial"/>
              </w:rPr>
              <w:br/>
            </w:r>
            <w:r w:rsidRPr="007B0D7E">
              <w:rPr>
                <w:rFonts w:eastAsia="Calibri" w:cs="Arial"/>
              </w:rPr>
              <w:t>(n=69)</w:t>
            </w:r>
          </w:p>
        </w:tc>
        <w:tc>
          <w:tcPr>
            <w:tcW w:w="2657" w:type="dxa"/>
            <w:vAlign w:val="center"/>
            <w:hideMark/>
          </w:tcPr>
          <w:p w14:paraId="26445EB9" w14:textId="77777777" w:rsidR="000461EF" w:rsidRPr="007B0D7E" w:rsidRDefault="000461EF" w:rsidP="00A0090B">
            <w:pPr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Spironolactone + Patiromer</w:t>
            </w:r>
            <w:r>
              <w:rPr>
                <w:rFonts w:eastAsia="Calibri" w:cs="Arial"/>
              </w:rPr>
              <w:br/>
            </w:r>
            <w:r w:rsidRPr="007B0D7E">
              <w:rPr>
                <w:rFonts w:eastAsia="Calibri" w:cs="Arial"/>
              </w:rPr>
              <w:t>(n=63)</w:t>
            </w:r>
          </w:p>
        </w:tc>
      </w:tr>
      <w:tr w:rsidR="000461EF" w:rsidRPr="007B0D7E" w14:paraId="6F5D9769" w14:textId="77777777" w:rsidTr="00A0090B">
        <w:trPr>
          <w:trHeight w:val="409"/>
        </w:trPr>
        <w:tc>
          <w:tcPr>
            <w:tcW w:w="10680" w:type="dxa"/>
            <w:gridSpan w:val="3"/>
            <w:vAlign w:val="bottom"/>
            <w:hideMark/>
          </w:tcPr>
          <w:p w14:paraId="23A0EAD4" w14:textId="77777777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 w:rsidRPr="007B0D7E">
              <w:rPr>
                <w:rFonts w:eastAsia="Calibri" w:cs="Arial"/>
              </w:rPr>
              <w:t>Type of heart failure</w:t>
            </w:r>
            <w:r>
              <w:rPr>
                <w:rFonts w:eastAsia="Calibri" w:cs="Arial"/>
              </w:rPr>
              <w:t>*</w:t>
            </w:r>
          </w:p>
        </w:tc>
      </w:tr>
      <w:tr w:rsidR="000461EF" w:rsidRPr="007B0D7E" w14:paraId="05359DDF" w14:textId="77777777" w:rsidTr="00701D6A">
        <w:trPr>
          <w:trHeight w:val="409"/>
        </w:trPr>
        <w:tc>
          <w:tcPr>
            <w:tcW w:w="3975" w:type="dxa"/>
            <w:vAlign w:val="bottom"/>
            <w:hideMark/>
          </w:tcPr>
          <w:p w14:paraId="74869386" w14:textId="7BABDDCF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>
              <w:rPr>
                <w:rFonts w:eastAsia="Calibri" w:cs="Arial"/>
              </w:rPr>
              <w:t xml:space="preserve">     </w:t>
            </w:r>
            <w:r w:rsidR="00095435">
              <w:rPr>
                <w:rFonts w:eastAsia="Calibri" w:cs="Arial"/>
              </w:rPr>
              <w:t>HFpEF</w:t>
            </w:r>
            <w:r w:rsidRPr="007B0D7E">
              <w:rPr>
                <w:rFonts w:eastAsia="Calibri" w:cs="Arial"/>
              </w:rPr>
              <w:t>, n (%)</w:t>
            </w:r>
          </w:p>
        </w:tc>
        <w:tc>
          <w:tcPr>
            <w:tcW w:w="4048" w:type="dxa"/>
            <w:vAlign w:val="bottom"/>
            <w:hideMark/>
          </w:tcPr>
          <w:p w14:paraId="69D66999" w14:textId="2F0CFBAA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32 (46)</w:t>
            </w:r>
          </w:p>
        </w:tc>
        <w:tc>
          <w:tcPr>
            <w:tcW w:w="2657" w:type="dxa"/>
            <w:vAlign w:val="bottom"/>
            <w:hideMark/>
          </w:tcPr>
          <w:p w14:paraId="619DFE67" w14:textId="201F7855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22 (35)</w:t>
            </w:r>
          </w:p>
        </w:tc>
      </w:tr>
      <w:tr w:rsidR="000461EF" w:rsidRPr="007B0D7E" w14:paraId="3375DE89" w14:textId="77777777" w:rsidTr="00701D6A">
        <w:trPr>
          <w:trHeight w:val="409"/>
        </w:trPr>
        <w:tc>
          <w:tcPr>
            <w:tcW w:w="3975" w:type="dxa"/>
            <w:vAlign w:val="bottom"/>
            <w:hideMark/>
          </w:tcPr>
          <w:p w14:paraId="74F62F6D" w14:textId="0B694BA2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095435">
              <w:rPr>
                <w:rFonts w:cs="Arial"/>
              </w:rPr>
              <w:t>HFrEF</w:t>
            </w:r>
            <w:r w:rsidRPr="007B0D7E">
              <w:rPr>
                <w:rFonts w:cs="Arial"/>
              </w:rPr>
              <w:t>, n (%)</w:t>
            </w:r>
          </w:p>
        </w:tc>
        <w:tc>
          <w:tcPr>
            <w:tcW w:w="4048" w:type="dxa"/>
            <w:vAlign w:val="bottom"/>
            <w:hideMark/>
          </w:tcPr>
          <w:p w14:paraId="23866A60" w14:textId="59B3F97D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28 (41)</w:t>
            </w:r>
          </w:p>
        </w:tc>
        <w:tc>
          <w:tcPr>
            <w:tcW w:w="2657" w:type="dxa"/>
            <w:vAlign w:val="bottom"/>
            <w:hideMark/>
          </w:tcPr>
          <w:p w14:paraId="76ABAF6D" w14:textId="68771869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27 (43)</w:t>
            </w:r>
          </w:p>
        </w:tc>
      </w:tr>
      <w:tr w:rsidR="000461EF" w:rsidRPr="007B0D7E" w14:paraId="46E737FD" w14:textId="77777777" w:rsidTr="00701D6A">
        <w:trPr>
          <w:trHeight w:val="409"/>
        </w:trPr>
        <w:tc>
          <w:tcPr>
            <w:tcW w:w="3975" w:type="dxa"/>
            <w:vAlign w:val="bottom"/>
            <w:hideMark/>
          </w:tcPr>
          <w:p w14:paraId="4BE70403" w14:textId="77777777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7B0D7E">
              <w:rPr>
                <w:rFonts w:cs="Arial"/>
              </w:rPr>
              <w:t>Unknown</w:t>
            </w:r>
          </w:p>
        </w:tc>
        <w:tc>
          <w:tcPr>
            <w:tcW w:w="4048" w:type="dxa"/>
            <w:vAlign w:val="bottom"/>
            <w:hideMark/>
          </w:tcPr>
          <w:p w14:paraId="7891C38C" w14:textId="3BF0527B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9 (13)</w:t>
            </w:r>
          </w:p>
        </w:tc>
        <w:tc>
          <w:tcPr>
            <w:tcW w:w="2657" w:type="dxa"/>
            <w:vAlign w:val="bottom"/>
            <w:hideMark/>
          </w:tcPr>
          <w:p w14:paraId="0B07D79C" w14:textId="0D990676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14 (22)</w:t>
            </w:r>
          </w:p>
        </w:tc>
      </w:tr>
      <w:tr w:rsidR="000461EF" w:rsidRPr="007B0D7E" w14:paraId="6EF66ECE" w14:textId="77777777" w:rsidTr="00A0090B">
        <w:trPr>
          <w:trHeight w:val="409"/>
        </w:trPr>
        <w:tc>
          <w:tcPr>
            <w:tcW w:w="10680" w:type="dxa"/>
            <w:gridSpan w:val="3"/>
            <w:vAlign w:val="bottom"/>
            <w:hideMark/>
          </w:tcPr>
          <w:p w14:paraId="2F5BC738" w14:textId="77777777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 w:rsidRPr="007B0D7E">
              <w:rPr>
                <w:rFonts w:eastAsia="Calibri" w:cs="Arial"/>
              </w:rPr>
              <w:t xml:space="preserve">NYHA </w:t>
            </w:r>
            <w:r>
              <w:rPr>
                <w:rFonts w:eastAsia="Calibri" w:cs="Arial"/>
              </w:rPr>
              <w:t xml:space="preserve">heart failure </w:t>
            </w:r>
            <w:r w:rsidRPr="007B0D7E">
              <w:rPr>
                <w:rFonts w:eastAsia="Calibri" w:cs="Arial"/>
              </w:rPr>
              <w:t>class, n (%)</w:t>
            </w:r>
          </w:p>
        </w:tc>
      </w:tr>
      <w:tr w:rsidR="000461EF" w:rsidRPr="007B0D7E" w14:paraId="4D93C8D5" w14:textId="77777777" w:rsidTr="00701D6A">
        <w:trPr>
          <w:trHeight w:val="409"/>
        </w:trPr>
        <w:tc>
          <w:tcPr>
            <w:tcW w:w="3975" w:type="dxa"/>
            <w:vAlign w:val="bottom"/>
            <w:hideMark/>
          </w:tcPr>
          <w:p w14:paraId="7F05CF44" w14:textId="77777777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>
              <w:rPr>
                <w:rFonts w:eastAsia="Calibri" w:cs="Arial"/>
              </w:rPr>
              <w:t xml:space="preserve">     </w:t>
            </w:r>
            <w:r w:rsidRPr="007B0D7E">
              <w:rPr>
                <w:rFonts w:eastAsia="Calibri" w:cs="Arial"/>
              </w:rPr>
              <w:t>Class I</w:t>
            </w:r>
          </w:p>
        </w:tc>
        <w:tc>
          <w:tcPr>
            <w:tcW w:w="4048" w:type="dxa"/>
            <w:vAlign w:val="bottom"/>
            <w:hideMark/>
          </w:tcPr>
          <w:p w14:paraId="1CED5C6A" w14:textId="4299A52C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11 (16)</w:t>
            </w:r>
          </w:p>
        </w:tc>
        <w:tc>
          <w:tcPr>
            <w:tcW w:w="2657" w:type="dxa"/>
            <w:vAlign w:val="bottom"/>
            <w:hideMark/>
          </w:tcPr>
          <w:p w14:paraId="58FF19F6" w14:textId="1B626DB1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11 (18)</w:t>
            </w:r>
          </w:p>
        </w:tc>
      </w:tr>
      <w:tr w:rsidR="000461EF" w:rsidRPr="007B0D7E" w14:paraId="5C017D5C" w14:textId="77777777" w:rsidTr="00701D6A">
        <w:trPr>
          <w:trHeight w:val="409"/>
        </w:trPr>
        <w:tc>
          <w:tcPr>
            <w:tcW w:w="3975" w:type="dxa"/>
            <w:vAlign w:val="bottom"/>
            <w:hideMark/>
          </w:tcPr>
          <w:p w14:paraId="398C84BF" w14:textId="77777777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>
              <w:rPr>
                <w:rFonts w:eastAsia="Calibri" w:cs="Arial"/>
              </w:rPr>
              <w:t xml:space="preserve">     </w:t>
            </w:r>
            <w:r w:rsidRPr="007B0D7E">
              <w:rPr>
                <w:rFonts w:eastAsia="Calibri" w:cs="Arial"/>
              </w:rPr>
              <w:t>Class II</w:t>
            </w:r>
          </w:p>
        </w:tc>
        <w:tc>
          <w:tcPr>
            <w:tcW w:w="4048" w:type="dxa"/>
            <w:vAlign w:val="bottom"/>
            <w:hideMark/>
          </w:tcPr>
          <w:p w14:paraId="5ECD6668" w14:textId="2A16D793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55 (80)</w:t>
            </w:r>
          </w:p>
        </w:tc>
        <w:tc>
          <w:tcPr>
            <w:tcW w:w="2657" w:type="dxa"/>
            <w:vAlign w:val="bottom"/>
            <w:hideMark/>
          </w:tcPr>
          <w:p w14:paraId="08DE8784" w14:textId="4958E5B0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41 (65)</w:t>
            </w:r>
          </w:p>
        </w:tc>
      </w:tr>
      <w:tr w:rsidR="000461EF" w:rsidRPr="007B0D7E" w14:paraId="0D6384DC" w14:textId="77777777" w:rsidTr="00701D6A">
        <w:trPr>
          <w:trHeight w:val="409"/>
        </w:trPr>
        <w:tc>
          <w:tcPr>
            <w:tcW w:w="3975" w:type="dxa"/>
            <w:vAlign w:val="bottom"/>
            <w:hideMark/>
          </w:tcPr>
          <w:p w14:paraId="40332B48" w14:textId="77777777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>
              <w:rPr>
                <w:rFonts w:eastAsia="Calibri" w:cs="Arial"/>
              </w:rPr>
              <w:t xml:space="preserve">     </w:t>
            </w:r>
            <w:r w:rsidRPr="007B0D7E">
              <w:rPr>
                <w:rFonts w:eastAsia="Calibri" w:cs="Arial"/>
              </w:rPr>
              <w:t>Class III</w:t>
            </w:r>
          </w:p>
        </w:tc>
        <w:tc>
          <w:tcPr>
            <w:tcW w:w="4048" w:type="dxa"/>
            <w:vAlign w:val="bottom"/>
            <w:hideMark/>
          </w:tcPr>
          <w:p w14:paraId="0610427A" w14:textId="72706F1F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3 (4)</w:t>
            </w:r>
          </w:p>
        </w:tc>
        <w:tc>
          <w:tcPr>
            <w:tcW w:w="2657" w:type="dxa"/>
            <w:vAlign w:val="bottom"/>
            <w:hideMark/>
          </w:tcPr>
          <w:p w14:paraId="38D2E337" w14:textId="5E63DE76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11 (18)</w:t>
            </w:r>
          </w:p>
        </w:tc>
      </w:tr>
      <w:tr w:rsidR="000461EF" w:rsidRPr="007B0D7E" w14:paraId="1EC28212" w14:textId="77777777" w:rsidTr="00701D6A">
        <w:trPr>
          <w:trHeight w:val="409"/>
        </w:trPr>
        <w:tc>
          <w:tcPr>
            <w:tcW w:w="3975" w:type="dxa"/>
            <w:vAlign w:val="bottom"/>
            <w:hideMark/>
          </w:tcPr>
          <w:p w14:paraId="3DEC9129" w14:textId="77777777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>
              <w:rPr>
                <w:rFonts w:eastAsia="Calibri" w:cs="Arial"/>
              </w:rPr>
              <w:t xml:space="preserve">     </w:t>
            </w:r>
            <w:r w:rsidRPr="007B0D7E">
              <w:rPr>
                <w:rFonts w:eastAsia="Calibri" w:cs="Arial"/>
              </w:rPr>
              <w:t>Class IV</w:t>
            </w:r>
          </w:p>
        </w:tc>
        <w:tc>
          <w:tcPr>
            <w:tcW w:w="4048" w:type="dxa"/>
            <w:vAlign w:val="bottom"/>
            <w:hideMark/>
          </w:tcPr>
          <w:p w14:paraId="3789B64D" w14:textId="77777777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0</w:t>
            </w:r>
          </w:p>
        </w:tc>
        <w:tc>
          <w:tcPr>
            <w:tcW w:w="2657" w:type="dxa"/>
            <w:vAlign w:val="bottom"/>
            <w:hideMark/>
          </w:tcPr>
          <w:p w14:paraId="39236ABC" w14:textId="77777777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0</w:t>
            </w:r>
          </w:p>
        </w:tc>
      </w:tr>
      <w:tr w:rsidR="000461EF" w:rsidRPr="007B0D7E" w14:paraId="46E76375" w14:textId="77777777" w:rsidTr="00701D6A">
        <w:trPr>
          <w:trHeight w:val="409"/>
        </w:trPr>
        <w:tc>
          <w:tcPr>
            <w:tcW w:w="3975" w:type="dxa"/>
            <w:vAlign w:val="bottom"/>
            <w:hideMark/>
          </w:tcPr>
          <w:p w14:paraId="2704A2DD" w14:textId="77777777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 w:rsidRPr="007B0D7E">
              <w:rPr>
                <w:rFonts w:eastAsia="Calibri" w:cs="Arial"/>
              </w:rPr>
              <w:t xml:space="preserve">No. (%) with </w:t>
            </w:r>
            <w:r>
              <w:rPr>
                <w:rFonts w:eastAsia="Calibri" w:cs="Arial"/>
              </w:rPr>
              <w:t>LVEF</w:t>
            </w:r>
            <w:r w:rsidRPr="007B0D7E">
              <w:rPr>
                <w:rFonts w:eastAsia="Calibri" w:cs="Arial"/>
              </w:rPr>
              <w:t xml:space="preserve"> data</w:t>
            </w:r>
          </w:p>
        </w:tc>
        <w:tc>
          <w:tcPr>
            <w:tcW w:w="4048" w:type="dxa"/>
            <w:vAlign w:val="bottom"/>
            <w:hideMark/>
          </w:tcPr>
          <w:p w14:paraId="77E8C635" w14:textId="385A4BC7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51 (74)</w:t>
            </w:r>
          </w:p>
        </w:tc>
        <w:tc>
          <w:tcPr>
            <w:tcW w:w="2657" w:type="dxa"/>
            <w:vAlign w:val="bottom"/>
            <w:hideMark/>
          </w:tcPr>
          <w:p w14:paraId="3808DBDC" w14:textId="7B19F53E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44 (70)</w:t>
            </w:r>
          </w:p>
        </w:tc>
      </w:tr>
      <w:tr w:rsidR="000461EF" w:rsidRPr="007B0D7E" w14:paraId="4BA70C2E" w14:textId="77777777" w:rsidTr="00701D6A">
        <w:trPr>
          <w:trHeight w:val="409"/>
        </w:trPr>
        <w:tc>
          <w:tcPr>
            <w:tcW w:w="3975" w:type="dxa"/>
            <w:vAlign w:val="bottom"/>
            <w:hideMark/>
          </w:tcPr>
          <w:p w14:paraId="35DF65DB" w14:textId="77777777" w:rsidR="000461EF" w:rsidRPr="007B0D7E" w:rsidRDefault="000461EF" w:rsidP="004C7BA0">
            <w:pPr>
              <w:spacing w:before="40" w:after="40"/>
              <w:rPr>
                <w:rFonts w:cs="Arial"/>
              </w:rPr>
            </w:pPr>
            <w:r>
              <w:rPr>
                <w:rFonts w:eastAsia="Calibri" w:cs="Arial"/>
              </w:rPr>
              <w:t xml:space="preserve">     </w:t>
            </w:r>
            <w:r w:rsidRPr="007B0D7E">
              <w:rPr>
                <w:rFonts w:eastAsia="Calibri" w:cs="Arial"/>
              </w:rPr>
              <w:t>Ejection fraction, mean (SD)</w:t>
            </w:r>
            <w:r w:rsidRPr="00C82489">
              <w:rPr>
                <w:rFonts w:eastAsia="Calibri" w:cs="Arial"/>
                <w:vertAlign w:val="superscript"/>
              </w:rPr>
              <w:t>†</w:t>
            </w:r>
          </w:p>
        </w:tc>
        <w:tc>
          <w:tcPr>
            <w:tcW w:w="4048" w:type="dxa"/>
            <w:vAlign w:val="bottom"/>
            <w:hideMark/>
          </w:tcPr>
          <w:p w14:paraId="5653610B" w14:textId="77777777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50 (8)</w:t>
            </w:r>
          </w:p>
        </w:tc>
        <w:tc>
          <w:tcPr>
            <w:tcW w:w="2657" w:type="dxa"/>
            <w:vAlign w:val="bottom"/>
            <w:hideMark/>
          </w:tcPr>
          <w:p w14:paraId="57BEBEB5" w14:textId="77777777" w:rsidR="000461EF" w:rsidRPr="007B0D7E" w:rsidRDefault="000461EF" w:rsidP="004C7BA0">
            <w:pPr>
              <w:spacing w:before="40" w:after="40"/>
              <w:jc w:val="center"/>
              <w:rPr>
                <w:rFonts w:cs="Arial"/>
              </w:rPr>
            </w:pPr>
            <w:r w:rsidRPr="007B0D7E">
              <w:rPr>
                <w:rFonts w:eastAsia="Calibri" w:cs="Arial"/>
              </w:rPr>
              <w:t>48 (11)</w:t>
            </w:r>
          </w:p>
        </w:tc>
      </w:tr>
      <w:tr w:rsidR="000461EF" w:rsidRPr="007B0D7E" w14:paraId="6D0E77C8" w14:textId="77777777" w:rsidTr="00701D6A">
        <w:trPr>
          <w:trHeight w:val="409"/>
        </w:trPr>
        <w:tc>
          <w:tcPr>
            <w:tcW w:w="3975" w:type="dxa"/>
            <w:vAlign w:val="bottom"/>
          </w:tcPr>
          <w:p w14:paraId="628B2629" w14:textId="77777777" w:rsidR="000461EF" w:rsidRPr="007B0D7E" w:rsidRDefault="000461EF" w:rsidP="004C7BA0">
            <w:pPr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>NT-proBNP level, median (Q1, Q3) ng/L</w:t>
            </w:r>
          </w:p>
        </w:tc>
        <w:tc>
          <w:tcPr>
            <w:tcW w:w="4048" w:type="dxa"/>
            <w:vAlign w:val="bottom"/>
          </w:tcPr>
          <w:p w14:paraId="0F43F0DA" w14:textId="1361EC9B" w:rsidR="000461EF" w:rsidRPr="007B0D7E" w:rsidRDefault="000461EF" w:rsidP="004C7BA0">
            <w:pPr>
              <w:spacing w:before="40" w:after="4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730 (302, 1972)</w:t>
            </w:r>
            <w:r w:rsidR="002665D4" w:rsidRPr="009A1EF5">
              <w:rPr>
                <w:rFonts w:eastAsia="Calibri" w:cs="Arial"/>
                <w:vertAlign w:val="superscript"/>
              </w:rPr>
              <w:t>‡</w:t>
            </w:r>
          </w:p>
        </w:tc>
        <w:tc>
          <w:tcPr>
            <w:tcW w:w="2657" w:type="dxa"/>
            <w:vAlign w:val="bottom"/>
          </w:tcPr>
          <w:p w14:paraId="3C7B9BA2" w14:textId="77777777" w:rsidR="000461EF" w:rsidRPr="007B0D7E" w:rsidRDefault="000461EF" w:rsidP="004C7BA0">
            <w:pPr>
              <w:spacing w:before="40" w:after="4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1062 (333, 2375)</w:t>
            </w:r>
          </w:p>
        </w:tc>
      </w:tr>
      <w:tr w:rsidR="00701D6A" w:rsidRPr="007B0D7E" w14:paraId="553220BD" w14:textId="77777777" w:rsidTr="00701D6A">
        <w:trPr>
          <w:trHeight w:val="409"/>
        </w:trPr>
        <w:tc>
          <w:tcPr>
            <w:tcW w:w="3975" w:type="dxa"/>
            <w:vAlign w:val="bottom"/>
          </w:tcPr>
          <w:p w14:paraId="0EF182D2" w14:textId="06334E46" w:rsidR="00701D6A" w:rsidRDefault="00701D6A" w:rsidP="009A1EF5">
            <w:pPr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 </w:t>
            </w:r>
            <w:r w:rsidR="004F40D0">
              <w:rPr>
                <w:rFonts w:eastAsia="Calibri" w:cs="Arial"/>
              </w:rPr>
              <w:t xml:space="preserve">Patients </w:t>
            </w:r>
            <w:r>
              <w:rPr>
                <w:rFonts w:eastAsia="Calibri" w:cs="Arial"/>
              </w:rPr>
              <w:t>with atrial fibrillation</w:t>
            </w:r>
          </w:p>
        </w:tc>
        <w:tc>
          <w:tcPr>
            <w:tcW w:w="4048" w:type="dxa"/>
            <w:vAlign w:val="bottom"/>
          </w:tcPr>
          <w:p w14:paraId="623472CD" w14:textId="47DA9431" w:rsidR="00701D6A" w:rsidRPr="00701D6A" w:rsidRDefault="00701D6A" w:rsidP="009A1EF5">
            <w:pPr>
              <w:spacing w:before="40" w:after="40"/>
              <w:jc w:val="center"/>
              <w:rPr>
                <w:rFonts w:eastAsia="Calibri" w:cs="Arial"/>
              </w:rPr>
            </w:pPr>
            <w:r w:rsidRPr="00701D6A">
              <w:rPr>
                <w:rFonts w:eastAsia="Calibri" w:cs="Arial"/>
              </w:rPr>
              <w:t>2667 (</w:t>
            </w:r>
            <w:r w:rsidRPr="00701D6A">
              <w:rPr>
                <w:color w:val="000000"/>
              </w:rPr>
              <w:t>1155, 3633)</w:t>
            </w:r>
            <w:r w:rsidR="009A1EF5" w:rsidRPr="009A1EF5">
              <w:rPr>
                <w:rFonts w:eastAsia="Calibri" w:cs="Arial"/>
                <w:vertAlign w:val="superscript"/>
              </w:rPr>
              <w:t>‡</w:t>
            </w:r>
          </w:p>
        </w:tc>
        <w:tc>
          <w:tcPr>
            <w:tcW w:w="2657" w:type="dxa"/>
            <w:vAlign w:val="bottom"/>
          </w:tcPr>
          <w:p w14:paraId="11250B60" w14:textId="5E36CD41" w:rsidR="00701D6A" w:rsidRDefault="00701D6A" w:rsidP="009A1EF5">
            <w:pPr>
              <w:spacing w:before="40" w:after="40"/>
              <w:jc w:val="center"/>
              <w:rPr>
                <w:rFonts w:eastAsia="Calibri" w:cs="Arial"/>
              </w:rPr>
            </w:pPr>
            <w:r w:rsidRPr="00701D6A">
              <w:rPr>
                <w:rFonts w:eastAsia="Calibri" w:cs="Arial"/>
              </w:rPr>
              <w:t>1945</w:t>
            </w:r>
            <w:r>
              <w:rPr>
                <w:rFonts w:eastAsia="Calibri" w:cs="Arial"/>
              </w:rPr>
              <w:t xml:space="preserve"> (631</w:t>
            </w:r>
            <w:r w:rsidRPr="00701D6A">
              <w:rPr>
                <w:rFonts w:eastAsia="Calibri" w:cs="Arial"/>
              </w:rPr>
              <w:t>, 2652</w:t>
            </w:r>
            <w:r>
              <w:rPr>
                <w:rFonts w:eastAsia="Calibri" w:cs="Arial"/>
              </w:rPr>
              <w:t>)</w:t>
            </w:r>
          </w:p>
        </w:tc>
      </w:tr>
      <w:tr w:rsidR="00701D6A" w:rsidRPr="007B0D7E" w14:paraId="4B6E60A5" w14:textId="77777777" w:rsidTr="00701D6A">
        <w:trPr>
          <w:trHeight w:val="409"/>
        </w:trPr>
        <w:tc>
          <w:tcPr>
            <w:tcW w:w="3975" w:type="dxa"/>
            <w:vAlign w:val="bottom"/>
          </w:tcPr>
          <w:p w14:paraId="7DD41BB4" w14:textId="6188E455" w:rsidR="00701D6A" w:rsidRDefault="00701D6A" w:rsidP="009A1EF5">
            <w:pPr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  <w:r w:rsidR="004F40D0">
              <w:rPr>
                <w:rFonts w:eastAsia="Calibri" w:cs="Arial"/>
              </w:rPr>
              <w:t xml:space="preserve">    P</w:t>
            </w:r>
            <w:r>
              <w:rPr>
                <w:rFonts w:eastAsia="Calibri" w:cs="Arial"/>
              </w:rPr>
              <w:t>atients without atrial fibrillation</w:t>
            </w:r>
          </w:p>
        </w:tc>
        <w:tc>
          <w:tcPr>
            <w:tcW w:w="4048" w:type="dxa"/>
            <w:vAlign w:val="bottom"/>
          </w:tcPr>
          <w:p w14:paraId="4D37BA82" w14:textId="03C2D600" w:rsidR="00701D6A" w:rsidRDefault="00701D6A" w:rsidP="009A1EF5">
            <w:pPr>
              <w:spacing w:before="40" w:after="4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603 (262</w:t>
            </w:r>
            <w:r w:rsidRPr="00701D6A">
              <w:rPr>
                <w:rFonts w:eastAsia="Calibri" w:cs="Arial"/>
              </w:rPr>
              <w:t>, 1500</w:t>
            </w:r>
            <w:r>
              <w:rPr>
                <w:rFonts w:eastAsia="Calibri" w:cs="Arial"/>
              </w:rPr>
              <w:t>)</w:t>
            </w:r>
          </w:p>
        </w:tc>
        <w:tc>
          <w:tcPr>
            <w:tcW w:w="2657" w:type="dxa"/>
            <w:vAlign w:val="bottom"/>
          </w:tcPr>
          <w:p w14:paraId="6DFAD947" w14:textId="5D34C43B" w:rsidR="00701D6A" w:rsidRDefault="00701D6A" w:rsidP="009A1EF5">
            <w:pPr>
              <w:spacing w:before="40" w:after="40"/>
              <w:jc w:val="center"/>
              <w:rPr>
                <w:rFonts w:eastAsia="Calibri" w:cs="Arial"/>
              </w:rPr>
            </w:pPr>
            <w:r w:rsidRPr="00701D6A">
              <w:rPr>
                <w:rFonts w:eastAsia="Calibri" w:cs="Arial"/>
              </w:rPr>
              <w:t xml:space="preserve">896 </w:t>
            </w:r>
            <w:r>
              <w:rPr>
                <w:rFonts w:eastAsia="Calibri" w:cs="Arial"/>
              </w:rPr>
              <w:t>(329</w:t>
            </w:r>
            <w:r w:rsidRPr="00701D6A">
              <w:rPr>
                <w:rFonts w:eastAsia="Calibri" w:cs="Arial"/>
              </w:rPr>
              <w:t>, 2367</w:t>
            </w:r>
            <w:r>
              <w:rPr>
                <w:rFonts w:eastAsia="Calibri" w:cs="Arial"/>
              </w:rPr>
              <w:t>)</w:t>
            </w:r>
          </w:p>
        </w:tc>
      </w:tr>
      <w:tr w:rsidR="000461EF" w:rsidRPr="007B0D7E" w14:paraId="071564FD" w14:textId="77777777" w:rsidTr="00701D6A">
        <w:trPr>
          <w:trHeight w:val="409"/>
        </w:trPr>
        <w:tc>
          <w:tcPr>
            <w:tcW w:w="3975" w:type="dxa"/>
            <w:vAlign w:val="bottom"/>
          </w:tcPr>
          <w:p w14:paraId="5F161D01" w14:textId="2C625B13" w:rsidR="000461EF" w:rsidRDefault="000461EF" w:rsidP="004C7BA0">
            <w:pPr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NT-proBNP </w:t>
            </w:r>
            <w:r w:rsidRPr="00A97A9B">
              <w:rPr>
                <w:rFonts w:eastAsia="Calibri" w:cs="Arial"/>
              </w:rPr>
              <w:t>&gt;</w:t>
            </w:r>
            <w:r>
              <w:rPr>
                <w:rFonts w:eastAsia="Calibri" w:cs="Arial"/>
              </w:rPr>
              <w:t>125</w:t>
            </w:r>
            <w:r w:rsidR="00004A19">
              <w:rPr>
                <w:rFonts w:eastAsia="Calibri" w:cs="Arial"/>
              </w:rPr>
              <w:t xml:space="preserve"> ng/L</w:t>
            </w:r>
            <w:r>
              <w:rPr>
                <w:rFonts w:eastAsia="Calibri" w:cs="Arial"/>
              </w:rPr>
              <w:t xml:space="preserve">, </w:t>
            </w:r>
            <w:r w:rsidR="00004A19">
              <w:rPr>
                <w:rFonts w:eastAsia="Calibri" w:cs="Arial"/>
              </w:rPr>
              <w:t>n (%)</w:t>
            </w:r>
          </w:p>
        </w:tc>
        <w:tc>
          <w:tcPr>
            <w:tcW w:w="4048" w:type="dxa"/>
            <w:vAlign w:val="bottom"/>
          </w:tcPr>
          <w:p w14:paraId="6E63982F" w14:textId="015D340F" w:rsidR="000461EF" w:rsidRDefault="000461EF" w:rsidP="004C7BA0">
            <w:pPr>
              <w:spacing w:before="40" w:after="4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63 (93)</w:t>
            </w:r>
          </w:p>
        </w:tc>
        <w:tc>
          <w:tcPr>
            <w:tcW w:w="2657" w:type="dxa"/>
            <w:vAlign w:val="bottom"/>
          </w:tcPr>
          <w:p w14:paraId="7DD247B2" w14:textId="6FA2CAC9" w:rsidR="000461EF" w:rsidRDefault="000461EF" w:rsidP="004C7BA0">
            <w:pPr>
              <w:spacing w:before="40" w:after="4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56 (89)</w:t>
            </w:r>
          </w:p>
        </w:tc>
      </w:tr>
    </w:tbl>
    <w:bookmarkEnd w:id="6"/>
    <w:p w14:paraId="529EAFEF" w14:textId="77777777" w:rsidR="009A1EF5" w:rsidRDefault="000461EF" w:rsidP="000461EF">
      <w:pPr>
        <w:pStyle w:val="TableFootnote"/>
      </w:pPr>
      <w:r w:rsidRPr="0001147C">
        <w:t>*Per investigator’s assessment.</w:t>
      </w:r>
      <w:r w:rsidRPr="0001147C">
        <w:br/>
      </w:r>
      <w:r w:rsidRPr="0001147C">
        <w:rPr>
          <w:vertAlign w:val="superscript"/>
        </w:rPr>
        <w:t xml:space="preserve">† </w:t>
      </w:r>
      <w:r w:rsidRPr="0001147C">
        <w:t>Derived from patient medical records.</w:t>
      </w:r>
    </w:p>
    <w:p w14:paraId="5ACFF1FC" w14:textId="7475D59B" w:rsidR="000461EF" w:rsidRPr="0001147C" w:rsidRDefault="009A1EF5" w:rsidP="000461EF">
      <w:pPr>
        <w:pStyle w:val="TableFootnote"/>
        <w:sectPr w:rsidR="000461EF" w:rsidRPr="0001147C" w:rsidSect="00A0090B">
          <w:footnotePr>
            <w:numFmt w:val="lowerLetter"/>
            <w:numRestart w:val="eachPage"/>
          </w:footnotePr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9A1EF5">
        <w:rPr>
          <w:rFonts w:eastAsia="Calibri" w:cs="Arial"/>
          <w:vertAlign w:val="superscript"/>
        </w:rPr>
        <w:t>‡</w:t>
      </w:r>
      <w:r>
        <w:rPr>
          <w:rFonts w:eastAsia="Calibri" w:cs="Arial"/>
        </w:rPr>
        <w:t xml:space="preserve"> </w:t>
      </w:r>
      <w:r w:rsidR="002665D4">
        <w:rPr>
          <w:rFonts w:eastAsia="Calibri" w:cs="Arial"/>
        </w:rPr>
        <w:t>One patient with HF and atrial fibrillation did not have NT-proBNP assessment</w:t>
      </w:r>
      <w:r>
        <w:rPr>
          <w:rFonts w:eastAsia="Calibri" w:cs="Arial"/>
        </w:rPr>
        <w:t>.</w:t>
      </w:r>
      <w:r w:rsidR="000461EF">
        <w:br/>
      </w:r>
      <w:r w:rsidR="00095435">
        <w:t>HFpEF = heart failure with preserved ejection fraction; HFrEF = heart failure with reduced ejection fraction</w:t>
      </w:r>
      <w:r w:rsidR="000461EF">
        <w:t>; NYHA = New York Heart Association</w:t>
      </w:r>
    </w:p>
    <w:p w14:paraId="225F79BB" w14:textId="77777777" w:rsidR="000461EF" w:rsidRPr="005F75C0" w:rsidRDefault="000461EF" w:rsidP="000461EF">
      <w:pPr>
        <w:rPr>
          <w:rStyle w:val="FiguresChar"/>
        </w:rPr>
      </w:pPr>
    </w:p>
    <w:p w14:paraId="186FA5E8" w14:textId="05B6E190" w:rsidR="00872522" w:rsidRDefault="00872522" w:rsidP="00047CE1">
      <w:pPr>
        <w:pStyle w:val="Figures"/>
        <w:rPr>
          <w:b w:val="0"/>
          <w:bCs/>
        </w:rPr>
      </w:pPr>
      <w:bookmarkStart w:id="7" w:name="_Toc32332494"/>
      <w:r>
        <w:t xml:space="preserve">Supplemental Table </w:t>
      </w:r>
      <w:r w:rsidR="00453716">
        <w:t>4</w:t>
      </w:r>
      <w:r>
        <w:t xml:space="preserve">. </w:t>
      </w:r>
      <w:r w:rsidRPr="00872522">
        <w:rPr>
          <w:b w:val="0"/>
          <w:bCs/>
        </w:rPr>
        <w:t>Cumulative spironolactone dose over 12 weeks.</w:t>
      </w:r>
      <w:bookmarkEnd w:id="7"/>
    </w:p>
    <w:p w14:paraId="3FF5DBDB" w14:textId="77777777" w:rsidR="00872522" w:rsidRDefault="00872522" w:rsidP="00923267"/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6213"/>
        <w:gridCol w:w="2093"/>
        <w:gridCol w:w="2093"/>
        <w:gridCol w:w="2093"/>
        <w:gridCol w:w="2093"/>
      </w:tblGrid>
      <w:tr w:rsidR="00923267" w:rsidRPr="00D44F62" w14:paraId="7BFA3CFC" w14:textId="77777777" w:rsidTr="004C7BA0">
        <w:trPr>
          <w:cantSplit/>
          <w:trHeight w:val="350"/>
        </w:trPr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CB93E" w14:textId="77777777" w:rsidR="00923267" w:rsidRPr="00D44F62" w:rsidRDefault="00923267" w:rsidP="00923267">
            <w:pPr>
              <w:adjustRightInd w:val="0"/>
              <w:spacing w:after="0" w:line="240" w:lineRule="auto"/>
              <w:ind w:left="300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B589C" w14:textId="2FE91ACE" w:rsidR="00923267" w:rsidRPr="00D44F62" w:rsidRDefault="00923267" w:rsidP="00923267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4F62">
              <w:rPr>
                <w:rFonts w:eastAsia="MinionPro-Regular" w:cs="Arial"/>
                <w:b/>
                <w:bCs/>
                <w:szCs w:val="24"/>
              </w:rPr>
              <w:t>Patients With Heart Failure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357BF" w14:textId="0952E043" w:rsidR="00923267" w:rsidRPr="00D44F62" w:rsidRDefault="00923267" w:rsidP="00923267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4F62">
              <w:rPr>
                <w:rFonts w:eastAsia="MinionPro-Regular" w:cs="Arial"/>
                <w:b/>
                <w:bCs/>
                <w:szCs w:val="24"/>
              </w:rPr>
              <w:t xml:space="preserve">Patients </w:t>
            </w:r>
            <w:r w:rsidR="00A366FA">
              <w:rPr>
                <w:rFonts w:eastAsia="MinionPro-Regular" w:cs="Arial"/>
                <w:b/>
                <w:bCs/>
                <w:szCs w:val="24"/>
              </w:rPr>
              <w:t>W</w:t>
            </w:r>
            <w:r w:rsidRPr="00D44F62">
              <w:rPr>
                <w:rFonts w:eastAsia="MinionPro-Regular" w:cs="Arial"/>
                <w:b/>
                <w:bCs/>
                <w:szCs w:val="24"/>
              </w:rPr>
              <w:t>ithout Heart Failure</w:t>
            </w:r>
          </w:p>
        </w:tc>
      </w:tr>
      <w:tr w:rsidR="00923267" w:rsidRPr="00D44F62" w14:paraId="6194BD25" w14:textId="77777777" w:rsidTr="004C7BA0">
        <w:trPr>
          <w:cantSplit/>
          <w:trHeight w:val="953"/>
        </w:trPr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8077" w14:textId="77777777" w:rsidR="00923267" w:rsidRPr="00D44F62" w:rsidRDefault="00923267" w:rsidP="00923267">
            <w:pPr>
              <w:adjustRightInd w:val="0"/>
              <w:spacing w:after="0" w:line="240" w:lineRule="auto"/>
              <w:ind w:left="300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E798" w14:textId="77777777" w:rsidR="00923267" w:rsidRPr="00D44F62" w:rsidRDefault="00923267" w:rsidP="00923267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D44F62">
              <w:rPr>
                <w:rFonts w:eastAsia="MinionPro-Regular" w:cs="Arial"/>
                <w:szCs w:val="24"/>
              </w:rPr>
              <w:t>Spironolactone + Placebo</w:t>
            </w:r>
          </w:p>
          <w:p w14:paraId="761EA8CC" w14:textId="5A97865D" w:rsidR="00923267" w:rsidRPr="00D44F62" w:rsidRDefault="00923267" w:rsidP="00923267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D44F62">
              <w:rPr>
                <w:rFonts w:eastAsia="MinionPro-Regular" w:cs="Arial"/>
                <w:szCs w:val="24"/>
              </w:rPr>
              <w:t>(n=69)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76F4" w14:textId="77777777" w:rsidR="00923267" w:rsidRPr="00D44F62" w:rsidRDefault="00923267" w:rsidP="00923267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D44F62">
              <w:rPr>
                <w:rFonts w:eastAsia="MinionPro-Regular" w:cs="Arial"/>
                <w:szCs w:val="24"/>
              </w:rPr>
              <w:t>Spironolactone + Patiromer</w:t>
            </w:r>
          </w:p>
          <w:p w14:paraId="27629B74" w14:textId="668227F5" w:rsidR="00923267" w:rsidRPr="00D44F62" w:rsidRDefault="00923267" w:rsidP="00923267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D44F62">
              <w:rPr>
                <w:rFonts w:eastAsia="MinionPro-Regular" w:cs="Arial"/>
                <w:szCs w:val="24"/>
              </w:rPr>
              <w:t>(n=63)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E07D" w14:textId="77777777" w:rsidR="00923267" w:rsidRPr="00D44F62" w:rsidRDefault="00923267" w:rsidP="00923267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D44F62">
              <w:rPr>
                <w:rFonts w:eastAsia="MinionPro-Regular" w:cs="Arial"/>
                <w:szCs w:val="24"/>
              </w:rPr>
              <w:t>Spironolactone + Placebo</w:t>
            </w:r>
          </w:p>
          <w:p w14:paraId="4BC29F48" w14:textId="0907D6E8" w:rsidR="00923267" w:rsidRPr="00D44F62" w:rsidRDefault="00923267" w:rsidP="00923267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D44F62">
              <w:rPr>
                <w:rFonts w:eastAsia="MinionPro-Regular" w:cs="Arial"/>
                <w:szCs w:val="24"/>
              </w:rPr>
              <w:t>(n=79)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3E4D" w14:textId="77777777" w:rsidR="00923267" w:rsidRPr="00D44F62" w:rsidRDefault="00923267" w:rsidP="00923267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D44F62">
              <w:rPr>
                <w:rFonts w:eastAsia="MinionPro-Regular" w:cs="Arial"/>
                <w:szCs w:val="24"/>
              </w:rPr>
              <w:t>Spironolactone + Patiromer</w:t>
            </w:r>
          </w:p>
          <w:p w14:paraId="445A91B6" w14:textId="127ED669" w:rsidR="00923267" w:rsidRPr="00D44F62" w:rsidRDefault="00923267" w:rsidP="00923267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D44F62">
              <w:rPr>
                <w:rFonts w:eastAsia="MinionPro-Regular" w:cs="Arial"/>
                <w:szCs w:val="24"/>
              </w:rPr>
              <w:t>(n=84)</w:t>
            </w:r>
          </w:p>
        </w:tc>
      </w:tr>
      <w:tr w:rsidR="00923267" w:rsidRPr="00D44F62" w14:paraId="4743C814" w14:textId="77777777" w:rsidTr="004C7BA0">
        <w:trPr>
          <w:cantSplit/>
          <w:trHeight w:val="483"/>
        </w:trPr>
        <w:tc>
          <w:tcPr>
            <w:tcW w:w="6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D4B2DC" w14:textId="61B855A1" w:rsidR="00923267" w:rsidRPr="00D44F62" w:rsidRDefault="00923267" w:rsidP="00F33237">
            <w:pPr>
              <w:adjustRightInd w:val="0"/>
              <w:spacing w:before="40" w:after="40" w:line="240" w:lineRule="auto"/>
              <w:ind w:left="300"/>
              <w:rPr>
                <w:rFonts w:cs="Arial"/>
                <w:color w:val="000000"/>
                <w:szCs w:val="24"/>
              </w:rPr>
            </w:pPr>
            <w:r w:rsidRPr="00D44F62">
              <w:rPr>
                <w:rFonts w:cs="Arial"/>
                <w:color w:val="000000"/>
                <w:szCs w:val="24"/>
              </w:rPr>
              <w:t xml:space="preserve">Cumulative dose of spironolactone, </w:t>
            </w:r>
            <w:r>
              <w:rPr>
                <w:rFonts w:cs="Arial"/>
                <w:color w:val="000000"/>
                <w:szCs w:val="24"/>
              </w:rPr>
              <w:t xml:space="preserve">mean (SE) </w:t>
            </w:r>
            <w:r w:rsidRPr="00D44F62">
              <w:rPr>
                <w:rFonts w:cs="Arial"/>
                <w:color w:val="000000"/>
                <w:szCs w:val="24"/>
              </w:rPr>
              <w:t>mg*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29FB2A" w14:textId="77B9E4FD" w:rsidR="00923267" w:rsidRPr="00D44F62" w:rsidRDefault="00923267" w:rsidP="00F33237">
            <w:pPr>
              <w:adjustRightInd w:val="0"/>
              <w:spacing w:before="40" w:after="4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2676.8 (149.2)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E6B2A2" w14:textId="3192C681" w:rsidR="00923267" w:rsidRPr="00D44F62" w:rsidRDefault="00923267" w:rsidP="00F33237">
            <w:pPr>
              <w:adjustRightInd w:val="0"/>
              <w:spacing w:before="40" w:after="4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3080.6 (125.7)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D2EA75" w14:textId="66D621CC" w:rsidR="00923267" w:rsidRPr="00D44F62" w:rsidRDefault="00923267" w:rsidP="00F33237">
            <w:pPr>
              <w:adjustRightInd w:val="0"/>
              <w:spacing w:before="40" w:after="4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2496.8 (123.5)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758A34" w14:textId="13FA10B7" w:rsidR="00923267" w:rsidRPr="00D44F62" w:rsidRDefault="00923267" w:rsidP="00F33237">
            <w:pPr>
              <w:adjustRightInd w:val="0"/>
              <w:spacing w:before="40" w:after="4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2838.7 (103.1</w:t>
            </w:r>
            <w:r w:rsidR="00926F8A">
              <w:rPr>
                <w:rFonts w:cs="Arial"/>
                <w:color w:val="000000"/>
                <w:szCs w:val="24"/>
              </w:rPr>
              <w:t>)</w:t>
            </w:r>
          </w:p>
        </w:tc>
      </w:tr>
      <w:tr w:rsidR="00923267" w:rsidRPr="00D44F62" w14:paraId="0F61C72F" w14:textId="77777777" w:rsidTr="004C7BA0">
        <w:trPr>
          <w:cantSplit/>
          <w:trHeight w:val="681"/>
        </w:trPr>
        <w:tc>
          <w:tcPr>
            <w:tcW w:w="6213" w:type="dxa"/>
            <w:shd w:val="clear" w:color="auto" w:fill="FFFFFF"/>
            <w:vAlign w:val="bottom"/>
          </w:tcPr>
          <w:p w14:paraId="47CDEF02" w14:textId="4B722921" w:rsidR="00923267" w:rsidRPr="00D44F62" w:rsidRDefault="00923267" w:rsidP="00F33237">
            <w:pPr>
              <w:adjustRightInd w:val="0"/>
              <w:spacing w:before="40" w:after="40" w:line="240" w:lineRule="auto"/>
              <w:ind w:left="300"/>
              <w:rPr>
                <w:rFonts w:cs="Arial"/>
                <w:color w:val="000000"/>
                <w:szCs w:val="24"/>
              </w:rPr>
            </w:pPr>
            <w:r>
              <w:t xml:space="preserve">Difference between treatment groups (patiromer group minus placebo group), LS </w:t>
            </w:r>
            <w:r w:rsidR="00A366FA">
              <w:t>m</w:t>
            </w:r>
            <w:r>
              <w:t>ean (SE) mg</w:t>
            </w:r>
          </w:p>
        </w:tc>
        <w:tc>
          <w:tcPr>
            <w:tcW w:w="4186" w:type="dxa"/>
            <w:gridSpan w:val="2"/>
            <w:shd w:val="clear" w:color="auto" w:fill="FFFFFF"/>
            <w:vAlign w:val="bottom"/>
          </w:tcPr>
          <w:p w14:paraId="302EB647" w14:textId="1769B8E8" w:rsidR="00923267" w:rsidRPr="00D44F62" w:rsidRDefault="00923267" w:rsidP="00F33237">
            <w:pPr>
              <w:adjustRightInd w:val="0"/>
              <w:spacing w:before="40" w:after="4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387.5 (196.4)</w:t>
            </w:r>
          </w:p>
        </w:tc>
        <w:tc>
          <w:tcPr>
            <w:tcW w:w="4186" w:type="dxa"/>
            <w:gridSpan w:val="2"/>
            <w:shd w:val="clear" w:color="auto" w:fill="FFFFFF"/>
            <w:vAlign w:val="bottom"/>
          </w:tcPr>
          <w:p w14:paraId="71BD89F1" w14:textId="4DE75EBE" w:rsidR="00923267" w:rsidRPr="00D44F62" w:rsidRDefault="00923267" w:rsidP="00F33237">
            <w:pPr>
              <w:adjustRightInd w:val="0"/>
              <w:spacing w:before="40" w:after="4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398.4 (160.1)</w:t>
            </w:r>
          </w:p>
        </w:tc>
      </w:tr>
    </w:tbl>
    <w:p w14:paraId="7A8602F0" w14:textId="31E8B876" w:rsidR="00923267" w:rsidRPr="00D44F62" w:rsidRDefault="00923267" w:rsidP="00923267">
      <w:pPr>
        <w:pStyle w:val="TableFootnote"/>
        <w:sectPr w:rsidR="00923267" w:rsidRPr="00D44F62" w:rsidSect="00A0090B">
          <w:footnotePr>
            <w:numFmt w:val="lowerLetter"/>
            <w:numRestart w:val="eachPage"/>
          </w:footnotePr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44F62">
        <w:t xml:space="preserve">* Cumulative </w:t>
      </w:r>
      <w:r w:rsidR="00A366FA">
        <w:t>d</w:t>
      </w:r>
      <w:r w:rsidRPr="00D44F62">
        <w:t xml:space="preserve">ose of </w:t>
      </w:r>
      <w:r w:rsidR="00A366FA">
        <w:t>s</w:t>
      </w:r>
      <w:r w:rsidRPr="00D44F62">
        <w:t>pironolactone = sum of actual doses taken.</w:t>
      </w:r>
    </w:p>
    <w:p w14:paraId="3A58F35C" w14:textId="53F7FAAC" w:rsidR="00047CE1" w:rsidRDefault="00047CE1" w:rsidP="00047CE1">
      <w:pPr>
        <w:pStyle w:val="Figures"/>
      </w:pPr>
      <w:bookmarkStart w:id="8" w:name="_Toc32332495"/>
      <w:r>
        <w:lastRenderedPageBreak/>
        <w:t xml:space="preserve">Supplemental Table </w:t>
      </w:r>
      <w:r w:rsidR="00453716">
        <w:t>5</w:t>
      </w:r>
      <w:r>
        <w:t xml:space="preserve">.  </w:t>
      </w:r>
      <w:r w:rsidR="0054515A" w:rsidRPr="008517AF">
        <w:rPr>
          <w:b w:val="0"/>
        </w:rPr>
        <w:t>P</w:t>
      </w:r>
      <w:r w:rsidRPr="008517AF">
        <w:rPr>
          <w:b w:val="0"/>
        </w:rPr>
        <w:t>respecified laboratory values of interest.</w:t>
      </w:r>
      <w:bookmarkEnd w:id="8"/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6213"/>
        <w:gridCol w:w="2093"/>
        <w:gridCol w:w="2093"/>
        <w:gridCol w:w="2093"/>
        <w:gridCol w:w="2093"/>
      </w:tblGrid>
      <w:tr w:rsidR="00047CE1" w:rsidRPr="00940C1F" w14:paraId="73E9373D" w14:textId="77777777" w:rsidTr="004865C6">
        <w:trPr>
          <w:cantSplit/>
          <w:trHeight w:val="350"/>
        </w:trPr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CE03A" w14:textId="77777777" w:rsidR="00047CE1" w:rsidRPr="00940C1F" w:rsidRDefault="00047CE1" w:rsidP="004865C6">
            <w:pPr>
              <w:adjustRightInd w:val="0"/>
              <w:spacing w:after="0" w:line="240" w:lineRule="auto"/>
              <w:ind w:left="300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AF58" w14:textId="06F66B4C" w:rsidR="00047CE1" w:rsidRPr="00940C1F" w:rsidRDefault="00047CE1" w:rsidP="004865C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eastAsia="MinionPro-Regular" w:cs="Arial"/>
                <w:b/>
                <w:bCs/>
                <w:szCs w:val="24"/>
              </w:rPr>
              <w:t xml:space="preserve">Patients </w:t>
            </w:r>
            <w:r w:rsidR="004A2229">
              <w:rPr>
                <w:rFonts w:eastAsia="MinionPro-Regular" w:cs="Arial"/>
                <w:b/>
                <w:bCs/>
                <w:szCs w:val="24"/>
              </w:rPr>
              <w:t>W</w:t>
            </w:r>
            <w:r w:rsidRPr="00940C1F">
              <w:rPr>
                <w:rFonts w:eastAsia="MinionPro-Regular" w:cs="Arial"/>
                <w:b/>
                <w:bCs/>
                <w:szCs w:val="24"/>
              </w:rPr>
              <w:t>ith Heart Failure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8522" w14:textId="3F492073" w:rsidR="00047CE1" w:rsidRPr="00940C1F" w:rsidRDefault="00047CE1" w:rsidP="004865C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eastAsia="MinionPro-Regular" w:cs="Arial"/>
                <w:b/>
                <w:bCs/>
                <w:szCs w:val="24"/>
              </w:rPr>
              <w:t xml:space="preserve">Patients </w:t>
            </w:r>
            <w:r w:rsidR="004A2229">
              <w:rPr>
                <w:rFonts w:eastAsia="MinionPro-Regular" w:cs="Arial"/>
                <w:b/>
                <w:bCs/>
                <w:szCs w:val="24"/>
              </w:rPr>
              <w:t>W</w:t>
            </w:r>
            <w:r w:rsidRPr="00940C1F">
              <w:rPr>
                <w:rFonts w:eastAsia="MinionPro-Regular" w:cs="Arial"/>
                <w:b/>
                <w:bCs/>
                <w:szCs w:val="24"/>
              </w:rPr>
              <w:t>ithout Heart Failure</w:t>
            </w:r>
          </w:p>
        </w:tc>
      </w:tr>
      <w:tr w:rsidR="00047CE1" w:rsidRPr="00940C1F" w14:paraId="6C664175" w14:textId="77777777" w:rsidTr="004865C6">
        <w:trPr>
          <w:cantSplit/>
          <w:trHeight w:val="953"/>
        </w:trPr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90519" w14:textId="77777777" w:rsidR="00047CE1" w:rsidRPr="00940C1F" w:rsidRDefault="00047CE1" w:rsidP="004865C6">
            <w:pPr>
              <w:adjustRightInd w:val="0"/>
              <w:spacing w:after="0" w:line="240" w:lineRule="auto"/>
              <w:ind w:left="300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81E5" w14:textId="77777777" w:rsidR="00047CE1" w:rsidRDefault="00047CE1" w:rsidP="004865C6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940C1F">
              <w:rPr>
                <w:rFonts w:eastAsia="MinionPro-Regular" w:cs="Arial"/>
                <w:szCs w:val="24"/>
              </w:rPr>
              <w:t>Spironolactone + Placebo</w:t>
            </w:r>
          </w:p>
          <w:p w14:paraId="35952B06" w14:textId="77777777" w:rsidR="00047CE1" w:rsidRPr="00940C1F" w:rsidRDefault="00047CE1" w:rsidP="004865C6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>
              <w:rPr>
                <w:rFonts w:eastAsia="MinionPro-Regular" w:cs="Arial"/>
                <w:szCs w:val="24"/>
              </w:rPr>
              <w:t>(n=69)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5055" w14:textId="77777777" w:rsidR="00047CE1" w:rsidRDefault="00047CE1" w:rsidP="004865C6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940C1F">
              <w:rPr>
                <w:rFonts w:eastAsia="MinionPro-Regular" w:cs="Arial"/>
                <w:szCs w:val="24"/>
              </w:rPr>
              <w:t>Spironolactone + Patiromer</w:t>
            </w:r>
          </w:p>
          <w:p w14:paraId="3F36ADD6" w14:textId="77777777" w:rsidR="00047CE1" w:rsidRPr="00940C1F" w:rsidRDefault="00047CE1" w:rsidP="004865C6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>
              <w:rPr>
                <w:rFonts w:eastAsia="MinionPro-Regular" w:cs="Arial"/>
                <w:szCs w:val="24"/>
              </w:rPr>
              <w:t>(n=63)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C63B" w14:textId="77777777" w:rsidR="00047CE1" w:rsidRDefault="00047CE1" w:rsidP="004865C6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940C1F">
              <w:rPr>
                <w:rFonts w:eastAsia="MinionPro-Regular" w:cs="Arial"/>
                <w:szCs w:val="24"/>
              </w:rPr>
              <w:t>Spironolactone + Placebo</w:t>
            </w:r>
          </w:p>
          <w:p w14:paraId="383C96F5" w14:textId="77777777" w:rsidR="00047CE1" w:rsidRPr="00940C1F" w:rsidRDefault="00047CE1" w:rsidP="004865C6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>
              <w:rPr>
                <w:rFonts w:eastAsia="MinionPro-Regular" w:cs="Arial"/>
                <w:szCs w:val="24"/>
              </w:rPr>
              <w:t>(n=79)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0076" w14:textId="77777777" w:rsidR="00047CE1" w:rsidRDefault="00047CE1" w:rsidP="004865C6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 w:rsidRPr="00940C1F">
              <w:rPr>
                <w:rFonts w:eastAsia="MinionPro-Regular" w:cs="Arial"/>
                <w:szCs w:val="24"/>
              </w:rPr>
              <w:t>Spironolactone + Patiromer</w:t>
            </w:r>
          </w:p>
          <w:p w14:paraId="21B65EF9" w14:textId="77777777" w:rsidR="00047CE1" w:rsidRPr="00940C1F" w:rsidRDefault="00047CE1" w:rsidP="004865C6">
            <w:pPr>
              <w:spacing w:after="0" w:line="240" w:lineRule="auto"/>
              <w:jc w:val="center"/>
              <w:rPr>
                <w:rFonts w:eastAsia="MinionPro-Regular" w:cs="Arial"/>
                <w:szCs w:val="24"/>
              </w:rPr>
            </w:pPr>
            <w:r>
              <w:rPr>
                <w:rFonts w:eastAsia="MinionPro-Regular" w:cs="Arial"/>
                <w:szCs w:val="24"/>
              </w:rPr>
              <w:t>(n=84)</w:t>
            </w:r>
          </w:p>
        </w:tc>
      </w:tr>
      <w:tr w:rsidR="00141FA6" w:rsidRPr="00940C1F" w14:paraId="15929338" w14:textId="77777777" w:rsidTr="00D405B7">
        <w:trPr>
          <w:cantSplit/>
          <w:trHeight w:val="771"/>
        </w:trPr>
        <w:tc>
          <w:tcPr>
            <w:tcW w:w="6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230221" w14:textId="77777777" w:rsidR="00141FA6" w:rsidRPr="0074132D" w:rsidRDefault="00141FA6" w:rsidP="00141FA6">
            <w:pPr>
              <w:spacing w:after="0" w:line="240" w:lineRule="auto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Serum potassium &lt;</w:t>
            </w:r>
            <w:r w:rsidRPr="0074132D">
              <w:rPr>
                <w:rFonts w:eastAsia="MinionPro-Regular" w:cs="Arial"/>
              </w:rPr>
              <w:t>3.</w:t>
            </w:r>
            <w:r>
              <w:rPr>
                <w:rFonts w:eastAsia="MinionPro-Regular" w:cs="Arial"/>
              </w:rPr>
              <w:t>8 mmol/L</w:t>
            </w:r>
          </w:p>
          <w:p w14:paraId="081565FD" w14:textId="77777777" w:rsidR="00141FA6" w:rsidRPr="0074132D" w:rsidRDefault="00141FA6" w:rsidP="00141FA6">
            <w:pPr>
              <w:spacing w:after="0" w:line="240" w:lineRule="auto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 xml:space="preserve">      </w:t>
            </w:r>
            <w:r w:rsidRPr="0074132D">
              <w:rPr>
                <w:rFonts w:eastAsia="MinionPro-Regular" w:cs="Arial"/>
              </w:rPr>
              <w:t>At Baseline</w:t>
            </w:r>
          </w:p>
          <w:p w14:paraId="3B65B3BA" w14:textId="37F63EA7" w:rsidR="00141FA6" w:rsidRDefault="00141FA6" w:rsidP="00141FA6">
            <w:pPr>
              <w:spacing w:after="0" w:line="240" w:lineRule="auto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 xml:space="preserve">      </w:t>
            </w:r>
            <w:r w:rsidRPr="0074132D">
              <w:rPr>
                <w:rFonts w:eastAsia="MinionPro-Regular" w:cs="Arial"/>
              </w:rPr>
              <w:t>At any post-baseline through Week 12 Visit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F29A12" w14:textId="77777777" w:rsidR="00D405B7" w:rsidRDefault="00141FA6" w:rsidP="00D405B7">
            <w:pPr>
              <w:spacing w:after="0" w:line="240" w:lineRule="auto"/>
              <w:jc w:val="center"/>
            </w:pPr>
            <w:r>
              <w:t>1</w:t>
            </w:r>
          </w:p>
          <w:p w14:paraId="47ACC162" w14:textId="48D816E1" w:rsidR="00141FA6" w:rsidRDefault="00141FA6" w:rsidP="00D405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395107" w14:textId="77777777" w:rsidR="00141FA6" w:rsidRDefault="00141FA6" w:rsidP="00141FA6">
            <w:pPr>
              <w:spacing w:after="0" w:line="240" w:lineRule="auto"/>
              <w:ind w:left="240"/>
              <w:jc w:val="center"/>
            </w:pPr>
          </w:p>
          <w:p w14:paraId="3FE656E7" w14:textId="77777777" w:rsidR="00141FA6" w:rsidRDefault="00141FA6" w:rsidP="00141FA6">
            <w:pPr>
              <w:spacing w:after="0" w:line="240" w:lineRule="auto"/>
              <w:jc w:val="center"/>
            </w:pPr>
            <w:r>
              <w:t>0</w:t>
            </w:r>
          </w:p>
          <w:p w14:paraId="4983AC23" w14:textId="02A0C233" w:rsidR="00141FA6" w:rsidRDefault="00141FA6" w:rsidP="00141F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46CFAE" w14:textId="77777777" w:rsidR="00141FA6" w:rsidRDefault="00141FA6" w:rsidP="00141FA6">
            <w:pPr>
              <w:spacing w:after="0" w:line="240" w:lineRule="auto"/>
              <w:jc w:val="center"/>
            </w:pPr>
            <w:r>
              <w:t>0</w:t>
            </w:r>
          </w:p>
          <w:p w14:paraId="5B6F84E4" w14:textId="739A260B" w:rsidR="00141FA6" w:rsidRDefault="00141FA6" w:rsidP="00141FA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B2710C" w14:textId="77777777" w:rsidR="00141FA6" w:rsidRDefault="00141FA6" w:rsidP="00141FA6">
            <w:pPr>
              <w:spacing w:after="0" w:line="240" w:lineRule="auto"/>
              <w:jc w:val="center"/>
            </w:pPr>
            <w:r>
              <w:t>0</w:t>
            </w:r>
          </w:p>
          <w:p w14:paraId="604A1849" w14:textId="07A7DFB6" w:rsidR="00141FA6" w:rsidRDefault="00141FA6" w:rsidP="00141FA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41FA6" w:rsidRPr="00940C1F" w14:paraId="1E102531" w14:textId="77777777" w:rsidTr="00E97BBB">
        <w:trPr>
          <w:cantSplit/>
          <w:trHeight w:val="771"/>
        </w:trPr>
        <w:tc>
          <w:tcPr>
            <w:tcW w:w="6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1A1C63" w14:textId="77777777" w:rsidR="00141FA6" w:rsidRDefault="00141FA6" w:rsidP="00141FA6">
            <w:pPr>
              <w:spacing w:after="0" w:line="240" w:lineRule="auto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>Serum potassium &lt;</w:t>
            </w:r>
            <w:r w:rsidRPr="0074132D">
              <w:rPr>
                <w:rFonts w:eastAsia="MinionPro-Regular" w:cs="Arial"/>
              </w:rPr>
              <w:t>3.5 </w:t>
            </w:r>
            <w:r>
              <w:rPr>
                <w:rFonts w:eastAsia="MinionPro-Regular" w:cs="Arial"/>
              </w:rPr>
              <w:t>mmol/L</w:t>
            </w:r>
          </w:p>
          <w:p w14:paraId="4DBFEC36" w14:textId="77777777" w:rsidR="00141FA6" w:rsidRPr="0074132D" w:rsidRDefault="00141FA6" w:rsidP="00141FA6">
            <w:pPr>
              <w:spacing w:after="0" w:line="240" w:lineRule="auto"/>
              <w:rPr>
                <w:rFonts w:eastAsia="MinionPro-Regular" w:cs="Arial"/>
              </w:rPr>
            </w:pPr>
            <w:r>
              <w:rPr>
                <w:rFonts w:eastAsia="MinionPro-Regular" w:cs="Arial"/>
              </w:rPr>
              <w:t xml:space="preserve">      </w:t>
            </w:r>
            <w:r w:rsidRPr="0074132D">
              <w:rPr>
                <w:rFonts w:eastAsia="MinionPro-Regular" w:cs="Arial"/>
              </w:rPr>
              <w:t>At Baseline</w:t>
            </w:r>
          </w:p>
          <w:p w14:paraId="0C3038AC" w14:textId="56D5C32F" w:rsidR="00141FA6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eastAsia="MinionPro-Regular" w:cs="Arial"/>
              </w:rPr>
              <w:t xml:space="preserve">      </w:t>
            </w:r>
            <w:r w:rsidRPr="0074132D">
              <w:rPr>
                <w:rFonts w:eastAsia="MinionPro-Regular" w:cs="Arial"/>
              </w:rPr>
              <w:t>At any post-baseline through Week 12 Visit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E4F739" w14:textId="77777777" w:rsidR="00141FA6" w:rsidRDefault="00141FA6" w:rsidP="00141FA6">
            <w:pPr>
              <w:spacing w:after="0" w:line="240" w:lineRule="auto"/>
              <w:ind w:left="240"/>
              <w:jc w:val="center"/>
            </w:pPr>
          </w:p>
          <w:p w14:paraId="4AED4130" w14:textId="77777777" w:rsidR="00141FA6" w:rsidRDefault="00141FA6" w:rsidP="00141FA6">
            <w:pPr>
              <w:spacing w:after="0" w:line="240" w:lineRule="auto"/>
              <w:jc w:val="center"/>
            </w:pPr>
            <w:r>
              <w:t>0</w:t>
            </w:r>
          </w:p>
          <w:p w14:paraId="30FAE2BF" w14:textId="0AEAB578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4066B4" w14:textId="77777777" w:rsidR="00141FA6" w:rsidRDefault="00141FA6" w:rsidP="00141FA6">
            <w:pPr>
              <w:spacing w:after="0" w:line="240" w:lineRule="auto"/>
              <w:jc w:val="center"/>
            </w:pPr>
            <w:r>
              <w:t>0</w:t>
            </w:r>
          </w:p>
          <w:p w14:paraId="23D97F12" w14:textId="66B0E460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1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3620AD" w14:textId="77777777" w:rsidR="00141FA6" w:rsidRDefault="00141FA6" w:rsidP="00141FA6">
            <w:pPr>
              <w:spacing w:after="0" w:line="240" w:lineRule="auto"/>
              <w:jc w:val="center"/>
            </w:pPr>
            <w:r>
              <w:t>0</w:t>
            </w:r>
          </w:p>
          <w:p w14:paraId="69ECAC87" w14:textId="5690529B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BDE244" w14:textId="77777777" w:rsidR="00141FA6" w:rsidRDefault="00141FA6" w:rsidP="00141FA6">
            <w:pPr>
              <w:spacing w:after="0" w:line="240" w:lineRule="auto"/>
              <w:jc w:val="center"/>
            </w:pPr>
            <w:r>
              <w:t>0</w:t>
            </w:r>
          </w:p>
          <w:p w14:paraId="37A3B2D3" w14:textId="049E425E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0</w:t>
            </w:r>
          </w:p>
        </w:tc>
      </w:tr>
      <w:tr w:rsidR="00141FA6" w:rsidRPr="00940C1F" w14:paraId="51773016" w14:textId="77777777" w:rsidTr="004865C6">
        <w:trPr>
          <w:cantSplit/>
          <w:trHeight w:val="1104"/>
        </w:trPr>
        <w:tc>
          <w:tcPr>
            <w:tcW w:w="6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7086AF" w14:textId="77777777" w:rsidR="00141FA6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</w:t>
            </w:r>
            <w:r w:rsidRPr="00940C1F">
              <w:rPr>
                <w:rFonts w:cs="Arial"/>
                <w:color w:val="000000"/>
                <w:szCs w:val="24"/>
              </w:rPr>
              <w:t>erum magnesium in the following</w:t>
            </w:r>
            <w:r w:rsidRPr="00940C1F">
              <w:rPr>
                <w:rFonts w:cs="Arial"/>
                <w:color w:val="000000"/>
                <w:szCs w:val="24"/>
              </w:rPr>
              <w:br/>
              <w:t>range at Baseline:</w:t>
            </w:r>
          </w:p>
          <w:p w14:paraId="2DEBB0A1" w14:textId="77777777" w:rsidR="00141FA6" w:rsidRPr="00206B1B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&lt;0.58 mmol/L</w:t>
            </w:r>
          </w:p>
          <w:p w14:paraId="45E3EE26" w14:textId="77777777" w:rsidR="00141FA6" w:rsidRPr="00206B1B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&lt;0.49 mmol/L</w:t>
            </w:r>
          </w:p>
          <w:p w14:paraId="1A8F86B7" w14:textId="54340397" w:rsidR="00141FA6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&lt;0.41 mmol/L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7AA540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7E226994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09395119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76E8E925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0F2FDC0C" w14:textId="60453211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9E994E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346C2B17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34BDDE75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</w:t>
            </w:r>
          </w:p>
          <w:p w14:paraId="730C04D2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3A19695D" w14:textId="2F21CFB8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2AA12F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61764BA8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12416618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71F65612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7BEBE6AE" w14:textId="1250E8F4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058838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0047B34D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59B6341D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3DFA1DA5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23FD8F82" w14:textId="3F501464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</w:tr>
      <w:tr w:rsidR="00141FA6" w:rsidRPr="00940C1F" w14:paraId="19D6304E" w14:textId="77777777" w:rsidTr="004865C6">
        <w:trPr>
          <w:cantSplit/>
          <w:trHeight w:val="1104"/>
        </w:trPr>
        <w:tc>
          <w:tcPr>
            <w:tcW w:w="6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2B04CF" w14:textId="77777777" w:rsidR="00141FA6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</w:t>
            </w:r>
            <w:r w:rsidRPr="00940C1F">
              <w:rPr>
                <w:rFonts w:cs="Arial"/>
                <w:color w:val="000000"/>
                <w:szCs w:val="24"/>
              </w:rPr>
              <w:t>erum magnesium in the following</w:t>
            </w:r>
            <w:r w:rsidRPr="00940C1F">
              <w:rPr>
                <w:rFonts w:cs="Arial"/>
                <w:color w:val="000000"/>
                <w:szCs w:val="24"/>
              </w:rPr>
              <w:br/>
              <w:t>range at any post-baseline through Week 12 Visit:</w:t>
            </w:r>
          </w:p>
          <w:p w14:paraId="53647A26" w14:textId="77777777" w:rsidR="00141FA6" w:rsidRPr="00206B1B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&lt;0.58 mmol/L</w:t>
            </w:r>
          </w:p>
          <w:p w14:paraId="50AEF4DF" w14:textId="77777777" w:rsidR="00141FA6" w:rsidRPr="00206B1B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&lt;0.49 mmol/L</w:t>
            </w:r>
          </w:p>
          <w:p w14:paraId="5BF3A042" w14:textId="62F4EC85" w:rsidR="00141FA6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&lt;0.41 mmol/L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229E87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702896AE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602971CB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</w:t>
            </w:r>
          </w:p>
          <w:p w14:paraId="30FF57D5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2C57E144" w14:textId="4ED94D1C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7016FF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442EF6B9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58BBF8FD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2</w:t>
            </w:r>
          </w:p>
          <w:p w14:paraId="3E4BE8CA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4269A6A6" w14:textId="012E4FEC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BCCF99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2E7509A2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5AFF641E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12B0ABB1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6A2B09F1" w14:textId="1EB76225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3CEBCC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482EE074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496598FB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</w:t>
            </w:r>
          </w:p>
          <w:p w14:paraId="59AAC307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10294203" w14:textId="0708C853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</w:tr>
      <w:tr w:rsidR="00141FA6" w:rsidRPr="00940C1F" w14:paraId="4C91F4D9" w14:textId="77777777" w:rsidTr="004865C6">
        <w:trPr>
          <w:cantSplit/>
          <w:trHeight w:val="1104"/>
        </w:trPr>
        <w:tc>
          <w:tcPr>
            <w:tcW w:w="6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F9D764" w14:textId="77777777" w:rsidR="00141FA6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</w:t>
            </w:r>
            <w:r w:rsidRPr="00940C1F">
              <w:rPr>
                <w:rFonts w:cs="Arial"/>
                <w:color w:val="000000"/>
                <w:szCs w:val="24"/>
              </w:rPr>
              <w:t>erum magnesium in the following</w:t>
            </w:r>
            <w:r w:rsidRPr="00940C1F">
              <w:rPr>
                <w:rFonts w:cs="Arial"/>
                <w:color w:val="000000"/>
                <w:szCs w:val="24"/>
              </w:rPr>
              <w:br/>
              <w:t>range at any time while on study medication:</w:t>
            </w:r>
          </w:p>
          <w:p w14:paraId="69C8FCDB" w14:textId="77777777" w:rsidR="00141FA6" w:rsidRPr="00206B1B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&lt;0.58 mmol/L</w:t>
            </w:r>
          </w:p>
          <w:p w14:paraId="5E993C31" w14:textId="77777777" w:rsidR="00141FA6" w:rsidRPr="00206B1B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&lt;0.49 mmol/L</w:t>
            </w:r>
          </w:p>
          <w:p w14:paraId="301469E0" w14:textId="37A70D73" w:rsidR="00141FA6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&lt;0.41 mmol/L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BBD2F7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26990D92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58AA6A96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*</w:t>
            </w:r>
          </w:p>
          <w:p w14:paraId="1CC7E073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  <w:r>
              <w:rPr>
                <w:rFonts w:cs="Arial"/>
                <w:color w:val="000000"/>
                <w:szCs w:val="24"/>
              </w:rPr>
              <w:t>*</w:t>
            </w:r>
          </w:p>
          <w:p w14:paraId="1A2E729F" w14:textId="3AFA5B18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  <w:r>
              <w:rPr>
                <w:rFonts w:cs="Arial"/>
                <w:color w:val="000000"/>
                <w:szCs w:val="24"/>
              </w:rPr>
              <w:t>*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56DDA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66D41EA2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72A80FE7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2</w:t>
            </w:r>
          </w:p>
          <w:p w14:paraId="34771611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02EFF2BD" w14:textId="57965B79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400DDE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3A60E07B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31909890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1339A9E7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4A40003F" w14:textId="2637B160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9C7B07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2B289C80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5008B5FD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</w:t>
            </w:r>
            <w:r w:rsidRPr="00E941E5">
              <w:rPr>
                <w:rFonts w:cs="Arial"/>
                <w:color w:val="000000"/>
                <w:szCs w:val="24"/>
                <w:vertAlign w:val="superscript"/>
              </w:rPr>
              <w:t>†</w:t>
            </w:r>
          </w:p>
          <w:p w14:paraId="793A7C6E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  <w:r w:rsidRPr="00E941E5">
              <w:rPr>
                <w:rFonts w:cs="Arial"/>
                <w:color w:val="000000"/>
                <w:szCs w:val="24"/>
                <w:vertAlign w:val="superscript"/>
              </w:rPr>
              <w:t>†</w:t>
            </w:r>
          </w:p>
          <w:p w14:paraId="14564496" w14:textId="53C479C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  <w:r w:rsidRPr="00E941E5">
              <w:rPr>
                <w:rFonts w:cs="Arial"/>
                <w:color w:val="000000"/>
                <w:szCs w:val="24"/>
                <w:vertAlign w:val="superscript"/>
              </w:rPr>
              <w:t>†</w:t>
            </w:r>
          </w:p>
        </w:tc>
      </w:tr>
      <w:tr w:rsidR="00141FA6" w:rsidRPr="00940C1F" w14:paraId="3F54D9D5" w14:textId="77777777" w:rsidTr="00E97BBB">
        <w:trPr>
          <w:cantSplit/>
          <w:trHeight w:val="951"/>
        </w:trPr>
        <w:tc>
          <w:tcPr>
            <w:tcW w:w="6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EA1EE4" w14:textId="296E44B5" w:rsidR="00141FA6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Serum calcium &lt;2.12 mmol/L</w:t>
            </w:r>
          </w:p>
          <w:p w14:paraId="15AFCE33" w14:textId="77777777" w:rsidR="00141FA6" w:rsidRPr="00940C1F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   At Baseline</w:t>
            </w:r>
          </w:p>
          <w:p w14:paraId="148624F1" w14:textId="77777777" w:rsidR="00141FA6" w:rsidRPr="00940C1F" w:rsidRDefault="00141FA6" w:rsidP="00141FA6">
            <w:pPr>
              <w:adjustRightInd w:val="0"/>
              <w:spacing w:after="0" w:line="240" w:lineRule="auto"/>
              <w:ind w:left="300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At any post-baseline through Week 12 Visit</w:t>
            </w:r>
          </w:p>
          <w:p w14:paraId="7943DDAE" w14:textId="77777777" w:rsidR="00141FA6" w:rsidRPr="00940C1F" w:rsidRDefault="00141FA6" w:rsidP="00141FA6">
            <w:pPr>
              <w:adjustRightInd w:val="0"/>
              <w:spacing w:after="0" w:line="240" w:lineRule="auto"/>
              <w:ind w:left="300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While on study medication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9C5BE4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787E0115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</w:t>
            </w:r>
          </w:p>
          <w:p w14:paraId="14FC78DE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11</w:t>
            </w:r>
          </w:p>
          <w:p w14:paraId="34B5A867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940C1F">
              <w:rPr>
                <w:rFonts w:cs="Arial"/>
                <w:color w:val="000000"/>
                <w:szCs w:val="24"/>
              </w:rPr>
              <w:t>11</w:t>
            </w:r>
            <w:r>
              <w:rPr>
                <w:rFonts w:cs="Arial"/>
                <w:color w:val="000000"/>
                <w:szCs w:val="24"/>
              </w:rPr>
              <w:t>*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0A4365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7CC85A92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</w:t>
            </w:r>
          </w:p>
          <w:p w14:paraId="2D478DEC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16</w:t>
            </w:r>
          </w:p>
          <w:p w14:paraId="2D1C6C61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769051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7D8B4D69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  <w:p w14:paraId="6425BB1D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10</w:t>
            </w:r>
          </w:p>
          <w:p w14:paraId="16883F0C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E77E56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62E66DF3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</w:t>
            </w:r>
          </w:p>
          <w:p w14:paraId="3D14F2C5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4</w:t>
            </w:r>
          </w:p>
          <w:p w14:paraId="67B25431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940C1F">
              <w:rPr>
                <w:rFonts w:cs="Arial"/>
                <w:color w:val="000000"/>
                <w:szCs w:val="24"/>
              </w:rPr>
              <w:t>4</w:t>
            </w:r>
            <w:r w:rsidRPr="00E941E5">
              <w:rPr>
                <w:rFonts w:cs="Arial"/>
                <w:color w:val="000000"/>
                <w:szCs w:val="24"/>
                <w:vertAlign w:val="superscript"/>
              </w:rPr>
              <w:t>†</w:t>
            </w:r>
          </w:p>
        </w:tc>
      </w:tr>
      <w:tr w:rsidR="00141FA6" w:rsidRPr="00940C1F" w14:paraId="18FF5B9A" w14:textId="77777777" w:rsidTr="004865C6">
        <w:trPr>
          <w:cantSplit/>
          <w:trHeight w:val="848"/>
        </w:trPr>
        <w:tc>
          <w:tcPr>
            <w:tcW w:w="6213" w:type="dxa"/>
            <w:shd w:val="clear" w:color="auto" w:fill="FFFFFF"/>
            <w:vAlign w:val="bottom"/>
          </w:tcPr>
          <w:p w14:paraId="353587C9" w14:textId="12807C3D" w:rsidR="00141FA6" w:rsidRDefault="00141FA6" w:rsidP="00141FA6">
            <w:pPr>
              <w:adjustRightInd w:val="0"/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Serum calcium &gt;2.62 mmol/L</w:t>
            </w:r>
            <w:r w:rsidRPr="00A459BD">
              <w:rPr>
                <w:rFonts w:cs="Arial"/>
                <w:color w:val="000000"/>
                <w:szCs w:val="24"/>
              </w:rPr>
              <w:t>:</w:t>
            </w:r>
          </w:p>
          <w:p w14:paraId="61A707D4" w14:textId="77777777" w:rsidR="00141FA6" w:rsidRPr="00940C1F" w:rsidRDefault="00141FA6" w:rsidP="00141FA6">
            <w:pPr>
              <w:adjustRightInd w:val="0"/>
              <w:spacing w:after="0" w:line="240" w:lineRule="auto"/>
              <w:ind w:left="300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At Baseline</w:t>
            </w:r>
          </w:p>
          <w:p w14:paraId="5FE439BD" w14:textId="77777777" w:rsidR="00141FA6" w:rsidRPr="00940C1F" w:rsidRDefault="00141FA6" w:rsidP="00141FA6">
            <w:pPr>
              <w:keepNext/>
              <w:adjustRightInd w:val="0"/>
              <w:spacing w:after="0" w:line="240" w:lineRule="auto"/>
              <w:ind w:left="300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At any post-baseline through Week 12 Visit</w:t>
            </w:r>
          </w:p>
          <w:p w14:paraId="5187ECD0" w14:textId="77777777" w:rsidR="00141FA6" w:rsidRPr="00940C1F" w:rsidRDefault="00141FA6" w:rsidP="00141FA6">
            <w:pPr>
              <w:adjustRightInd w:val="0"/>
              <w:spacing w:after="0" w:line="240" w:lineRule="auto"/>
              <w:ind w:left="300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While on study medication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6694C9A4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75088FDC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2</w:t>
            </w:r>
          </w:p>
          <w:p w14:paraId="6483F1B7" w14:textId="77777777" w:rsidR="00141FA6" w:rsidRPr="00940C1F" w:rsidRDefault="00141FA6" w:rsidP="00141FA6">
            <w:pPr>
              <w:keepNext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2</w:t>
            </w:r>
          </w:p>
          <w:p w14:paraId="34DCF0FE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940C1F">
              <w:rPr>
                <w:rFonts w:cs="Arial"/>
                <w:color w:val="000000"/>
                <w:szCs w:val="24"/>
              </w:rPr>
              <w:t>2</w:t>
            </w:r>
            <w:r>
              <w:rPr>
                <w:rFonts w:cs="Arial"/>
                <w:color w:val="000000"/>
                <w:szCs w:val="24"/>
              </w:rPr>
              <w:t>*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1B160F40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3853CEF6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2</w:t>
            </w:r>
          </w:p>
          <w:p w14:paraId="02377C80" w14:textId="77777777" w:rsidR="00141FA6" w:rsidRPr="00940C1F" w:rsidRDefault="00141FA6" w:rsidP="00141FA6">
            <w:pPr>
              <w:keepNext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2</w:t>
            </w:r>
          </w:p>
          <w:p w14:paraId="25AFF8C4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6AE74EDF" w14:textId="77777777" w:rsidR="00141FA6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46C99F6C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1</w:t>
            </w:r>
          </w:p>
          <w:p w14:paraId="3FF5C6FB" w14:textId="77777777" w:rsidR="00141FA6" w:rsidRPr="00940C1F" w:rsidRDefault="00141FA6" w:rsidP="00141FA6">
            <w:pPr>
              <w:keepNext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3</w:t>
            </w:r>
          </w:p>
          <w:p w14:paraId="52DF4F5E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5BF4AE3A" w14:textId="77777777" w:rsidR="00141FA6" w:rsidRDefault="00141FA6" w:rsidP="00141FA6">
            <w:pPr>
              <w:tabs>
                <w:tab w:val="left" w:pos="1250"/>
              </w:tabs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14:paraId="54CCC22F" w14:textId="77777777" w:rsidR="00141FA6" w:rsidRPr="00940C1F" w:rsidRDefault="00141FA6" w:rsidP="00141FA6">
            <w:pPr>
              <w:tabs>
                <w:tab w:val="left" w:pos="1250"/>
              </w:tabs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0</w:t>
            </w:r>
          </w:p>
          <w:p w14:paraId="4E425A1E" w14:textId="77777777" w:rsidR="00141FA6" w:rsidRPr="00940C1F" w:rsidRDefault="00141FA6" w:rsidP="00141FA6">
            <w:pPr>
              <w:keepNext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40C1F">
              <w:rPr>
                <w:rFonts w:cs="Arial"/>
                <w:color w:val="000000"/>
                <w:szCs w:val="24"/>
              </w:rPr>
              <w:t>2</w:t>
            </w:r>
          </w:p>
          <w:p w14:paraId="628810F4" w14:textId="77777777" w:rsidR="00141FA6" w:rsidRPr="00940C1F" w:rsidRDefault="00141FA6" w:rsidP="00141FA6">
            <w:pPr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940C1F">
              <w:rPr>
                <w:rFonts w:cs="Arial"/>
                <w:color w:val="000000"/>
                <w:szCs w:val="24"/>
              </w:rPr>
              <w:t>2</w:t>
            </w:r>
            <w:r w:rsidRPr="00E941E5">
              <w:rPr>
                <w:rFonts w:cs="Arial"/>
                <w:color w:val="000000"/>
                <w:szCs w:val="24"/>
                <w:vertAlign w:val="superscript"/>
              </w:rPr>
              <w:t>†</w:t>
            </w:r>
          </w:p>
        </w:tc>
      </w:tr>
    </w:tbl>
    <w:p w14:paraId="3D27DE1C" w14:textId="5510491A" w:rsidR="00BB1ABB" w:rsidRDefault="00BB1ABB" w:rsidP="00BB1ABB">
      <w:pPr>
        <w:spacing w:after="0" w:line="240" w:lineRule="auto"/>
      </w:pPr>
      <w:r w:rsidRPr="00736845">
        <w:t>* n = 68</w:t>
      </w:r>
      <w:r>
        <w:t xml:space="preserve"> for the placebo HF group (some patients were missing post-baseline data)</w:t>
      </w:r>
    </w:p>
    <w:p w14:paraId="5383E203" w14:textId="1EC73A0A" w:rsidR="00BB1ABB" w:rsidRPr="00736845" w:rsidRDefault="00BB1ABB" w:rsidP="00BB1ABB">
      <w:pPr>
        <w:spacing w:after="0" w:line="240" w:lineRule="auto"/>
        <w:sectPr w:rsidR="00BB1ABB" w:rsidRPr="00736845" w:rsidSect="00E97BBB">
          <w:footnotePr>
            <w:numFmt w:val="lowerLetter"/>
            <w:numRestart w:val="eachPage"/>
          </w:footnotePr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941E5">
        <w:rPr>
          <w:rFonts w:cs="Arial"/>
          <w:color w:val="000000"/>
          <w:szCs w:val="24"/>
          <w:vertAlign w:val="superscript"/>
        </w:rPr>
        <w:t>†</w:t>
      </w:r>
      <w:r>
        <w:rPr>
          <w:rFonts w:cs="Arial"/>
          <w:color w:val="000000"/>
          <w:szCs w:val="24"/>
          <w:vertAlign w:val="superscript"/>
        </w:rPr>
        <w:t xml:space="preserve">  </w:t>
      </w:r>
      <w:r>
        <w:t>n = 83 for the patiromer without HF group (some patients were missing post-baseline data)</w:t>
      </w:r>
    </w:p>
    <w:p w14:paraId="2FA65449" w14:textId="47F4215B" w:rsidR="000461EF" w:rsidRDefault="000461EF" w:rsidP="000461EF">
      <w:pPr>
        <w:pStyle w:val="Figures"/>
        <w:rPr>
          <w:b w:val="0"/>
        </w:rPr>
      </w:pPr>
      <w:bookmarkStart w:id="9" w:name="_Toc32332496"/>
      <w:r>
        <w:lastRenderedPageBreak/>
        <w:t xml:space="preserve">Supplemental Table </w:t>
      </w:r>
      <w:r w:rsidR="00453716">
        <w:t>6</w:t>
      </w:r>
      <w:r>
        <w:t xml:space="preserve">. </w:t>
      </w:r>
      <w:r w:rsidRPr="0003504D">
        <w:rPr>
          <w:b w:val="0"/>
          <w:bCs/>
        </w:rPr>
        <w:t>Estimated</w:t>
      </w:r>
      <w:r>
        <w:t xml:space="preserve"> </w:t>
      </w:r>
      <w:r w:rsidRPr="005F75C0">
        <w:rPr>
          <w:b w:val="0"/>
        </w:rPr>
        <w:t>GFR and urine albumin/creatinine ratio</w:t>
      </w:r>
      <w:r>
        <w:rPr>
          <w:b w:val="0"/>
        </w:rPr>
        <w:t xml:space="preserve"> c</w:t>
      </w:r>
      <w:r w:rsidRPr="005F75C0">
        <w:rPr>
          <w:b w:val="0"/>
        </w:rPr>
        <w:t xml:space="preserve">hange </w:t>
      </w:r>
      <w:r>
        <w:rPr>
          <w:b w:val="0"/>
        </w:rPr>
        <w:t xml:space="preserve">from baseline at </w:t>
      </w:r>
      <w:r w:rsidR="00E4677B">
        <w:rPr>
          <w:b w:val="0"/>
        </w:rPr>
        <w:t>W</w:t>
      </w:r>
      <w:r>
        <w:rPr>
          <w:b w:val="0"/>
        </w:rPr>
        <w:t>eek 12</w:t>
      </w:r>
      <w:r w:rsidRPr="005F75C0">
        <w:rPr>
          <w:b w:val="0"/>
        </w:rPr>
        <w:t>.</w:t>
      </w:r>
      <w:bookmarkEnd w:id="9"/>
    </w:p>
    <w:p w14:paraId="1AFC3F27" w14:textId="77777777" w:rsidR="000461EF" w:rsidRPr="00A66FB5" w:rsidRDefault="000461EF" w:rsidP="000461EF">
      <w:pPr>
        <w:spacing w:after="0" w:line="240" w:lineRule="auto"/>
      </w:pPr>
    </w:p>
    <w:tbl>
      <w:tblPr>
        <w:tblStyle w:val="Grilledutableau"/>
        <w:tblW w:w="14354" w:type="dxa"/>
        <w:tblLook w:val="0420" w:firstRow="1" w:lastRow="0" w:firstColumn="0" w:lastColumn="0" w:noHBand="0" w:noVBand="1"/>
      </w:tblPr>
      <w:tblGrid>
        <w:gridCol w:w="4768"/>
        <w:gridCol w:w="2679"/>
        <w:gridCol w:w="2363"/>
        <w:gridCol w:w="2181"/>
        <w:gridCol w:w="2363"/>
      </w:tblGrid>
      <w:tr w:rsidR="000461EF" w:rsidRPr="00E63C50" w14:paraId="03CC83E8" w14:textId="77777777" w:rsidTr="00A0090B">
        <w:trPr>
          <w:trHeight w:val="57"/>
        </w:trPr>
        <w:tc>
          <w:tcPr>
            <w:tcW w:w="4768" w:type="dxa"/>
            <w:vMerge w:val="restart"/>
            <w:hideMark/>
          </w:tcPr>
          <w:p w14:paraId="5A0F6B58" w14:textId="77777777" w:rsidR="000461EF" w:rsidRPr="00E63C50" w:rsidRDefault="000461EF" w:rsidP="00A0090B">
            <w:pPr>
              <w:rPr>
                <w:rFonts w:eastAsia="MinionPro-Regular" w:cs="Arial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  <w:hideMark/>
          </w:tcPr>
          <w:p w14:paraId="1C96074E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b/>
                <w:bCs/>
                <w:sz w:val="22"/>
                <w:szCs w:val="22"/>
              </w:rPr>
              <w:t>Patients With Heart Failure</w:t>
            </w:r>
          </w:p>
        </w:tc>
        <w:tc>
          <w:tcPr>
            <w:tcW w:w="4544" w:type="dxa"/>
            <w:gridSpan w:val="2"/>
            <w:vAlign w:val="center"/>
            <w:hideMark/>
          </w:tcPr>
          <w:p w14:paraId="42A30A3C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b/>
                <w:bCs/>
                <w:sz w:val="22"/>
                <w:szCs w:val="22"/>
              </w:rPr>
              <w:t>Patients Without Heart Failure</w:t>
            </w:r>
          </w:p>
        </w:tc>
      </w:tr>
      <w:tr w:rsidR="000461EF" w:rsidRPr="00E63C50" w14:paraId="3B398989" w14:textId="77777777" w:rsidTr="00A0090B">
        <w:trPr>
          <w:trHeight w:val="563"/>
        </w:trPr>
        <w:tc>
          <w:tcPr>
            <w:tcW w:w="4768" w:type="dxa"/>
            <w:vMerge/>
            <w:hideMark/>
          </w:tcPr>
          <w:p w14:paraId="57ED022B" w14:textId="77777777" w:rsidR="000461EF" w:rsidRPr="00E63C50" w:rsidRDefault="000461EF" w:rsidP="00A0090B">
            <w:pPr>
              <w:rPr>
                <w:rFonts w:eastAsia="MinionPro-Regular" w:cs="Arial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  <w:hideMark/>
          </w:tcPr>
          <w:p w14:paraId="3A790FE0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Spironolactone + Placebo</w:t>
            </w:r>
          </w:p>
          <w:p w14:paraId="5162DF90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(n=69)</w:t>
            </w:r>
          </w:p>
        </w:tc>
        <w:tc>
          <w:tcPr>
            <w:tcW w:w="2363" w:type="dxa"/>
            <w:vAlign w:val="center"/>
            <w:hideMark/>
          </w:tcPr>
          <w:p w14:paraId="59277353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Spironolactone + Patiromer</w:t>
            </w:r>
          </w:p>
          <w:p w14:paraId="59801317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(n=63)</w:t>
            </w:r>
          </w:p>
        </w:tc>
        <w:tc>
          <w:tcPr>
            <w:tcW w:w="2181" w:type="dxa"/>
            <w:vAlign w:val="center"/>
            <w:hideMark/>
          </w:tcPr>
          <w:p w14:paraId="21692E54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Spironolactone + Placebo</w:t>
            </w:r>
          </w:p>
          <w:p w14:paraId="5B22FF3E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</w:t>
            </w:r>
            <w:r>
              <w:rPr>
                <w:rFonts w:eastAsia="MinionPro-Regular" w:cs="Arial"/>
                <w:sz w:val="22"/>
                <w:szCs w:val="22"/>
              </w:rPr>
              <w:t>79</w:t>
            </w:r>
            <w:r w:rsidRPr="00E63C50"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2363" w:type="dxa"/>
            <w:vAlign w:val="center"/>
            <w:hideMark/>
          </w:tcPr>
          <w:p w14:paraId="68A6C63D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Spironolactone + Patiromer</w:t>
            </w:r>
          </w:p>
          <w:p w14:paraId="610FEE65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</w:t>
            </w:r>
            <w:r>
              <w:rPr>
                <w:rFonts w:eastAsia="MinionPro-Regular" w:cs="Arial"/>
                <w:sz w:val="22"/>
                <w:szCs w:val="22"/>
              </w:rPr>
              <w:t>84</w:t>
            </w:r>
            <w:r w:rsidRPr="00E63C50">
              <w:rPr>
                <w:rFonts w:eastAsia="MinionPro-Regular" w:cs="Arial"/>
                <w:sz w:val="22"/>
                <w:szCs w:val="22"/>
              </w:rPr>
              <w:t>)</w:t>
            </w:r>
          </w:p>
        </w:tc>
      </w:tr>
      <w:tr w:rsidR="000461EF" w:rsidRPr="00E63C50" w14:paraId="1C0826F3" w14:textId="77777777" w:rsidTr="00A0090B">
        <w:trPr>
          <w:trHeight w:val="634"/>
        </w:trPr>
        <w:tc>
          <w:tcPr>
            <w:tcW w:w="4768" w:type="dxa"/>
            <w:vAlign w:val="bottom"/>
          </w:tcPr>
          <w:p w14:paraId="295E1560" w14:textId="77777777" w:rsidR="000461EF" w:rsidRPr="00E63C50" w:rsidRDefault="000461EF" w:rsidP="004C7BA0">
            <w:pPr>
              <w:spacing w:before="40" w:after="40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sz w:val="22"/>
                <w:szCs w:val="22"/>
              </w:rPr>
              <w:t>eGFR change from baseline at week 12, mean (SE) mL/min/1.73m</w:t>
            </w:r>
            <w:r w:rsidRPr="001D229E">
              <w:rPr>
                <w:rFonts w:eastAsia="MinionPro-Regular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79" w:type="dxa"/>
            <w:vAlign w:val="bottom"/>
          </w:tcPr>
          <w:p w14:paraId="1966DE17" w14:textId="3CD91FB0" w:rsidR="000461EF" w:rsidRPr="00EE158C" w:rsidRDefault="004A2229" w:rsidP="004C7BA0">
            <w:pPr>
              <w:spacing w:before="40" w:after="40"/>
              <w:jc w:val="center"/>
            </w:pPr>
            <w:r>
              <w:rPr>
                <w:rFonts w:cs="Arial"/>
              </w:rPr>
              <w:t>–</w:t>
            </w:r>
            <w:r w:rsidR="000461EF" w:rsidRPr="001D229E">
              <w:t>0.</w:t>
            </w:r>
            <w:r w:rsidR="000461EF">
              <w:t>3</w:t>
            </w:r>
            <w:r w:rsidR="000461EF" w:rsidRPr="001D229E">
              <w:t xml:space="preserve"> </w:t>
            </w:r>
            <w:r w:rsidR="000461EF">
              <w:t>(</w:t>
            </w:r>
            <w:r w:rsidR="000461EF" w:rsidRPr="001D229E">
              <w:t>0.8</w:t>
            </w:r>
            <w:r w:rsidR="000461EF">
              <w:t>)</w:t>
            </w:r>
          </w:p>
        </w:tc>
        <w:tc>
          <w:tcPr>
            <w:tcW w:w="2363" w:type="dxa"/>
            <w:vAlign w:val="bottom"/>
          </w:tcPr>
          <w:p w14:paraId="1A62E682" w14:textId="7ACFF768" w:rsidR="000461EF" w:rsidRPr="00EE158C" w:rsidRDefault="004A2229" w:rsidP="004C7BA0">
            <w:pPr>
              <w:spacing w:before="40" w:after="40"/>
              <w:jc w:val="center"/>
            </w:pPr>
            <w:r>
              <w:rPr>
                <w:rFonts w:cs="Arial"/>
              </w:rPr>
              <w:t>–</w:t>
            </w:r>
            <w:r w:rsidR="000461EF">
              <w:t>0.2 (0.7)</w:t>
            </w:r>
          </w:p>
        </w:tc>
        <w:tc>
          <w:tcPr>
            <w:tcW w:w="2181" w:type="dxa"/>
            <w:vAlign w:val="bottom"/>
          </w:tcPr>
          <w:p w14:paraId="5F31CE02" w14:textId="407DA0DD" w:rsidR="000461EF" w:rsidRPr="00EE158C" w:rsidRDefault="004A2229" w:rsidP="004C7BA0">
            <w:pPr>
              <w:spacing w:before="40" w:after="40"/>
              <w:jc w:val="center"/>
            </w:pPr>
            <w:r>
              <w:rPr>
                <w:rFonts w:cs="Arial"/>
              </w:rPr>
              <w:t>–</w:t>
            </w:r>
            <w:r w:rsidR="000461EF">
              <w:t>3.6 (0.8)</w:t>
            </w:r>
          </w:p>
        </w:tc>
        <w:tc>
          <w:tcPr>
            <w:tcW w:w="2363" w:type="dxa"/>
            <w:vAlign w:val="bottom"/>
          </w:tcPr>
          <w:p w14:paraId="14B91931" w14:textId="5D2139EB" w:rsidR="000461EF" w:rsidRPr="00EE158C" w:rsidRDefault="004A2229" w:rsidP="004C7BA0">
            <w:pPr>
              <w:spacing w:before="40" w:after="40"/>
              <w:jc w:val="center"/>
            </w:pPr>
            <w:r>
              <w:rPr>
                <w:rFonts w:cs="Arial"/>
              </w:rPr>
              <w:t>–</w:t>
            </w:r>
            <w:r w:rsidR="000461EF">
              <w:t>2.3 (0.8)</w:t>
            </w:r>
          </w:p>
        </w:tc>
      </w:tr>
      <w:tr w:rsidR="000461EF" w:rsidRPr="00E63C50" w14:paraId="2C8A4D55" w14:textId="77777777" w:rsidTr="00A0090B">
        <w:trPr>
          <w:trHeight w:val="634"/>
        </w:trPr>
        <w:tc>
          <w:tcPr>
            <w:tcW w:w="4768" w:type="dxa"/>
            <w:vAlign w:val="bottom"/>
          </w:tcPr>
          <w:p w14:paraId="7FCAE9F4" w14:textId="77777777" w:rsidR="000461EF" w:rsidRPr="00EE158C" w:rsidRDefault="000461EF" w:rsidP="004C7BA0">
            <w:pPr>
              <w:tabs>
                <w:tab w:val="left" w:pos="345"/>
              </w:tabs>
              <w:spacing w:before="40" w:after="40"/>
              <w:rPr>
                <w:rFonts w:eastAsia="MinionPro-Regular" w:cs="Arial"/>
                <w:sz w:val="22"/>
              </w:rPr>
            </w:pPr>
            <w:r>
              <w:rPr>
                <w:rFonts w:eastAsia="MinionPro-Regular" w:cs="Arial"/>
                <w:sz w:val="22"/>
              </w:rPr>
              <w:t>Urine albumin/creatinine ratio change from baseline at week 12, mean (SE) mg/g</w:t>
            </w:r>
          </w:p>
        </w:tc>
        <w:tc>
          <w:tcPr>
            <w:tcW w:w="2679" w:type="dxa"/>
            <w:vAlign w:val="bottom"/>
          </w:tcPr>
          <w:p w14:paraId="267E1FE4" w14:textId="77777777" w:rsidR="000461EF" w:rsidRPr="00EE158C" w:rsidRDefault="000461EF" w:rsidP="004C7BA0">
            <w:pPr>
              <w:spacing w:before="40" w:after="40"/>
              <w:jc w:val="center"/>
            </w:pPr>
            <w:r>
              <w:t>35.0 (65.0)</w:t>
            </w:r>
          </w:p>
        </w:tc>
        <w:tc>
          <w:tcPr>
            <w:tcW w:w="2363" w:type="dxa"/>
            <w:vAlign w:val="bottom"/>
          </w:tcPr>
          <w:p w14:paraId="4F9A372F" w14:textId="70EC7596" w:rsidR="000461EF" w:rsidRPr="00EE158C" w:rsidRDefault="004A2229" w:rsidP="004C7BA0">
            <w:pPr>
              <w:spacing w:before="40" w:after="40"/>
              <w:jc w:val="center"/>
            </w:pPr>
            <w:r>
              <w:rPr>
                <w:rFonts w:cs="Arial"/>
              </w:rPr>
              <w:t>–</w:t>
            </w:r>
            <w:r w:rsidR="000461EF">
              <w:t>1.0 (41.9)</w:t>
            </w:r>
          </w:p>
        </w:tc>
        <w:tc>
          <w:tcPr>
            <w:tcW w:w="2181" w:type="dxa"/>
            <w:vAlign w:val="bottom"/>
          </w:tcPr>
          <w:p w14:paraId="6A43D93E" w14:textId="108AE776" w:rsidR="000461EF" w:rsidRPr="00EE158C" w:rsidRDefault="000461EF" w:rsidP="004C7BA0">
            <w:pPr>
              <w:spacing w:before="40" w:after="40"/>
              <w:jc w:val="center"/>
            </w:pPr>
            <w:r>
              <w:t>-</w:t>
            </w:r>
            <w:r w:rsidR="004A2229">
              <w:rPr>
                <w:rFonts w:cs="Arial"/>
              </w:rPr>
              <w:t>–</w:t>
            </w:r>
            <w:r>
              <w:t>22.4 (35.4)</w:t>
            </w:r>
          </w:p>
        </w:tc>
        <w:tc>
          <w:tcPr>
            <w:tcW w:w="2363" w:type="dxa"/>
            <w:vAlign w:val="bottom"/>
          </w:tcPr>
          <w:p w14:paraId="47F21131" w14:textId="4FE4C19E" w:rsidR="000461EF" w:rsidRPr="00EE158C" w:rsidRDefault="000461EF" w:rsidP="004C7BA0">
            <w:pPr>
              <w:spacing w:before="40" w:after="40"/>
              <w:jc w:val="center"/>
            </w:pPr>
            <w:r>
              <w:t>-</w:t>
            </w:r>
            <w:r w:rsidR="004A2229">
              <w:rPr>
                <w:rFonts w:cs="Arial"/>
              </w:rPr>
              <w:t>–</w:t>
            </w:r>
            <w:r>
              <w:t>8.1 (38.8)</w:t>
            </w:r>
          </w:p>
        </w:tc>
      </w:tr>
    </w:tbl>
    <w:p w14:paraId="50C58920" w14:textId="77777777" w:rsidR="000461EF" w:rsidRDefault="000461EF" w:rsidP="000461EF"/>
    <w:p w14:paraId="452A62E5" w14:textId="77777777" w:rsidR="000461EF" w:rsidRDefault="000461EF" w:rsidP="000461EF"/>
    <w:p w14:paraId="0620D5F8" w14:textId="77777777" w:rsidR="000461EF" w:rsidRDefault="000461EF" w:rsidP="000461EF"/>
    <w:p w14:paraId="34BD385A" w14:textId="77777777" w:rsidR="000461EF" w:rsidRDefault="000461EF" w:rsidP="000461EF"/>
    <w:p w14:paraId="5A27A372" w14:textId="77777777" w:rsidR="000461EF" w:rsidRDefault="000461EF" w:rsidP="000461EF"/>
    <w:p w14:paraId="3DB62295" w14:textId="77777777" w:rsidR="000461EF" w:rsidRDefault="000461EF" w:rsidP="000461EF">
      <w:pPr>
        <w:sectPr w:rsidR="000461EF" w:rsidSect="00A0090B">
          <w:footnotePr>
            <w:numFmt w:val="lowerLetter"/>
            <w:numRestart w:val="eachPage"/>
          </w:footnotePr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F5983A0" w14:textId="3CAD9A3D" w:rsidR="000461EF" w:rsidRPr="005F75C0" w:rsidRDefault="000461EF" w:rsidP="000461EF">
      <w:pPr>
        <w:pStyle w:val="Figures"/>
        <w:rPr>
          <w:b w:val="0"/>
        </w:rPr>
      </w:pPr>
      <w:bookmarkStart w:id="10" w:name="_Toc32332497"/>
      <w:r>
        <w:lastRenderedPageBreak/>
        <w:t xml:space="preserve">Supplemental Table </w:t>
      </w:r>
      <w:r w:rsidR="00453716">
        <w:t>7</w:t>
      </w:r>
      <w:r>
        <w:t xml:space="preserve">. </w:t>
      </w:r>
      <w:r w:rsidRPr="005F75C0">
        <w:rPr>
          <w:b w:val="0"/>
        </w:rPr>
        <w:t>Serum calcium and magnesium levels results over time and change from baseline.</w:t>
      </w:r>
      <w:bookmarkEnd w:id="3"/>
      <w:bookmarkEnd w:id="10"/>
    </w:p>
    <w:tbl>
      <w:tblPr>
        <w:tblStyle w:val="Grilledutableau"/>
        <w:tblW w:w="13873" w:type="dxa"/>
        <w:tblLook w:val="0420" w:firstRow="1" w:lastRow="0" w:firstColumn="0" w:lastColumn="0" w:noHBand="0" w:noVBand="1"/>
      </w:tblPr>
      <w:tblGrid>
        <w:gridCol w:w="5164"/>
        <w:gridCol w:w="2267"/>
        <w:gridCol w:w="2176"/>
        <w:gridCol w:w="2176"/>
        <w:gridCol w:w="2090"/>
      </w:tblGrid>
      <w:tr w:rsidR="000461EF" w:rsidRPr="00E63C50" w14:paraId="68B32CA2" w14:textId="77777777" w:rsidTr="00A0090B">
        <w:trPr>
          <w:trHeight w:val="351"/>
        </w:trPr>
        <w:tc>
          <w:tcPr>
            <w:tcW w:w="5164" w:type="dxa"/>
            <w:vMerge w:val="restart"/>
            <w:hideMark/>
          </w:tcPr>
          <w:p w14:paraId="781B4E43" w14:textId="77777777" w:rsidR="000461EF" w:rsidRPr="00E63C50" w:rsidRDefault="000461EF" w:rsidP="00A0090B">
            <w:pPr>
              <w:rPr>
                <w:rFonts w:eastAsia="MinionPro-Regular" w:cs="Arial"/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vAlign w:val="center"/>
            <w:hideMark/>
          </w:tcPr>
          <w:p w14:paraId="4A9668EF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b/>
                <w:bCs/>
                <w:sz w:val="22"/>
                <w:szCs w:val="22"/>
              </w:rPr>
              <w:t>Patients With Heart Failure</w:t>
            </w:r>
          </w:p>
        </w:tc>
        <w:tc>
          <w:tcPr>
            <w:tcW w:w="4266" w:type="dxa"/>
            <w:gridSpan w:val="2"/>
            <w:vAlign w:val="center"/>
            <w:hideMark/>
          </w:tcPr>
          <w:p w14:paraId="074477C3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>
              <w:rPr>
                <w:rFonts w:eastAsia="MinionPro-Regular" w:cs="Arial"/>
                <w:b/>
                <w:bCs/>
                <w:sz w:val="22"/>
                <w:szCs w:val="22"/>
              </w:rPr>
              <w:t>Patients Without Heart Failure</w:t>
            </w:r>
          </w:p>
        </w:tc>
      </w:tr>
      <w:tr w:rsidR="000461EF" w:rsidRPr="00E63C50" w14:paraId="0B928350" w14:textId="77777777" w:rsidTr="00A0090B">
        <w:trPr>
          <w:trHeight w:val="908"/>
        </w:trPr>
        <w:tc>
          <w:tcPr>
            <w:tcW w:w="5164" w:type="dxa"/>
            <w:vMerge/>
            <w:hideMark/>
          </w:tcPr>
          <w:p w14:paraId="3CC436EA" w14:textId="77777777" w:rsidR="000461EF" w:rsidRPr="00E63C50" w:rsidRDefault="000461EF" w:rsidP="00A0090B">
            <w:pPr>
              <w:rPr>
                <w:rFonts w:eastAsia="MinionPro-Regular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  <w:hideMark/>
          </w:tcPr>
          <w:p w14:paraId="4E7B96B5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Spironolactone + Placebo</w:t>
            </w:r>
          </w:p>
          <w:p w14:paraId="76518693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(n=69)</w:t>
            </w:r>
          </w:p>
        </w:tc>
        <w:tc>
          <w:tcPr>
            <w:tcW w:w="2176" w:type="dxa"/>
            <w:vAlign w:val="center"/>
            <w:hideMark/>
          </w:tcPr>
          <w:p w14:paraId="30A4BA07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Spironolactone + Patiromer</w:t>
            </w:r>
          </w:p>
          <w:p w14:paraId="3A816580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(n=63)</w:t>
            </w:r>
          </w:p>
        </w:tc>
        <w:tc>
          <w:tcPr>
            <w:tcW w:w="2176" w:type="dxa"/>
            <w:vAlign w:val="center"/>
            <w:hideMark/>
          </w:tcPr>
          <w:p w14:paraId="111FB9DE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Spironolactone + Placebo</w:t>
            </w:r>
          </w:p>
          <w:p w14:paraId="092A2F60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</w:t>
            </w:r>
            <w:r>
              <w:rPr>
                <w:rFonts w:eastAsia="MinionPro-Regular" w:cs="Arial"/>
                <w:sz w:val="22"/>
                <w:szCs w:val="22"/>
              </w:rPr>
              <w:t>79</w:t>
            </w:r>
            <w:r w:rsidRPr="00E63C50">
              <w:rPr>
                <w:rFonts w:eastAsia="MinionPro-Regular" w:cs="Arial"/>
                <w:sz w:val="22"/>
                <w:szCs w:val="22"/>
              </w:rPr>
              <w:t>)</w:t>
            </w:r>
          </w:p>
        </w:tc>
        <w:tc>
          <w:tcPr>
            <w:tcW w:w="2089" w:type="dxa"/>
            <w:vAlign w:val="center"/>
            <w:hideMark/>
          </w:tcPr>
          <w:p w14:paraId="3268326B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Spironolactone + Patiromer</w:t>
            </w:r>
          </w:p>
          <w:p w14:paraId="626303B8" w14:textId="77777777" w:rsidR="000461EF" w:rsidRPr="00E63C50" w:rsidRDefault="000461EF" w:rsidP="00A0090B">
            <w:pPr>
              <w:jc w:val="center"/>
              <w:rPr>
                <w:rFonts w:eastAsia="MinionPro-Regular" w:cs="Arial"/>
                <w:sz w:val="22"/>
                <w:szCs w:val="22"/>
              </w:rPr>
            </w:pPr>
            <w:r w:rsidRPr="00E63C50">
              <w:rPr>
                <w:rFonts w:eastAsia="MinionPro-Regular" w:cs="Arial"/>
                <w:sz w:val="22"/>
                <w:szCs w:val="22"/>
              </w:rPr>
              <w:t>(n=</w:t>
            </w:r>
            <w:r>
              <w:rPr>
                <w:rFonts w:eastAsia="MinionPro-Regular" w:cs="Arial"/>
                <w:sz w:val="22"/>
                <w:szCs w:val="22"/>
              </w:rPr>
              <w:t>84</w:t>
            </w:r>
            <w:r w:rsidRPr="00E63C50">
              <w:rPr>
                <w:rFonts w:eastAsia="MinionPro-Regular" w:cs="Arial"/>
                <w:sz w:val="22"/>
                <w:szCs w:val="22"/>
              </w:rPr>
              <w:t>)</w:t>
            </w:r>
          </w:p>
        </w:tc>
      </w:tr>
      <w:tr w:rsidR="000461EF" w:rsidRPr="00E63C50" w14:paraId="3DD9808B" w14:textId="77777777" w:rsidTr="007E7E27">
        <w:trPr>
          <w:trHeight w:val="3014"/>
        </w:trPr>
        <w:tc>
          <w:tcPr>
            <w:tcW w:w="5164" w:type="dxa"/>
            <w:vAlign w:val="bottom"/>
          </w:tcPr>
          <w:p w14:paraId="0EC442E5" w14:textId="77777777" w:rsidR="000461EF" w:rsidRDefault="000461EF" w:rsidP="004C7BA0">
            <w:pPr>
              <w:spacing w:before="40" w:after="40"/>
            </w:pPr>
            <w:r>
              <w:t>Magnesium, mean (SE) mmol/L</w:t>
            </w:r>
          </w:p>
          <w:p w14:paraId="1A4712D3" w14:textId="77777777" w:rsidR="000461EF" w:rsidRDefault="000461EF" w:rsidP="004C7BA0">
            <w:pPr>
              <w:spacing w:before="40" w:after="40"/>
              <w:ind w:left="240"/>
            </w:pPr>
            <w:r>
              <w:t>Baseline</w:t>
            </w:r>
          </w:p>
          <w:p w14:paraId="33A9F501" w14:textId="77777777" w:rsidR="000461EF" w:rsidRDefault="000461EF" w:rsidP="004C7BA0">
            <w:pPr>
              <w:spacing w:before="40" w:after="40"/>
              <w:ind w:left="240"/>
            </w:pPr>
            <w:r>
              <w:t>Week 1</w:t>
            </w:r>
          </w:p>
          <w:p w14:paraId="1A2904BA" w14:textId="77777777" w:rsidR="000461EF" w:rsidRDefault="000461EF" w:rsidP="004C7BA0">
            <w:pPr>
              <w:spacing w:before="40" w:after="40"/>
              <w:ind w:left="240"/>
            </w:pPr>
            <w:r>
              <w:t>Week 2</w:t>
            </w:r>
          </w:p>
          <w:p w14:paraId="32A7137C" w14:textId="77777777" w:rsidR="000461EF" w:rsidRDefault="000461EF" w:rsidP="004C7BA0">
            <w:pPr>
              <w:spacing w:before="40" w:after="40"/>
              <w:ind w:left="240"/>
            </w:pPr>
            <w:r>
              <w:t>Week 3</w:t>
            </w:r>
          </w:p>
          <w:p w14:paraId="4EA35390" w14:textId="77777777" w:rsidR="000461EF" w:rsidRDefault="000461EF" w:rsidP="004C7BA0">
            <w:pPr>
              <w:spacing w:before="40" w:after="40"/>
              <w:ind w:left="240"/>
            </w:pPr>
            <w:r>
              <w:t>Week 4</w:t>
            </w:r>
          </w:p>
          <w:p w14:paraId="6AC99B25" w14:textId="77777777" w:rsidR="000461EF" w:rsidRDefault="000461EF" w:rsidP="004C7BA0">
            <w:pPr>
              <w:spacing w:before="40" w:after="40"/>
              <w:ind w:left="240"/>
            </w:pPr>
            <w:r>
              <w:t>Week 6</w:t>
            </w:r>
          </w:p>
          <w:p w14:paraId="5351C07E" w14:textId="77777777" w:rsidR="000461EF" w:rsidRDefault="000461EF" w:rsidP="004C7BA0">
            <w:pPr>
              <w:spacing w:before="40" w:after="40"/>
              <w:ind w:left="240"/>
            </w:pPr>
            <w:r>
              <w:t>Week 8</w:t>
            </w:r>
          </w:p>
          <w:p w14:paraId="02528AE7" w14:textId="77777777" w:rsidR="000461EF" w:rsidRDefault="000461EF" w:rsidP="004C7BA0">
            <w:pPr>
              <w:spacing w:before="40" w:after="40"/>
              <w:ind w:left="240"/>
            </w:pPr>
            <w:r>
              <w:t>Week 10</w:t>
            </w:r>
          </w:p>
          <w:p w14:paraId="33A76D53" w14:textId="77777777" w:rsidR="000461EF" w:rsidRDefault="000461EF" w:rsidP="004C7BA0">
            <w:pPr>
              <w:spacing w:before="40" w:after="40"/>
              <w:ind w:left="240"/>
            </w:pPr>
            <w:r>
              <w:t>Week 12</w:t>
            </w:r>
          </w:p>
          <w:p w14:paraId="3919E5D7" w14:textId="7BB07001" w:rsidR="000461EF" w:rsidRDefault="000461EF" w:rsidP="004C7BA0">
            <w:pPr>
              <w:spacing w:before="40" w:after="40"/>
              <w:ind w:left="689"/>
            </w:pPr>
            <w:r>
              <w:t xml:space="preserve">Change from baseline to </w:t>
            </w:r>
            <w:r w:rsidR="00E4677B">
              <w:t>W</w:t>
            </w:r>
            <w:r>
              <w:t>eek 12</w:t>
            </w:r>
          </w:p>
          <w:p w14:paraId="31934E09" w14:textId="77777777" w:rsidR="000461EF" w:rsidRDefault="000461EF" w:rsidP="004C7BA0">
            <w:pPr>
              <w:spacing w:before="40" w:after="40"/>
              <w:ind w:left="240"/>
            </w:pPr>
            <w:r>
              <w:t>Follow-up</w:t>
            </w:r>
          </w:p>
          <w:p w14:paraId="7B257C71" w14:textId="78F4D9F6" w:rsidR="000461EF" w:rsidRPr="00E63C50" w:rsidRDefault="000461EF" w:rsidP="004C7BA0">
            <w:pPr>
              <w:spacing w:before="40" w:after="40"/>
              <w:ind w:left="689"/>
              <w:rPr>
                <w:rFonts w:eastAsia="MinionPro-Regular" w:cs="Arial"/>
                <w:sz w:val="22"/>
                <w:szCs w:val="22"/>
              </w:rPr>
            </w:pPr>
            <w:r>
              <w:t>Change from baseline to follow-up</w:t>
            </w:r>
          </w:p>
        </w:tc>
        <w:tc>
          <w:tcPr>
            <w:tcW w:w="2267" w:type="dxa"/>
            <w:vAlign w:val="bottom"/>
          </w:tcPr>
          <w:p w14:paraId="465B154E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0.86 (0.01)</w:t>
            </w:r>
          </w:p>
          <w:p w14:paraId="2F4D2089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3CE60162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0.88 (0.01)</w:t>
            </w:r>
          </w:p>
          <w:p w14:paraId="5ECFEFBB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0.86 (0.01)</w:t>
            </w:r>
          </w:p>
          <w:p w14:paraId="6A2CBEAF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519C330A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705EDCF3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0.85 (0.01)</w:t>
            </w:r>
          </w:p>
          <w:p w14:paraId="024F39B6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0.86 (0.01)</w:t>
            </w:r>
          </w:p>
          <w:p w14:paraId="3465B018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0.86 (0.01)</w:t>
            </w:r>
          </w:p>
          <w:p w14:paraId="3C214C4F" w14:textId="6C8678FF" w:rsidR="00A35BE6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A35BE6">
              <w:t>0.00 (0.01)</w:t>
            </w:r>
          </w:p>
          <w:p w14:paraId="64793708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7691C748" w14:textId="3083849B" w:rsidR="000461EF" w:rsidRPr="00EE158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A35BE6">
              <w:t>0.01 (0.01)</w:t>
            </w:r>
          </w:p>
        </w:tc>
        <w:tc>
          <w:tcPr>
            <w:tcW w:w="2176" w:type="dxa"/>
            <w:vAlign w:val="bottom"/>
          </w:tcPr>
          <w:p w14:paraId="3383EC60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0.86 (0.02)</w:t>
            </w:r>
          </w:p>
          <w:p w14:paraId="670FF3EB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6A0D5E6D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0.86 (0.02)</w:t>
            </w:r>
          </w:p>
          <w:p w14:paraId="1DEC768F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138D0233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0.85 (0.02)</w:t>
            </w:r>
          </w:p>
          <w:p w14:paraId="239A257D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0.88 (0.02)</w:t>
            </w:r>
          </w:p>
          <w:p w14:paraId="6B9CE068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0.86 (0.01)</w:t>
            </w:r>
          </w:p>
          <w:p w14:paraId="7C59F83A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0.88 (0.02)</w:t>
            </w:r>
          </w:p>
          <w:p w14:paraId="2294D26A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0.86 (0.01)</w:t>
            </w:r>
          </w:p>
          <w:p w14:paraId="42590466" w14:textId="2BE27471" w:rsidR="00383D77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4A2229">
              <w:rPr>
                <w:rFonts w:cs="Arial"/>
              </w:rPr>
              <w:t>–</w:t>
            </w:r>
            <w:r w:rsidR="00383D77">
              <w:t>0.01 (0.01)</w:t>
            </w:r>
          </w:p>
          <w:p w14:paraId="6C0A995D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0.9 (0.02)</w:t>
            </w:r>
          </w:p>
          <w:p w14:paraId="1283019E" w14:textId="3ABD31AD" w:rsidR="000461EF" w:rsidRPr="00EE158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383D77">
              <w:t>0.03 (0.01)</w:t>
            </w:r>
          </w:p>
        </w:tc>
        <w:tc>
          <w:tcPr>
            <w:tcW w:w="2176" w:type="dxa"/>
            <w:vAlign w:val="bottom"/>
          </w:tcPr>
          <w:p w14:paraId="4F2D450A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16BE5F76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2060E8A4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0.88 (0.01)</w:t>
            </w:r>
          </w:p>
          <w:p w14:paraId="40C9ACF3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0.89 (0.01)</w:t>
            </w:r>
          </w:p>
          <w:p w14:paraId="13FCCA29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0.86 (0.01)</w:t>
            </w:r>
          </w:p>
          <w:p w14:paraId="63E43F3D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0.88 (0.01)</w:t>
            </w:r>
          </w:p>
          <w:p w14:paraId="465AF7C7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2AE0675C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7DE9F4A2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135ADE3F" w14:textId="6AF022D6" w:rsidR="00383D77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383D77">
              <w:t>0</w:t>
            </w:r>
            <w:r>
              <w:t>.00</w:t>
            </w:r>
            <w:r w:rsidR="00383D77">
              <w:t xml:space="preserve"> (0.01)</w:t>
            </w:r>
          </w:p>
          <w:p w14:paraId="200CBFE0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0.9 (0.01)</w:t>
            </w:r>
          </w:p>
          <w:p w14:paraId="5D2A4148" w14:textId="4F4CBDC1" w:rsidR="000461EF" w:rsidRPr="00EE158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383D77">
              <w:t>0.02 (0.01)</w:t>
            </w:r>
          </w:p>
        </w:tc>
        <w:tc>
          <w:tcPr>
            <w:tcW w:w="2089" w:type="dxa"/>
            <w:vAlign w:val="bottom"/>
          </w:tcPr>
          <w:p w14:paraId="6F30BBD9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0.87 (0.01)</w:t>
            </w:r>
          </w:p>
          <w:p w14:paraId="3BA369B2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0.84 (0.01)</w:t>
            </w:r>
          </w:p>
          <w:p w14:paraId="071AA0DE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0.83 (0.01)</w:t>
            </w:r>
          </w:p>
          <w:p w14:paraId="239A17E7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0.86 (0.02)</w:t>
            </w:r>
          </w:p>
          <w:p w14:paraId="6993B5AF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0.84 (0.01)</w:t>
            </w:r>
          </w:p>
          <w:p w14:paraId="62ADE053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0.82 (0.01)</w:t>
            </w:r>
          </w:p>
          <w:p w14:paraId="4383C39E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0.84 (0.01)</w:t>
            </w:r>
          </w:p>
          <w:p w14:paraId="30F45AB8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0.84 (0.01)</w:t>
            </w:r>
          </w:p>
          <w:p w14:paraId="294901E9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0.83 (0.01)</w:t>
            </w:r>
          </w:p>
          <w:p w14:paraId="6DA27C55" w14:textId="0FB1C90F" w:rsidR="0063199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4A2229">
              <w:rPr>
                <w:rFonts w:cs="Arial"/>
              </w:rPr>
              <w:t>–</w:t>
            </w:r>
            <w:r w:rsidR="00383D77">
              <w:t>0.04 (0.01)</w:t>
            </w:r>
          </w:p>
          <w:p w14:paraId="21D70144" w14:textId="77777777" w:rsidR="00383D77" w:rsidRDefault="00383D77" w:rsidP="004C7BA0">
            <w:pPr>
              <w:spacing w:before="40" w:after="40"/>
              <w:ind w:left="240"/>
              <w:jc w:val="center"/>
            </w:pPr>
            <w:r>
              <w:t>0.88 (0.01)</w:t>
            </w:r>
          </w:p>
          <w:p w14:paraId="6C52C196" w14:textId="09660B8B" w:rsidR="000461EF" w:rsidRPr="00EE158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383D77">
              <w:t>0.01 (0.01)</w:t>
            </w:r>
          </w:p>
        </w:tc>
      </w:tr>
      <w:tr w:rsidR="000461EF" w:rsidRPr="00E63C50" w14:paraId="6BF35FA1" w14:textId="77777777" w:rsidTr="007E7E27">
        <w:trPr>
          <w:trHeight w:val="3050"/>
        </w:trPr>
        <w:tc>
          <w:tcPr>
            <w:tcW w:w="5164" w:type="dxa"/>
            <w:vAlign w:val="bottom"/>
          </w:tcPr>
          <w:p w14:paraId="5C252172" w14:textId="77777777" w:rsidR="000461EF" w:rsidRDefault="000461EF" w:rsidP="004C7BA0">
            <w:pPr>
              <w:spacing w:before="40" w:after="40"/>
            </w:pPr>
            <w:r>
              <w:t>Calcium, mean (SE) mmol/L</w:t>
            </w:r>
          </w:p>
          <w:p w14:paraId="17810129" w14:textId="77777777" w:rsidR="000461EF" w:rsidRDefault="000461EF" w:rsidP="004C7BA0">
            <w:pPr>
              <w:spacing w:before="40" w:after="40"/>
              <w:ind w:left="240"/>
            </w:pPr>
            <w:r>
              <w:t>Baseline</w:t>
            </w:r>
          </w:p>
          <w:p w14:paraId="4B164734" w14:textId="77777777" w:rsidR="000461EF" w:rsidRDefault="000461EF" w:rsidP="004C7BA0">
            <w:pPr>
              <w:spacing w:before="40" w:after="40"/>
              <w:ind w:left="240"/>
            </w:pPr>
            <w:r>
              <w:t>Week 1</w:t>
            </w:r>
          </w:p>
          <w:p w14:paraId="30B67068" w14:textId="77777777" w:rsidR="000461EF" w:rsidRDefault="000461EF" w:rsidP="004C7BA0">
            <w:pPr>
              <w:spacing w:before="40" w:after="40"/>
              <w:ind w:left="240"/>
            </w:pPr>
            <w:r>
              <w:t>Week 2</w:t>
            </w:r>
          </w:p>
          <w:p w14:paraId="62030971" w14:textId="77777777" w:rsidR="000461EF" w:rsidRDefault="000461EF" w:rsidP="004C7BA0">
            <w:pPr>
              <w:spacing w:before="40" w:after="40"/>
              <w:ind w:left="240"/>
            </w:pPr>
            <w:r>
              <w:t>Week 3</w:t>
            </w:r>
          </w:p>
          <w:p w14:paraId="298E0EB7" w14:textId="77777777" w:rsidR="000461EF" w:rsidRDefault="000461EF" w:rsidP="004C7BA0">
            <w:pPr>
              <w:spacing w:before="40" w:after="40"/>
              <w:ind w:left="240"/>
            </w:pPr>
            <w:r>
              <w:t>Week 4</w:t>
            </w:r>
          </w:p>
          <w:p w14:paraId="49D75414" w14:textId="77777777" w:rsidR="000461EF" w:rsidRDefault="000461EF" w:rsidP="004C7BA0">
            <w:pPr>
              <w:spacing w:before="40" w:after="40"/>
              <w:ind w:left="240"/>
            </w:pPr>
            <w:r>
              <w:t>Week 6</w:t>
            </w:r>
          </w:p>
          <w:p w14:paraId="64C155AF" w14:textId="77777777" w:rsidR="000461EF" w:rsidRDefault="000461EF" w:rsidP="004C7BA0">
            <w:pPr>
              <w:spacing w:before="40" w:after="40"/>
              <w:ind w:left="240"/>
            </w:pPr>
            <w:r>
              <w:t>Week 8</w:t>
            </w:r>
          </w:p>
          <w:p w14:paraId="68011348" w14:textId="77777777" w:rsidR="000461EF" w:rsidRDefault="000461EF" w:rsidP="004C7BA0">
            <w:pPr>
              <w:spacing w:before="40" w:after="40"/>
              <w:ind w:left="240"/>
            </w:pPr>
            <w:r>
              <w:t>Week 10</w:t>
            </w:r>
          </w:p>
          <w:p w14:paraId="0C4DA2E7" w14:textId="77777777" w:rsidR="000461EF" w:rsidRDefault="000461EF" w:rsidP="004C7BA0">
            <w:pPr>
              <w:spacing w:before="40" w:after="40"/>
              <w:ind w:left="240"/>
            </w:pPr>
            <w:r>
              <w:t>Week 12</w:t>
            </w:r>
          </w:p>
          <w:p w14:paraId="196F210E" w14:textId="3AC5CF4C" w:rsidR="000461EF" w:rsidRDefault="000461EF" w:rsidP="004C7BA0">
            <w:pPr>
              <w:spacing w:before="40" w:after="40"/>
              <w:ind w:left="689"/>
            </w:pPr>
            <w:r>
              <w:t xml:space="preserve">Change from baseline to </w:t>
            </w:r>
            <w:r w:rsidR="00E4677B">
              <w:t>W</w:t>
            </w:r>
            <w:r>
              <w:t>eek 12</w:t>
            </w:r>
          </w:p>
          <w:p w14:paraId="5753E536" w14:textId="77777777" w:rsidR="000461EF" w:rsidRDefault="000461EF" w:rsidP="004C7BA0">
            <w:pPr>
              <w:spacing w:before="40" w:after="40"/>
              <w:ind w:left="240"/>
            </w:pPr>
            <w:r>
              <w:t>Follow-up</w:t>
            </w:r>
          </w:p>
          <w:p w14:paraId="488D1B43" w14:textId="38495B7A" w:rsidR="000461EF" w:rsidRPr="00EE158C" w:rsidRDefault="000461EF" w:rsidP="004C7BA0">
            <w:pPr>
              <w:tabs>
                <w:tab w:val="left" w:pos="345"/>
              </w:tabs>
              <w:spacing w:before="40" w:after="40"/>
              <w:ind w:left="689"/>
              <w:rPr>
                <w:rFonts w:eastAsia="MinionPro-Regular" w:cs="Arial"/>
                <w:sz w:val="22"/>
              </w:rPr>
            </w:pPr>
            <w:r>
              <w:t>Change from baseline to follow-up</w:t>
            </w:r>
          </w:p>
        </w:tc>
        <w:tc>
          <w:tcPr>
            <w:tcW w:w="2267" w:type="dxa"/>
            <w:vAlign w:val="bottom"/>
          </w:tcPr>
          <w:p w14:paraId="0DC0F71F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2.3 (0.02)</w:t>
            </w:r>
          </w:p>
          <w:p w14:paraId="3ED52246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2.33 (0.02)</w:t>
            </w:r>
          </w:p>
          <w:p w14:paraId="1190B23F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2.32 (0.02)</w:t>
            </w:r>
          </w:p>
          <w:p w14:paraId="7712D40E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2.31 (0.02)</w:t>
            </w:r>
          </w:p>
          <w:p w14:paraId="285E0DA1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2.31 (0.02)</w:t>
            </w:r>
          </w:p>
          <w:p w14:paraId="3B3DACBC" w14:textId="3A1DDBE6" w:rsidR="00A35BE6" w:rsidRDefault="00A35BE6" w:rsidP="004C7BA0">
            <w:pPr>
              <w:spacing w:before="40" w:after="40"/>
              <w:ind w:left="240"/>
              <w:jc w:val="center"/>
            </w:pPr>
            <w:r>
              <w:t>2.3</w:t>
            </w:r>
            <w:r w:rsidR="00383D77">
              <w:t>0</w:t>
            </w:r>
            <w:r>
              <w:t xml:space="preserve"> (0.02)</w:t>
            </w:r>
          </w:p>
          <w:p w14:paraId="48187A91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2.27 (0.02)</w:t>
            </w:r>
          </w:p>
          <w:p w14:paraId="6E22F772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2.29 (0.02)</w:t>
            </w:r>
          </w:p>
          <w:p w14:paraId="4E7BCA66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2.28 (0.02)</w:t>
            </w:r>
          </w:p>
          <w:p w14:paraId="7E1079CD" w14:textId="3104E21A" w:rsidR="00A35BE6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4A2229">
              <w:rPr>
                <w:rFonts w:cs="Arial"/>
              </w:rPr>
              <w:t>–</w:t>
            </w:r>
            <w:r w:rsidR="00A35BE6">
              <w:t>0.01 (0.01)</w:t>
            </w:r>
          </w:p>
          <w:p w14:paraId="591DAA01" w14:textId="77777777" w:rsidR="00A35BE6" w:rsidRDefault="00A35BE6" w:rsidP="004C7BA0">
            <w:pPr>
              <w:spacing w:before="40" w:after="40"/>
              <w:ind w:left="240"/>
              <w:jc w:val="center"/>
            </w:pPr>
            <w:r>
              <w:t>2.27 (0.02)</w:t>
            </w:r>
          </w:p>
          <w:p w14:paraId="0F18CFF1" w14:textId="70F85F2A" w:rsidR="000461EF" w:rsidRPr="00EE158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4A2229">
              <w:rPr>
                <w:rFonts w:cs="Arial"/>
              </w:rPr>
              <w:t>–</w:t>
            </w:r>
            <w:r w:rsidR="00A35BE6">
              <w:t>0.01 (0.01)</w:t>
            </w:r>
          </w:p>
        </w:tc>
        <w:tc>
          <w:tcPr>
            <w:tcW w:w="2176" w:type="dxa"/>
            <w:vAlign w:val="bottom"/>
          </w:tcPr>
          <w:p w14:paraId="7C713169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2.29 (0.02)</w:t>
            </w:r>
          </w:p>
          <w:p w14:paraId="1D8180F5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 (0.02)</w:t>
            </w:r>
          </w:p>
          <w:p w14:paraId="0C3CFB91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2.32 (0.02)</w:t>
            </w:r>
          </w:p>
          <w:p w14:paraId="1A8BA4DF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 (0.02)</w:t>
            </w:r>
          </w:p>
          <w:p w14:paraId="7A40C584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2.31 (0.02)</w:t>
            </w:r>
          </w:p>
          <w:p w14:paraId="21E6563C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 (0.02)</w:t>
            </w:r>
          </w:p>
          <w:p w14:paraId="1C870A40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2.29 (0.02)</w:t>
            </w:r>
          </w:p>
          <w:p w14:paraId="03A0F38C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2.28 (0.02)</w:t>
            </w:r>
          </w:p>
          <w:p w14:paraId="50AC0179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2.27 (0.02)</w:t>
            </w:r>
          </w:p>
          <w:p w14:paraId="71C160F6" w14:textId="7903A286" w:rsidR="0063199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4A2229">
              <w:rPr>
                <w:rFonts w:cs="Arial"/>
              </w:rPr>
              <w:t>–</w:t>
            </w:r>
            <w:r>
              <w:t>0.01 (0.02)</w:t>
            </w:r>
          </w:p>
          <w:p w14:paraId="22B1ADB0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2.28 (0.02)</w:t>
            </w:r>
          </w:p>
          <w:p w14:paraId="2EEAFF01" w14:textId="0C8A3B6F" w:rsidR="000461EF" w:rsidRPr="00EE158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0.01 (0.01)</w:t>
            </w:r>
          </w:p>
        </w:tc>
        <w:tc>
          <w:tcPr>
            <w:tcW w:w="2176" w:type="dxa"/>
            <w:vAlign w:val="bottom"/>
          </w:tcPr>
          <w:p w14:paraId="0607073E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(0.02)</w:t>
            </w:r>
          </w:p>
          <w:p w14:paraId="56AD8973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(0.02)</w:t>
            </w:r>
          </w:p>
          <w:p w14:paraId="5A7ED5E5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2.35 (0.02)</w:t>
            </w:r>
          </w:p>
          <w:p w14:paraId="4EE09938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2.32 (0.02)</w:t>
            </w:r>
          </w:p>
          <w:p w14:paraId="1962C9D2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(0.02)</w:t>
            </w:r>
          </w:p>
          <w:p w14:paraId="7DE533E9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2.34 (0.02)</w:t>
            </w:r>
          </w:p>
          <w:p w14:paraId="5D055B71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(0.02)</w:t>
            </w:r>
          </w:p>
          <w:p w14:paraId="3191EA2C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(0.02)</w:t>
            </w:r>
          </w:p>
          <w:p w14:paraId="45D177F2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2.32 (0.02)</w:t>
            </w:r>
          </w:p>
          <w:p w14:paraId="0FF35037" w14:textId="1EAA4010" w:rsidR="0063199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4A2229">
              <w:rPr>
                <w:rFonts w:cs="Arial"/>
              </w:rPr>
              <w:t>–</w:t>
            </w:r>
            <w:r>
              <w:t>0.01 (0.01)</w:t>
            </w:r>
          </w:p>
          <w:p w14:paraId="04590488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 (0.02)</w:t>
            </w:r>
          </w:p>
          <w:p w14:paraId="4FCD48DC" w14:textId="704013B1" w:rsidR="000461EF" w:rsidRPr="00EE158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4A2229">
              <w:rPr>
                <w:rFonts w:cs="Arial"/>
              </w:rPr>
              <w:t>–</w:t>
            </w:r>
            <w:r>
              <w:t>0.03 (0.01)</w:t>
            </w:r>
          </w:p>
        </w:tc>
        <w:tc>
          <w:tcPr>
            <w:tcW w:w="2089" w:type="dxa"/>
            <w:vAlign w:val="bottom"/>
          </w:tcPr>
          <w:p w14:paraId="185A2E24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(0.01)</w:t>
            </w:r>
          </w:p>
          <w:p w14:paraId="56A8C7CF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(0.01)</w:t>
            </w:r>
          </w:p>
          <w:p w14:paraId="24063AE6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2.35 (0.01)</w:t>
            </w:r>
          </w:p>
          <w:p w14:paraId="1E0E5635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(0.01)</w:t>
            </w:r>
          </w:p>
          <w:p w14:paraId="270E0220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(0.01)</w:t>
            </w:r>
          </w:p>
          <w:p w14:paraId="5F745B6B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2.34 (0.01)</w:t>
            </w:r>
          </w:p>
          <w:p w14:paraId="0DE3F0E4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2.32 (0.01)</w:t>
            </w:r>
          </w:p>
          <w:p w14:paraId="7C9D0635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2.33 (0.01)</w:t>
            </w:r>
          </w:p>
          <w:p w14:paraId="2F0425FA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2.32 (0.01)</w:t>
            </w:r>
          </w:p>
          <w:p w14:paraId="4D31B213" w14:textId="31D481F4" w:rsidR="0063199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4A2229">
              <w:rPr>
                <w:rFonts w:cs="Arial"/>
              </w:rPr>
              <w:t>–</w:t>
            </w:r>
            <w:r>
              <w:t>0.01 (0.01)</w:t>
            </w:r>
          </w:p>
          <w:p w14:paraId="06895CF8" w14:textId="77777777" w:rsidR="0063199C" w:rsidRDefault="0063199C" w:rsidP="004C7BA0">
            <w:pPr>
              <w:spacing w:before="40" w:after="40"/>
              <w:ind w:left="240"/>
              <w:jc w:val="center"/>
            </w:pPr>
            <w:r>
              <w:t>2.3 (0.01)</w:t>
            </w:r>
          </w:p>
          <w:p w14:paraId="3A6C688B" w14:textId="11D42328" w:rsidR="000461EF" w:rsidRPr="00EE158C" w:rsidRDefault="0063199C" w:rsidP="004C7BA0">
            <w:pPr>
              <w:spacing w:before="40" w:after="40"/>
              <w:ind w:left="240"/>
              <w:jc w:val="center"/>
            </w:pPr>
            <w:r>
              <w:t xml:space="preserve">       </w:t>
            </w:r>
            <w:r w:rsidR="004A2229">
              <w:rPr>
                <w:rFonts w:cs="Arial"/>
              </w:rPr>
              <w:t>–</w:t>
            </w:r>
            <w:r>
              <w:t>0.03 (0.01)</w:t>
            </w:r>
          </w:p>
        </w:tc>
      </w:tr>
    </w:tbl>
    <w:p w14:paraId="6A976BEF" w14:textId="77777777" w:rsidR="00662B6A" w:rsidRDefault="00662B6A" w:rsidP="000461EF">
      <w:pPr>
        <w:pStyle w:val="Figures"/>
        <w:sectPr w:rsidR="00662B6A" w:rsidSect="00A0090B">
          <w:footnotePr>
            <w:numFmt w:val="lowerLetter"/>
            <w:numRestart w:val="eachPage"/>
          </w:footnotePr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5C6D1BC" w14:textId="77777777" w:rsidR="001B69E1" w:rsidRDefault="001B69E1" w:rsidP="000461EF">
      <w:pPr>
        <w:pStyle w:val="Figures"/>
      </w:pPr>
    </w:p>
    <w:p w14:paraId="53C06F6E" w14:textId="635EC01A" w:rsidR="000461EF" w:rsidRDefault="000461EF" w:rsidP="000461EF">
      <w:pPr>
        <w:pStyle w:val="Figures"/>
        <w:rPr>
          <w:b w:val="0"/>
        </w:rPr>
      </w:pPr>
      <w:bookmarkStart w:id="11" w:name="_Toc32332498"/>
      <w:r>
        <w:t xml:space="preserve">Supplemental Figure 1. </w:t>
      </w:r>
      <w:r w:rsidRPr="00173515">
        <w:rPr>
          <w:b w:val="0"/>
        </w:rPr>
        <w:t>Patient disposition by HF subgroups.</w:t>
      </w:r>
      <w:bookmarkEnd w:id="11"/>
    </w:p>
    <w:p w14:paraId="187F9F83" w14:textId="77777777" w:rsidR="000461EF" w:rsidRPr="00173515" w:rsidRDefault="000461EF" w:rsidP="000461EF"/>
    <w:p w14:paraId="7317222E" w14:textId="77777777" w:rsidR="000461EF" w:rsidRDefault="000461EF" w:rsidP="000461EF">
      <w:pPr>
        <w:spacing w:after="0" w:line="240" w:lineRule="auto"/>
      </w:pPr>
      <w:r>
        <w:rPr>
          <w:noProof/>
          <w:lang w:val="fr-FR" w:eastAsia="fr-FR"/>
        </w:rPr>
        <w:drawing>
          <wp:inline distT="0" distB="0" distL="0" distR="0" wp14:anchorId="65C44DE5" wp14:editId="3560A18D">
            <wp:extent cx="9026525" cy="417576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6" b="-2794"/>
                    <a:stretch/>
                  </pic:blipFill>
                  <pic:spPr bwMode="auto">
                    <a:xfrm>
                      <a:off x="0" y="0"/>
                      <a:ext cx="9042518" cy="41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72463" w14:textId="77777777" w:rsidR="000461EF" w:rsidRDefault="000461EF" w:rsidP="000461EF">
      <w:pPr>
        <w:pStyle w:val="Figures"/>
        <w:sectPr w:rsidR="000461EF" w:rsidSect="00A0090B">
          <w:footnotePr>
            <w:numFmt w:val="lowerLetter"/>
            <w:numRestart w:val="eachPage"/>
          </w:footnotePr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08BD68A" w14:textId="7B60048F" w:rsidR="000461EF" w:rsidRDefault="000461EF" w:rsidP="000461EF">
      <w:pPr>
        <w:pStyle w:val="Figures"/>
      </w:pPr>
      <w:bookmarkStart w:id="12" w:name="_Toc32332499"/>
      <w:r>
        <w:lastRenderedPageBreak/>
        <w:t xml:space="preserve">Supplemental Figure 2. </w:t>
      </w:r>
      <w:r w:rsidR="004C5D74" w:rsidRPr="007A5E8F">
        <w:rPr>
          <w:b w:val="0"/>
        </w:rPr>
        <w:t>Mean (SE)</w:t>
      </w:r>
      <w:r w:rsidR="004C5D74">
        <w:t xml:space="preserve"> </w:t>
      </w:r>
      <w:r w:rsidR="004C5D74">
        <w:rPr>
          <w:b w:val="0"/>
        </w:rPr>
        <w:t>c</w:t>
      </w:r>
      <w:r w:rsidRPr="00283718">
        <w:rPr>
          <w:b w:val="0"/>
        </w:rPr>
        <w:t xml:space="preserve">entral </w:t>
      </w:r>
      <w:r>
        <w:rPr>
          <w:b w:val="0"/>
        </w:rPr>
        <w:t xml:space="preserve">laboratory </w:t>
      </w:r>
      <w:r w:rsidRPr="00283718">
        <w:rPr>
          <w:b w:val="0"/>
        </w:rPr>
        <w:t xml:space="preserve">serum potassium </w:t>
      </w:r>
      <w:r w:rsidR="004C5D74">
        <w:rPr>
          <w:b w:val="0"/>
        </w:rPr>
        <w:t>during active treatment</w:t>
      </w:r>
      <w:r w:rsidRPr="00283718">
        <w:rPr>
          <w:b w:val="0"/>
        </w:rPr>
        <w:t xml:space="preserve"> in patients A) with heart failure, and </w:t>
      </w:r>
      <w:r w:rsidR="00926F8A">
        <w:rPr>
          <w:b w:val="0"/>
        </w:rPr>
        <w:br/>
      </w:r>
      <w:r w:rsidRPr="00283718">
        <w:rPr>
          <w:b w:val="0"/>
        </w:rPr>
        <w:t xml:space="preserve">B) without heart </w:t>
      </w:r>
      <w:r w:rsidR="00A451F1" w:rsidRPr="00283718">
        <w:rPr>
          <w:b w:val="0"/>
        </w:rPr>
        <w:t>failure.</w:t>
      </w:r>
      <w:bookmarkEnd w:id="12"/>
    </w:p>
    <w:p w14:paraId="7FB2272C" w14:textId="77777777" w:rsidR="000461EF" w:rsidRDefault="000461EF" w:rsidP="000461EF">
      <w:pPr>
        <w:spacing w:after="0" w:line="240" w:lineRule="auto"/>
      </w:pPr>
    </w:p>
    <w:p w14:paraId="7095C847" w14:textId="77777777" w:rsidR="000461EF" w:rsidRDefault="000461EF" w:rsidP="000461EF">
      <w:pPr>
        <w:rPr>
          <w:rFonts w:eastAsia="MinionPro-Regular" w:cs="Arial"/>
          <w:szCs w:val="24"/>
        </w:rPr>
      </w:pPr>
      <w:r>
        <w:rPr>
          <w:rFonts w:eastAsia="MinionPro-Regular" w:cs="Arial"/>
          <w:szCs w:val="24"/>
        </w:rPr>
        <w:t>A)</w:t>
      </w:r>
    </w:p>
    <w:p w14:paraId="3D315164" w14:textId="59FE3729" w:rsidR="000461EF" w:rsidRDefault="00412609" w:rsidP="000461EF">
      <w:pPr>
        <w:rPr>
          <w:rFonts w:eastAsia="MinionPro-Regular" w:cs="Arial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0896F4DE" wp14:editId="02B39DC9">
            <wp:extent cx="8877946" cy="5227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7142" cy="52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C3E13" w14:textId="77777777" w:rsidR="000461EF" w:rsidRDefault="000461EF" w:rsidP="000461EF">
      <w:pPr>
        <w:rPr>
          <w:rFonts w:eastAsia="MinionPro-Regular" w:cs="Arial"/>
          <w:szCs w:val="24"/>
        </w:rPr>
      </w:pPr>
    </w:p>
    <w:p w14:paraId="78B62315" w14:textId="77777777" w:rsidR="000461EF" w:rsidRDefault="000461EF" w:rsidP="000461EF">
      <w:pPr>
        <w:rPr>
          <w:rFonts w:eastAsia="MinionPro-Regular" w:cs="Arial"/>
          <w:szCs w:val="24"/>
        </w:rPr>
      </w:pPr>
    </w:p>
    <w:p w14:paraId="330FD5BA" w14:textId="0AD829AD" w:rsidR="000461EF" w:rsidRPr="00AE0C71" w:rsidRDefault="000461EF" w:rsidP="000461EF">
      <w:pPr>
        <w:rPr>
          <w:rFonts w:eastAsia="MinionPro-Regular" w:cs="Arial"/>
          <w:b/>
          <w:szCs w:val="24"/>
        </w:rPr>
      </w:pPr>
      <w:r>
        <w:rPr>
          <w:rFonts w:eastAsia="MinionPro-Regular" w:cs="Arial"/>
          <w:szCs w:val="24"/>
        </w:rPr>
        <w:t>B)</w:t>
      </w:r>
    </w:p>
    <w:p w14:paraId="01871CA9" w14:textId="66D54FA5" w:rsidR="000461EF" w:rsidRDefault="00412609" w:rsidP="004865C6">
      <w:pPr>
        <w:sectPr w:rsidR="000461EF" w:rsidSect="00A0090B">
          <w:footnotePr>
            <w:numFmt w:val="lowerLetter"/>
            <w:numRestart w:val="eachPage"/>
          </w:footnotePr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fr-FR" w:eastAsia="fr-FR"/>
        </w:rPr>
        <w:drawing>
          <wp:inline distT="0" distB="0" distL="0" distR="0" wp14:anchorId="205D5DDC" wp14:editId="06428528">
            <wp:extent cx="8720919" cy="5153796"/>
            <wp:effectExtent l="0" t="0" r="444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24897" cy="515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33BF0" w14:textId="34D85956" w:rsidR="000461EF" w:rsidRDefault="000461EF" w:rsidP="000461EF">
      <w:pPr>
        <w:pStyle w:val="Figures"/>
        <w:rPr>
          <w:rFonts w:eastAsia="MinionPro-Regular"/>
          <w:b w:val="0"/>
          <w:noProof/>
        </w:rPr>
      </w:pPr>
      <w:bookmarkStart w:id="13" w:name="_Toc32332500"/>
      <w:r>
        <w:lastRenderedPageBreak/>
        <w:t xml:space="preserve">Supplemental Figure 3. </w:t>
      </w:r>
      <w:r>
        <w:rPr>
          <w:b w:val="0"/>
        </w:rPr>
        <w:t>NT-proBNP levels at baseline and Week 12</w:t>
      </w:r>
      <w:r w:rsidR="00F96673">
        <w:rPr>
          <w:b w:val="0"/>
        </w:rPr>
        <w:t xml:space="preserve"> in </w:t>
      </w:r>
      <w:r w:rsidR="00F96673" w:rsidRPr="00F96673">
        <w:rPr>
          <w:b w:val="0"/>
        </w:rPr>
        <w:t>A) the overall population, B)</w:t>
      </w:r>
      <w:r w:rsidR="00F96673">
        <w:rPr>
          <w:b w:val="0"/>
        </w:rPr>
        <w:t xml:space="preserve"> </w:t>
      </w:r>
      <w:r w:rsidR="00F96673" w:rsidRPr="00F96673">
        <w:rPr>
          <w:b w:val="0"/>
        </w:rPr>
        <w:t>patients with atrial fibrillation, and C)</w:t>
      </w:r>
      <w:r w:rsidR="00F96673">
        <w:rPr>
          <w:b w:val="0"/>
        </w:rPr>
        <w:t xml:space="preserve"> </w:t>
      </w:r>
      <w:r w:rsidR="00F96673" w:rsidRPr="00F96673">
        <w:rPr>
          <w:b w:val="0"/>
        </w:rPr>
        <w:t>patients without atrial fibrillation</w:t>
      </w:r>
      <w:r>
        <w:rPr>
          <w:b w:val="0"/>
        </w:rPr>
        <w:t>.</w:t>
      </w:r>
      <w:bookmarkEnd w:id="13"/>
    </w:p>
    <w:p w14:paraId="4F5AA9EB" w14:textId="578EAE1D" w:rsidR="000461EF" w:rsidRDefault="000461EF" w:rsidP="000461EF"/>
    <w:p w14:paraId="17BA61DC" w14:textId="32882365" w:rsidR="00D921C7" w:rsidRDefault="00D921C7" w:rsidP="000461EF">
      <w:r>
        <w:t>A)</w:t>
      </w:r>
    </w:p>
    <w:p w14:paraId="64357469" w14:textId="1AB13F44" w:rsidR="000461EF" w:rsidRDefault="00BE17F3" w:rsidP="000461EF">
      <w:r>
        <w:rPr>
          <w:noProof/>
          <w:lang w:val="fr-FR" w:eastAsia="fr-FR"/>
        </w:rPr>
        <w:drawing>
          <wp:inline distT="0" distB="0" distL="0" distR="0" wp14:anchorId="1CD4E1DB" wp14:editId="33BF1428">
            <wp:extent cx="9077325" cy="3895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1486" r="729" b="12735"/>
                    <a:stretch/>
                  </pic:blipFill>
                  <pic:spPr bwMode="auto">
                    <a:xfrm>
                      <a:off x="0" y="0"/>
                      <a:ext cx="907732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FCA64" w14:textId="77777777" w:rsidR="000461EF" w:rsidRDefault="000461EF" w:rsidP="000461EF">
      <w:pPr>
        <w:pStyle w:val="TableFootnote"/>
        <w:rPr>
          <w:b/>
        </w:rPr>
      </w:pPr>
      <w:r w:rsidRPr="00427801">
        <w:t>Boxes represent median (</w:t>
      </w:r>
      <w:r>
        <w:t xml:space="preserve">dashed </w:t>
      </w:r>
      <w:r w:rsidRPr="00427801">
        <w:t>center line), Q1 (lower</w:t>
      </w:r>
      <w:r>
        <w:rPr>
          <w:b/>
        </w:rPr>
        <w:t xml:space="preserve"> </w:t>
      </w:r>
      <w:r w:rsidRPr="00427801">
        <w:t>bound), and Q3 (upper bound). Whiskers represent minimum and maximum values.</w:t>
      </w:r>
    </w:p>
    <w:p w14:paraId="4CABF033" w14:textId="38583181" w:rsidR="00C77A66" w:rsidRDefault="00C77A66"/>
    <w:p w14:paraId="2A700419" w14:textId="69F5B788" w:rsidR="00D921C7" w:rsidRDefault="00D921C7">
      <w:r>
        <w:br w:type="page"/>
      </w:r>
    </w:p>
    <w:p w14:paraId="128ECA54" w14:textId="50930FF7" w:rsidR="00D921C7" w:rsidRDefault="00D921C7">
      <w:r>
        <w:lastRenderedPageBreak/>
        <w:t xml:space="preserve">B) </w:t>
      </w:r>
    </w:p>
    <w:p w14:paraId="3203E0D5" w14:textId="0D3900CE" w:rsidR="00D921C7" w:rsidRDefault="00BE17F3">
      <w:r>
        <w:rPr>
          <w:noProof/>
          <w:lang w:val="fr-FR" w:eastAsia="fr-FR"/>
        </w:rPr>
        <w:drawing>
          <wp:inline distT="0" distB="0" distL="0" distR="0" wp14:anchorId="5EE085F2" wp14:editId="5E02DD8C">
            <wp:extent cx="9096375" cy="403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0746" r="521" b="10697"/>
                    <a:stretch/>
                  </pic:blipFill>
                  <pic:spPr bwMode="auto">
                    <a:xfrm>
                      <a:off x="0" y="0"/>
                      <a:ext cx="9096375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6A101" w14:textId="35614673" w:rsidR="00D921C7" w:rsidRDefault="00D921C7">
      <w:r>
        <w:br w:type="page"/>
      </w:r>
    </w:p>
    <w:p w14:paraId="6FD86D83" w14:textId="2B3A2B8D" w:rsidR="00D921C7" w:rsidRDefault="00D921C7">
      <w:r>
        <w:lastRenderedPageBreak/>
        <w:t>C)</w:t>
      </w:r>
    </w:p>
    <w:p w14:paraId="71A59543" w14:textId="3C3F464A" w:rsidR="00D921C7" w:rsidRDefault="00BE17F3">
      <w:r>
        <w:rPr>
          <w:noProof/>
          <w:lang w:val="fr-FR" w:eastAsia="fr-FR"/>
        </w:rPr>
        <w:drawing>
          <wp:inline distT="0" distB="0" distL="0" distR="0" wp14:anchorId="62786337" wp14:editId="4BD484CC">
            <wp:extent cx="9124950" cy="402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9635" r="208" b="11994"/>
                    <a:stretch/>
                  </pic:blipFill>
                  <pic:spPr bwMode="auto">
                    <a:xfrm>
                      <a:off x="0" y="0"/>
                      <a:ext cx="9124950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21C7" w:rsidSect="00A0090B">
      <w:footnotePr>
        <w:numFmt w:val="lowerLetter"/>
        <w:numRestart w:val="eachPage"/>
      </w:foot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58714" w14:textId="77777777" w:rsidR="00BE17F3" w:rsidRDefault="00BE17F3" w:rsidP="000461EF">
      <w:pPr>
        <w:spacing w:after="0" w:line="240" w:lineRule="auto"/>
      </w:pPr>
      <w:r>
        <w:separator/>
      </w:r>
    </w:p>
  </w:endnote>
  <w:endnote w:type="continuationSeparator" w:id="0">
    <w:p w14:paraId="3296FE36" w14:textId="77777777" w:rsidR="00BE17F3" w:rsidRDefault="00BE17F3" w:rsidP="0004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Calibr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39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D2E27A" w14:textId="588319F2" w:rsidR="00BE17F3" w:rsidRDefault="00BE17F3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87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1DF831" w14:textId="77777777" w:rsidR="00BE17F3" w:rsidRDefault="00BE17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2859" w14:textId="77777777" w:rsidR="00BE17F3" w:rsidRDefault="00BE17F3" w:rsidP="000461EF">
      <w:pPr>
        <w:spacing w:after="0" w:line="240" w:lineRule="auto"/>
      </w:pPr>
      <w:r>
        <w:separator/>
      </w:r>
    </w:p>
  </w:footnote>
  <w:footnote w:type="continuationSeparator" w:id="0">
    <w:p w14:paraId="02CB8A32" w14:textId="77777777" w:rsidR="00BE17F3" w:rsidRDefault="00BE17F3" w:rsidP="0004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C5B"/>
    <w:multiLevelType w:val="hybridMultilevel"/>
    <w:tmpl w:val="8F0418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632"/>
    <w:multiLevelType w:val="hybridMultilevel"/>
    <w:tmpl w:val="94A8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144F"/>
    <w:multiLevelType w:val="hybridMultilevel"/>
    <w:tmpl w:val="F158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AC7"/>
    <w:multiLevelType w:val="hybridMultilevel"/>
    <w:tmpl w:val="E4BE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5DB7"/>
    <w:multiLevelType w:val="hybridMultilevel"/>
    <w:tmpl w:val="70D8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0012"/>
    <w:multiLevelType w:val="hybridMultilevel"/>
    <w:tmpl w:val="7E0AD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6349"/>
    <w:multiLevelType w:val="hybridMultilevel"/>
    <w:tmpl w:val="5950C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7CA1"/>
    <w:multiLevelType w:val="hybridMultilevel"/>
    <w:tmpl w:val="31C00882"/>
    <w:lvl w:ilvl="0" w:tplc="4366FF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3127D"/>
    <w:multiLevelType w:val="hybridMultilevel"/>
    <w:tmpl w:val="11AE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729D"/>
    <w:multiLevelType w:val="hybridMultilevel"/>
    <w:tmpl w:val="B20E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85D4F"/>
    <w:multiLevelType w:val="hybridMultilevel"/>
    <w:tmpl w:val="736A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6399C"/>
    <w:multiLevelType w:val="hybridMultilevel"/>
    <w:tmpl w:val="DB98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E6ADC"/>
    <w:multiLevelType w:val="hybridMultilevel"/>
    <w:tmpl w:val="562A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2434"/>
    <w:multiLevelType w:val="hybridMultilevel"/>
    <w:tmpl w:val="6750E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B60BF"/>
    <w:multiLevelType w:val="hybridMultilevel"/>
    <w:tmpl w:val="F708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D4E93"/>
    <w:multiLevelType w:val="hybridMultilevel"/>
    <w:tmpl w:val="2ADA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6E22"/>
    <w:multiLevelType w:val="hybridMultilevel"/>
    <w:tmpl w:val="FC2A7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68E1"/>
    <w:multiLevelType w:val="hybridMultilevel"/>
    <w:tmpl w:val="778CC91E"/>
    <w:lvl w:ilvl="0" w:tplc="C412827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F7BE9"/>
    <w:multiLevelType w:val="hybridMultilevel"/>
    <w:tmpl w:val="11AE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41B5"/>
    <w:multiLevelType w:val="hybridMultilevel"/>
    <w:tmpl w:val="73724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13103"/>
    <w:multiLevelType w:val="hybridMultilevel"/>
    <w:tmpl w:val="38E2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839BF"/>
    <w:multiLevelType w:val="hybridMultilevel"/>
    <w:tmpl w:val="24EE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06629"/>
    <w:multiLevelType w:val="singleLevel"/>
    <w:tmpl w:val="12300830"/>
    <w:lvl w:ilvl="0">
      <w:start w:val="1"/>
      <w:numFmt w:val="bullet"/>
      <w:pStyle w:val="Listepuces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32"/>
        <w:u w:val="none"/>
        <w:vertAlign w:val="baseline"/>
      </w:rPr>
    </w:lvl>
  </w:abstractNum>
  <w:abstractNum w:abstractNumId="23" w15:restartNumberingAfterBreak="0">
    <w:nsid w:val="7D4E5A4F"/>
    <w:multiLevelType w:val="hybridMultilevel"/>
    <w:tmpl w:val="87C4F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5CF1"/>
    <w:multiLevelType w:val="hybridMultilevel"/>
    <w:tmpl w:val="BF20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0"/>
  </w:num>
  <w:num w:numId="5">
    <w:abstractNumId w:val="10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8"/>
  </w:num>
  <w:num w:numId="14">
    <w:abstractNumId w:val="2"/>
  </w:num>
  <w:num w:numId="15">
    <w:abstractNumId w:val="15"/>
  </w:num>
  <w:num w:numId="16">
    <w:abstractNumId w:val="22"/>
  </w:num>
  <w:num w:numId="17">
    <w:abstractNumId w:val="0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6"/>
  </w:num>
  <w:num w:numId="23">
    <w:abstractNumId w:val="5"/>
  </w:num>
  <w:num w:numId="24">
    <w:abstractNumId w:val="13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EF"/>
    <w:rsid w:val="00004A19"/>
    <w:rsid w:val="000461EF"/>
    <w:rsid w:val="00047CE1"/>
    <w:rsid w:val="00095435"/>
    <w:rsid w:val="000A1241"/>
    <w:rsid w:val="000D5117"/>
    <w:rsid w:val="000E3FCB"/>
    <w:rsid w:val="00104F5C"/>
    <w:rsid w:val="001253BD"/>
    <w:rsid w:val="00141FA6"/>
    <w:rsid w:val="00146276"/>
    <w:rsid w:val="0014640B"/>
    <w:rsid w:val="00160F49"/>
    <w:rsid w:val="001636EB"/>
    <w:rsid w:val="00164470"/>
    <w:rsid w:val="001673BA"/>
    <w:rsid w:val="001B69E1"/>
    <w:rsid w:val="002122DB"/>
    <w:rsid w:val="002179C2"/>
    <w:rsid w:val="00222EA9"/>
    <w:rsid w:val="00263D9B"/>
    <w:rsid w:val="002665D4"/>
    <w:rsid w:val="00290FBB"/>
    <w:rsid w:val="002D68E4"/>
    <w:rsid w:val="003222B7"/>
    <w:rsid w:val="0033784C"/>
    <w:rsid w:val="00341624"/>
    <w:rsid w:val="00366455"/>
    <w:rsid w:val="00383D77"/>
    <w:rsid w:val="003A17FA"/>
    <w:rsid w:val="003A6E7A"/>
    <w:rsid w:val="003C71D1"/>
    <w:rsid w:val="0040057C"/>
    <w:rsid w:val="00412609"/>
    <w:rsid w:val="004357CA"/>
    <w:rsid w:val="00436ACB"/>
    <w:rsid w:val="00442A5F"/>
    <w:rsid w:val="00453716"/>
    <w:rsid w:val="004811B4"/>
    <w:rsid w:val="004865C6"/>
    <w:rsid w:val="004A2229"/>
    <w:rsid w:val="004A2BE5"/>
    <w:rsid w:val="004A5FB5"/>
    <w:rsid w:val="004C5D74"/>
    <w:rsid w:val="004C7BA0"/>
    <w:rsid w:val="004E262E"/>
    <w:rsid w:val="004F40D0"/>
    <w:rsid w:val="004F78BE"/>
    <w:rsid w:val="00512022"/>
    <w:rsid w:val="005149BD"/>
    <w:rsid w:val="0054515A"/>
    <w:rsid w:val="00554075"/>
    <w:rsid w:val="00580A44"/>
    <w:rsid w:val="00583181"/>
    <w:rsid w:val="00591323"/>
    <w:rsid w:val="005B0E86"/>
    <w:rsid w:val="005D3390"/>
    <w:rsid w:val="005D3796"/>
    <w:rsid w:val="005E562B"/>
    <w:rsid w:val="005F1E76"/>
    <w:rsid w:val="0063199C"/>
    <w:rsid w:val="006531B1"/>
    <w:rsid w:val="0066068E"/>
    <w:rsid w:val="00661034"/>
    <w:rsid w:val="00662B6A"/>
    <w:rsid w:val="006B0D53"/>
    <w:rsid w:val="006C6500"/>
    <w:rsid w:val="006E4497"/>
    <w:rsid w:val="00701D6A"/>
    <w:rsid w:val="00732CA0"/>
    <w:rsid w:val="00756557"/>
    <w:rsid w:val="00762343"/>
    <w:rsid w:val="007659F2"/>
    <w:rsid w:val="007823CE"/>
    <w:rsid w:val="007A5E8F"/>
    <w:rsid w:val="007A5F51"/>
    <w:rsid w:val="007C2B24"/>
    <w:rsid w:val="007E7E27"/>
    <w:rsid w:val="0081414B"/>
    <w:rsid w:val="0082348F"/>
    <w:rsid w:val="008517AF"/>
    <w:rsid w:val="00872522"/>
    <w:rsid w:val="00895CCB"/>
    <w:rsid w:val="008B21AF"/>
    <w:rsid w:val="008C69B3"/>
    <w:rsid w:val="008E0EA7"/>
    <w:rsid w:val="008F6020"/>
    <w:rsid w:val="00901CEF"/>
    <w:rsid w:val="00904BC2"/>
    <w:rsid w:val="00923267"/>
    <w:rsid w:val="00926F8A"/>
    <w:rsid w:val="00936699"/>
    <w:rsid w:val="0096771B"/>
    <w:rsid w:val="009A1EF5"/>
    <w:rsid w:val="009E5D3B"/>
    <w:rsid w:val="009F338B"/>
    <w:rsid w:val="00A0090B"/>
    <w:rsid w:val="00A308DE"/>
    <w:rsid w:val="00A35BE6"/>
    <w:rsid w:val="00A366FA"/>
    <w:rsid w:val="00A372B7"/>
    <w:rsid w:val="00A451F1"/>
    <w:rsid w:val="00A66254"/>
    <w:rsid w:val="00A901B8"/>
    <w:rsid w:val="00A91E55"/>
    <w:rsid w:val="00A93003"/>
    <w:rsid w:val="00AE3978"/>
    <w:rsid w:val="00AF4E4F"/>
    <w:rsid w:val="00B24CBC"/>
    <w:rsid w:val="00B56391"/>
    <w:rsid w:val="00B62899"/>
    <w:rsid w:val="00BA7BBB"/>
    <w:rsid w:val="00BB022A"/>
    <w:rsid w:val="00BB1ABB"/>
    <w:rsid w:val="00BB5D7F"/>
    <w:rsid w:val="00BE17F3"/>
    <w:rsid w:val="00BE4D71"/>
    <w:rsid w:val="00BF4DB9"/>
    <w:rsid w:val="00C1497E"/>
    <w:rsid w:val="00C7523F"/>
    <w:rsid w:val="00C76BD3"/>
    <w:rsid w:val="00C77A66"/>
    <w:rsid w:val="00C85211"/>
    <w:rsid w:val="00C92CAD"/>
    <w:rsid w:val="00C9312A"/>
    <w:rsid w:val="00C96C7B"/>
    <w:rsid w:val="00CA097D"/>
    <w:rsid w:val="00CB323D"/>
    <w:rsid w:val="00D405B7"/>
    <w:rsid w:val="00D44F62"/>
    <w:rsid w:val="00D4500F"/>
    <w:rsid w:val="00D90F07"/>
    <w:rsid w:val="00D921C7"/>
    <w:rsid w:val="00DB138D"/>
    <w:rsid w:val="00DB7E9F"/>
    <w:rsid w:val="00DC0534"/>
    <w:rsid w:val="00DE2FA1"/>
    <w:rsid w:val="00DE4F85"/>
    <w:rsid w:val="00E113D8"/>
    <w:rsid w:val="00E22281"/>
    <w:rsid w:val="00E37E10"/>
    <w:rsid w:val="00E4629C"/>
    <w:rsid w:val="00E4677B"/>
    <w:rsid w:val="00E53A8F"/>
    <w:rsid w:val="00E53C7D"/>
    <w:rsid w:val="00E862EB"/>
    <w:rsid w:val="00E97BBB"/>
    <w:rsid w:val="00EF3320"/>
    <w:rsid w:val="00F1787B"/>
    <w:rsid w:val="00F211B0"/>
    <w:rsid w:val="00F243DE"/>
    <w:rsid w:val="00F2461D"/>
    <w:rsid w:val="00F33237"/>
    <w:rsid w:val="00F43B8E"/>
    <w:rsid w:val="00F53191"/>
    <w:rsid w:val="00F55B10"/>
    <w:rsid w:val="00F57D38"/>
    <w:rsid w:val="00F80FEB"/>
    <w:rsid w:val="00F8192F"/>
    <w:rsid w:val="00F96673"/>
    <w:rsid w:val="00FE4292"/>
    <w:rsid w:val="00FF0C90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B631"/>
  <w15:chartTrackingRefBased/>
  <w15:docId w15:val="{EA29A41C-4AA1-4372-ACD5-ABF5334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62"/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461EF"/>
    <w:pPr>
      <w:keepNext/>
      <w:keepLines/>
      <w:widowControl w:val="0"/>
      <w:spacing w:after="0" w:line="480" w:lineRule="auto"/>
      <w:contextualSpacing/>
      <w:outlineLvl w:val="0"/>
    </w:pPr>
    <w:rPr>
      <w:rFonts w:eastAsiaTheme="majorEastAsia" w:cs="Arial"/>
      <w:b/>
      <w:color w:val="000000" w:themeColor="text1"/>
      <w:sz w:val="24"/>
      <w:szCs w:val="24"/>
    </w:rPr>
  </w:style>
  <w:style w:type="paragraph" w:styleId="Titre2">
    <w:name w:val="heading 2"/>
    <w:basedOn w:val="Heading2-2"/>
    <w:next w:val="Normal"/>
    <w:link w:val="Titre2Car"/>
    <w:autoRedefine/>
    <w:uiPriority w:val="9"/>
    <w:unhideWhenUsed/>
    <w:qFormat/>
    <w:rsid w:val="000461EF"/>
    <w:pPr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461EF"/>
    <w:pPr>
      <w:spacing w:line="480" w:lineRule="auto"/>
      <w:ind w:firstLine="360"/>
      <w:outlineLvl w:val="2"/>
    </w:pPr>
    <w:rPr>
      <w:rFonts w:cs="Arial"/>
      <w:color w:val="FF0000"/>
      <w:sz w:val="24"/>
      <w:szCs w:val="24"/>
    </w:rPr>
  </w:style>
  <w:style w:type="paragraph" w:styleId="Titre4">
    <w:name w:val="heading 4"/>
    <w:basedOn w:val="Titre1"/>
    <w:next w:val="Normal"/>
    <w:link w:val="Titre4Car"/>
    <w:autoRedefine/>
    <w:uiPriority w:val="9"/>
    <w:unhideWhenUsed/>
    <w:qFormat/>
    <w:rsid w:val="000461EF"/>
    <w:pPr>
      <w:outlineLvl w:val="3"/>
    </w:pPr>
    <w:rPr>
      <w:sz w:val="2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0461EF"/>
    <w:pPr>
      <w:keepNext/>
      <w:keepLines/>
      <w:widowControl w:val="0"/>
      <w:spacing w:before="40" w:after="0" w:line="240" w:lineRule="auto"/>
      <w:contextualSpacing/>
      <w:outlineLvl w:val="4"/>
    </w:pPr>
    <w:rPr>
      <w:rFonts w:ascii="Georgia" w:eastAsiaTheme="majorEastAsia" w:hAnsi="Georgia" w:cstheme="majorBidi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61EF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461EF"/>
    <w:rPr>
      <w:rFonts w:ascii="Arial" w:hAnsi="Arial" w:cs="Arial"/>
      <w:i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461EF"/>
    <w:rPr>
      <w:rFonts w:ascii="Arial" w:hAnsi="Arial" w:cs="Arial"/>
      <w:color w:val="FF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61EF"/>
    <w:rPr>
      <w:rFonts w:ascii="Arial" w:eastAsiaTheme="majorEastAsia" w:hAnsi="Arial" w:cs="Arial"/>
      <w:b/>
      <w:color w:val="000000" w:themeColor="text1"/>
      <w:sz w:val="20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461EF"/>
    <w:rPr>
      <w:rFonts w:ascii="Georgia" w:eastAsiaTheme="majorEastAsia" w:hAnsi="Georgia" w:cstheme="majorBidi"/>
      <w:sz w:val="24"/>
      <w:u w:val="single"/>
    </w:rPr>
  </w:style>
  <w:style w:type="paragraph" w:styleId="Adressedestinataire">
    <w:name w:val="envelope address"/>
    <w:basedOn w:val="Normal"/>
    <w:uiPriority w:val="99"/>
    <w:semiHidden/>
    <w:unhideWhenUsed/>
    <w:rsid w:val="000461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46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6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461EF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0461EF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461EF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461EF"/>
    <w:rPr>
      <w:rFonts w:ascii="Arial" w:hAnsi="Arial"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461EF"/>
    <w:pPr>
      <w:spacing w:line="480" w:lineRule="auto"/>
      <w:ind w:left="720"/>
      <w:contextualSpacing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1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1EF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61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61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61EF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1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61EF"/>
    <w:rPr>
      <w:rFonts w:ascii="Arial" w:hAnsi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461EF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0461EF"/>
    <w:rPr>
      <w:color w:val="2B579A"/>
      <w:shd w:val="clear" w:color="auto" w:fill="E6E6E6"/>
    </w:rPr>
  </w:style>
  <w:style w:type="paragraph" w:styleId="Rvision">
    <w:name w:val="Revision"/>
    <w:hidden/>
    <w:uiPriority w:val="99"/>
    <w:semiHidden/>
    <w:rsid w:val="000461EF"/>
    <w:pPr>
      <w:spacing w:after="0" w:line="240" w:lineRule="auto"/>
    </w:pPr>
    <w:rPr>
      <w:rFonts w:ascii="Arial" w:hAnsi="Arial"/>
      <w:sz w:val="24"/>
    </w:rPr>
  </w:style>
  <w:style w:type="character" w:customStyle="1" w:styleId="A4">
    <w:name w:val="A4"/>
    <w:uiPriority w:val="99"/>
    <w:rsid w:val="000461EF"/>
    <w:rPr>
      <w:rFonts w:cs="Shaker 2 Lancet Regular"/>
      <w:i/>
      <w:iCs/>
      <w:color w:val="221E1F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461EF"/>
    <w:pPr>
      <w:autoSpaceDE w:val="0"/>
      <w:autoSpaceDN w:val="0"/>
      <w:adjustRightInd w:val="0"/>
      <w:spacing w:after="0" w:line="241" w:lineRule="atLeast"/>
    </w:pPr>
    <w:rPr>
      <w:rFonts w:ascii="Shaker 2 Lancet Regular" w:hAnsi="Shaker 2 Lancet Regular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0461EF"/>
    <w:pPr>
      <w:autoSpaceDE w:val="0"/>
      <w:autoSpaceDN w:val="0"/>
      <w:adjustRightInd w:val="0"/>
      <w:spacing w:after="0" w:line="187" w:lineRule="atLeast"/>
    </w:pPr>
    <w:rPr>
      <w:rFonts w:ascii="Shaker 2 Lancet Regular" w:hAnsi="Shaker 2 Lancet Regular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461EF"/>
    <w:pPr>
      <w:autoSpaceDE w:val="0"/>
      <w:autoSpaceDN w:val="0"/>
      <w:adjustRightInd w:val="0"/>
      <w:spacing w:after="0" w:line="167" w:lineRule="atLeast"/>
    </w:pPr>
    <w:rPr>
      <w:rFonts w:ascii="Shaker 2 Lancet Regular" w:hAnsi="Shaker 2 Lancet Regular"/>
      <w:sz w:val="24"/>
      <w:szCs w:val="24"/>
    </w:rPr>
  </w:style>
  <w:style w:type="character" w:customStyle="1" w:styleId="highwire-citation-authors">
    <w:name w:val="highwire-citation-authors"/>
    <w:basedOn w:val="Policepardfaut"/>
    <w:rsid w:val="000461EF"/>
  </w:style>
  <w:style w:type="character" w:customStyle="1" w:styleId="highwire-citation-author">
    <w:name w:val="highwire-citation-author"/>
    <w:basedOn w:val="Policepardfaut"/>
    <w:rsid w:val="000461EF"/>
  </w:style>
  <w:style w:type="character" w:customStyle="1" w:styleId="nlm-surname">
    <w:name w:val="nlm-surname"/>
    <w:basedOn w:val="Policepardfaut"/>
    <w:rsid w:val="000461EF"/>
  </w:style>
  <w:style w:type="character" w:customStyle="1" w:styleId="citation-et">
    <w:name w:val="citation-et"/>
    <w:basedOn w:val="Policepardfaut"/>
    <w:rsid w:val="000461EF"/>
  </w:style>
  <w:style w:type="paragraph" w:styleId="Notedebasdepage">
    <w:name w:val="footnote text"/>
    <w:basedOn w:val="Normal"/>
    <w:link w:val="NotedebasdepageCar"/>
    <w:uiPriority w:val="99"/>
    <w:unhideWhenUsed/>
    <w:rsid w:val="000461EF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461EF"/>
    <w:rPr>
      <w:rFonts w:ascii="Arial" w:hAnsi="Arial"/>
      <w:sz w:val="16"/>
      <w:szCs w:val="20"/>
    </w:rPr>
  </w:style>
  <w:style w:type="character" w:styleId="Appelnotedebasdep">
    <w:name w:val="footnote reference"/>
    <w:basedOn w:val="Policepardfaut"/>
    <w:uiPriority w:val="99"/>
    <w:unhideWhenUsed/>
    <w:rsid w:val="000461EF"/>
    <w:rPr>
      <w:color w:val="FF0000"/>
      <w:sz w:val="24"/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461EF"/>
    <w:pPr>
      <w:widowControl/>
      <w:spacing w:before="240" w:line="259" w:lineRule="auto"/>
      <w:contextualSpacing w:val="0"/>
      <w:outlineLvl w:val="9"/>
    </w:pPr>
    <w:rPr>
      <w:rFonts w:asciiTheme="majorHAnsi" w:hAnsiTheme="majorHAnsi" w:cstheme="majorBidi"/>
      <w:b w:val="0"/>
      <w:color w:val="2F5496" w:themeColor="accent1" w:themeShade="BF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A366FA"/>
    <w:pPr>
      <w:tabs>
        <w:tab w:val="right" w:leader="dot" w:pos="9350"/>
      </w:tabs>
      <w:spacing w:after="100" w:line="480" w:lineRule="auto"/>
      <w:ind w:left="270"/>
    </w:pPr>
    <w:rPr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0461EF"/>
    <w:pPr>
      <w:spacing w:after="100" w:line="480" w:lineRule="auto"/>
      <w:ind w:left="240"/>
    </w:pPr>
    <w:rPr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461EF"/>
    <w:pPr>
      <w:spacing w:after="0" w:line="480" w:lineRule="auto"/>
      <w:jc w:val="center"/>
    </w:pPr>
    <w:rPr>
      <w:rFonts w:cs="Arial"/>
      <w:noProof/>
      <w:sz w:val="24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0461EF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461EF"/>
    <w:pPr>
      <w:spacing w:line="240" w:lineRule="auto"/>
    </w:pPr>
    <w:rPr>
      <w:rFonts w:cs="Arial"/>
      <w:noProof/>
      <w:sz w:val="24"/>
    </w:rPr>
  </w:style>
  <w:style w:type="character" w:customStyle="1" w:styleId="EndNoteBibliographyChar">
    <w:name w:val="EndNote Bibliography Char"/>
    <w:basedOn w:val="Policepardfaut"/>
    <w:link w:val="EndNoteBibliography"/>
    <w:rsid w:val="000461EF"/>
    <w:rPr>
      <w:rFonts w:ascii="Arial" w:hAnsi="Arial" w:cs="Arial"/>
      <w:noProof/>
      <w:sz w:val="24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4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aliases w:val="List Bullet-RLY"/>
    <w:rsid w:val="000461EF"/>
    <w:pPr>
      <w:numPr>
        <w:numId w:val="16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1">
    <w:name w:val="Title1"/>
    <w:basedOn w:val="Normal"/>
    <w:rsid w:val="000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0461EF"/>
  </w:style>
  <w:style w:type="paragraph" w:customStyle="1" w:styleId="desc">
    <w:name w:val="desc"/>
    <w:basedOn w:val="Normal"/>
    <w:rsid w:val="000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Normal"/>
    <w:rsid w:val="000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rnl">
    <w:name w:val="jrnl"/>
    <w:basedOn w:val="Policepardfaut"/>
    <w:rsid w:val="000461EF"/>
  </w:style>
  <w:style w:type="character" w:customStyle="1" w:styleId="UnresolvedMention2">
    <w:name w:val="Unresolved Mention2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paragraph" w:customStyle="1" w:styleId="Heading2-2">
    <w:name w:val="Heading 2-2"/>
    <w:basedOn w:val="Normal"/>
    <w:link w:val="Heading2-2Char"/>
    <w:rsid w:val="000461EF"/>
    <w:pPr>
      <w:spacing w:line="480" w:lineRule="auto"/>
    </w:pPr>
    <w:rPr>
      <w:rFonts w:cs="Arial"/>
      <w:i/>
      <w:sz w:val="24"/>
      <w:szCs w:val="24"/>
    </w:rPr>
  </w:style>
  <w:style w:type="character" w:customStyle="1" w:styleId="Heading2-2Char">
    <w:name w:val="Heading 2-2 Char"/>
    <w:basedOn w:val="Titre2Car"/>
    <w:link w:val="Heading2-2"/>
    <w:rsid w:val="000461EF"/>
    <w:rPr>
      <w:rFonts w:ascii="Arial" w:hAnsi="Arial" w:cs="Arial"/>
      <w:i/>
      <w:sz w:val="24"/>
      <w:szCs w:val="24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character" w:styleId="Numrodeligne">
    <w:name w:val="line number"/>
    <w:basedOn w:val="Policepardfaut"/>
    <w:uiPriority w:val="99"/>
    <w:semiHidden/>
    <w:unhideWhenUsed/>
    <w:rsid w:val="000461EF"/>
  </w:style>
  <w:style w:type="character" w:customStyle="1" w:styleId="highlight">
    <w:name w:val="highlight"/>
    <w:basedOn w:val="Policepardfaut"/>
    <w:rsid w:val="000461EF"/>
  </w:style>
  <w:style w:type="paragraph" w:styleId="Notedefin">
    <w:name w:val="endnote text"/>
    <w:basedOn w:val="Normal"/>
    <w:link w:val="NotedefinCar"/>
    <w:uiPriority w:val="99"/>
    <w:semiHidden/>
    <w:unhideWhenUsed/>
    <w:rsid w:val="000461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61EF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461EF"/>
    <w:rPr>
      <w:vertAlign w:val="superscript"/>
    </w:rPr>
  </w:style>
  <w:style w:type="character" w:customStyle="1" w:styleId="UnresolvedMention4">
    <w:name w:val="Unresolved Mention4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character" w:customStyle="1" w:styleId="UnresolvedMention6">
    <w:name w:val="Unresolved Mention6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character" w:customStyle="1" w:styleId="UnresolvedMention7">
    <w:name w:val="Unresolved Mention7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61EF"/>
    <w:rPr>
      <w:rFonts w:ascii="Arial" w:hAnsi="Arial"/>
      <w:sz w:val="24"/>
    </w:rPr>
  </w:style>
  <w:style w:type="paragraph" w:customStyle="1" w:styleId="Figures">
    <w:name w:val="Figures"/>
    <w:basedOn w:val="Titre2"/>
    <w:link w:val="FiguresChar"/>
    <w:qFormat/>
    <w:rsid w:val="000461EF"/>
    <w:pPr>
      <w:spacing w:after="0" w:line="240" w:lineRule="auto"/>
    </w:pPr>
    <w:rPr>
      <w:rFonts w:eastAsiaTheme="minorEastAsia"/>
      <w:b/>
      <w:i w:val="0"/>
      <w:color w:val="000000" w:themeColor="text1"/>
      <w:kern w:val="24"/>
    </w:rPr>
  </w:style>
  <w:style w:type="character" w:customStyle="1" w:styleId="FiguresChar">
    <w:name w:val="Figures Char"/>
    <w:basedOn w:val="Policepardfaut"/>
    <w:link w:val="Figures"/>
    <w:rsid w:val="000461EF"/>
    <w:rPr>
      <w:rFonts w:ascii="Arial" w:eastAsiaTheme="minorEastAsia" w:hAnsi="Arial" w:cs="Arial"/>
      <w:b/>
      <w:color w:val="000000" w:themeColor="text1"/>
      <w:kern w:val="24"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0461EF"/>
    <w:pPr>
      <w:autoSpaceDE w:val="0"/>
      <w:autoSpaceDN w:val="0"/>
      <w:adjustRightInd w:val="0"/>
      <w:spacing w:after="0" w:line="480" w:lineRule="auto"/>
      <w:ind w:firstLine="720"/>
    </w:pPr>
    <w:rPr>
      <w:rFonts w:eastAsia="MyriadPro-Regular" w:cs="Arial"/>
      <w:sz w:val="24"/>
      <w:szCs w:val="24"/>
    </w:rPr>
  </w:style>
  <w:style w:type="character" w:customStyle="1" w:styleId="ParagraphChar">
    <w:name w:val="Paragraph Char"/>
    <w:basedOn w:val="Policepardfaut"/>
    <w:link w:val="Paragraph"/>
    <w:rsid w:val="000461EF"/>
    <w:rPr>
      <w:rFonts w:ascii="Arial" w:eastAsia="MyriadPro-Regular" w:hAnsi="Arial" w:cs="Arial"/>
      <w:sz w:val="24"/>
      <w:szCs w:val="24"/>
    </w:rPr>
  </w:style>
  <w:style w:type="character" w:customStyle="1" w:styleId="UnresolvedMention9">
    <w:name w:val="Unresolved Mention9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paragraph" w:customStyle="1" w:styleId="TableFootnote">
    <w:name w:val="Table_Footnote"/>
    <w:basedOn w:val="Normal"/>
    <w:link w:val="TableFootnoteChar"/>
    <w:qFormat/>
    <w:rsid w:val="000461EF"/>
    <w:pPr>
      <w:spacing w:after="0" w:line="240" w:lineRule="auto"/>
    </w:pPr>
    <w:rPr>
      <w:rFonts w:eastAsia="Segoe UI"/>
      <w:color w:val="000000" w:themeColor="text1"/>
      <w:kern w:val="24"/>
      <w:sz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461EF"/>
    <w:rPr>
      <w:color w:val="954F72" w:themeColor="followedHyperlink"/>
      <w:u w:val="single"/>
    </w:rPr>
  </w:style>
  <w:style w:type="character" w:customStyle="1" w:styleId="TableFootnoteChar">
    <w:name w:val="Table_Footnote Char"/>
    <w:basedOn w:val="Policepardfaut"/>
    <w:link w:val="TableFootnote"/>
    <w:rsid w:val="000461EF"/>
    <w:rPr>
      <w:rFonts w:ascii="Arial" w:eastAsia="Segoe UI" w:hAnsi="Arial"/>
      <w:color w:val="000000" w:themeColor="text1"/>
      <w:kern w:val="24"/>
      <w:sz w:val="18"/>
    </w:rPr>
  </w:style>
  <w:style w:type="character" w:customStyle="1" w:styleId="UnresolvedMention10">
    <w:name w:val="Unresolved Mention10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paragraph" w:customStyle="1" w:styleId="Paragraph-RLY">
    <w:name w:val="Paragraph-RLY"/>
    <w:rsid w:val="00046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1">
    <w:name w:val="Unresolved Mention11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Policepardfaut"/>
    <w:uiPriority w:val="99"/>
    <w:semiHidden/>
    <w:unhideWhenUsed/>
    <w:rsid w:val="000461EF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Policepardfaut"/>
    <w:uiPriority w:val="99"/>
    <w:semiHidden/>
    <w:unhideWhenUsed/>
    <w:rsid w:val="001636EB"/>
    <w:rPr>
      <w:color w:val="605E5C"/>
      <w:shd w:val="clear" w:color="auto" w:fill="E1DFDD"/>
    </w:rPr>
  </w:style>
  <w:style w:type="paragraph" w:styleId="TM3">
    <w:name w:val="toc 3"/>
    <w:basedOn w:val="Normal"/>
    <w:next w:val="Normal"/>
    <w:autoRedefine/>
    <w:uiPriority w:val="39"/>
    <w:unhideWhenUsed/>
    <w:rsid w:val="003A17FA"/>
    <w:pPr>
      <w:spacing w:after="100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E2F57CF1FA64EA82A78786A3BE252" ma:contentTypeVersion="13" ma:contentTypeDescription="Create a new document." ma:contentTypeScope="" ma:versionID="d0f3d08becf42c9741797b28d509e69c">
  <xsd:schema xmlns:xsd="http://www.w3.org/2001/XMLSchema" xmlns:xs="http://www.w3.org/2001/XMLSchema" xmlns:p="http://schemas.microsoft.com/office/2006/metadata/properties" xmlns:ns3="b76bc1f8-e527-4f89-b0c8-d8aadc99a5ae" xmlns:ns4="2fdd93f4-44fc-44ff-8453-1dbaeb7d8380" targetNamespace="http://schemas.microsoft.com/office/2006/metadata/properties" ma:root="true" ma:fieldsID="cc0f2f7ff2c416b6e7e901ce1428955d" ns3:_="" ns4:_="">
    <xsd:import namespace="b76bc1f8-e527-4f89-b0c8-d8aadc99a5ae"/>
    <xsd:import namespace="2fdd93f4-44fc-44ff-8453-1dbaeb7d8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bc1f8-e527-4f89-b0c8-d8aadc99a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d93f4-44fc-44ff-8453-1dbaeb7d8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C001-1099-40F0-B414-1F5722CB39B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2fdd93f4-44fc-44ff-8453-1dbaeb7d8380"/>
    <ds:schemaRef ds:uri="http://schemas.microsoft.com/office/infopath/2007/PartnerControls"/>
    <ds:schemaRef ds:uri="b76bc1f8-e527-4f89-b0c8-d8aadc99a5a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B055EF-F907-4972-BBE4-DEEC244C6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2A90D-53B2-4DE9-8081-7D00B4021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bc1f8-e527-4f89-b0c8-d8aadc99a5ae"/>
    <ds:schemaRef ds:uri="2fdd93f4-44fc-44ff-8453-1dbaeb7d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56325-039D-45C3-B382-0A9675AF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1942</Words>
  <Characters>10686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BOZEC Erwan</cp:lastModifiedBy>
  <cp:revision>2</cp:revision>
  <dcterms:created xsi:type="dcterms:W3CDTF">2020-11-23T14:37:00Z</dcterms:created>
  <dcterms:modified xsi:type="dcterms:W3CDTF">2020-11-23T14:37:00Z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0x0101006BCE2F57CF1FA64EA82A78786A3BE252</vt:lpwstr>
  </property>
</Properties>
</file>