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t>Supplementary Figures and Tables</w:t>
      </w: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t>Fudim et al.</w:t>
      </w: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t xml:space="preserve">Supplementary Figure 1: </w:t>
      </w:r>
      <w:r w:rsidR="00996CF4" w:rsidRPr="00996CF4">
        <w:rPr>
          <w:rFonts w:ascii="Arial" w:hAnsi="Arial" w:cs="Arial"/>
          <w:color w:val="000000" w:themeColor="text1"/>
          <w:sz w:val="22"/>
          <w:szCs w:val="22"/>
        </w:rPr>
        <w:t>Scatter plot demonstrating the strong correlation between KH ePVS and Duarte ePV (r=0.738, p&lt;0.001).</w:t>
      </w: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5F3FA1" w:rsidP="004749C0">
      <w:pPr>
        <w:rPr>
          <w:rFonts w:ascii="Arial" w:hAnsi="Arial" w:cs="Arial"/>
          <w:color w:val="000000" w:themeColor="text1"/>
          <w:sz w:val="22"/>
          <w:szCs w:val="22"/>
        </w:rPr>
      </w:pPr>
      <w:r w:rsidRPr="00996CF4">
        <w:rPr>
          <w:noProof/>
        </w:rPr>
        <w:drawing>
          <wp:inline distT="0" distB="0" distL="0" distR="0" wp14:anchorId="7C37CCB7" wp14:editId="03B5805F">
            <wp:extent cx="5023413" cy="376863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53" cy="376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:rsidR="004749C0" w:rsidRPr="00996CF4" w:rsidRDefault="004749C0" w:rsidP="004749C0">
      <w:pPr>
        <w:rPr>
          <w:rStyle w:val="Heading2Char"/>
          <w:rFonts w:ascii="Arial" w:hAnsi="Arial" w:cs="Arial"/>
          <w:b w:val="0"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 xml:space="preserve">Supplementary Figure 2: </w:t>
      </w:r>
      <w:r w:rsidR="00996CF4" w:rsidRPr="00996CF4">
        <w:rPr>
          <w:rFonts w:ascii="Arial" w:hAnsi="Arial" w:cs="Arial"/>
          <w:color w:val="000000" w:themeColor="text1"/>
          <w:sz w:val="22"/>
          <w:szCs w:val="22"/>
        </w:rPr>
        <w:t>Relationship between and composite of 30-day CV mortality or HF hospitalization modeled using a piecewise linear spline with a single knot at 0.</w:t>
      </w:r>
    </w:p>
    <w:p w:rsidR="004749C0" w:rsidRPr="00996CF4" w:rsidRDefault="004749C0" w:rsidP="004749C0">
      <w:pPr>
        <w:rPr>
          <w:rStyle w:val="Heading2Char"/>
          <w:rFonts w:ascii="Arial" w:hAnsi="Arial" w:cs="Arial"/>
          <w:b w:val="0"/>
          <w:color w:val="000000" w:themeColor="text1"/>
          <w:sz w:val="22"/>
          <w:szCs w:val="22"/>
        </w:rPr>
      </w:pPr>
    </w:p>
    <w:p w:rsidR="004749C0" w:rsidRPr="00996CF4" w:rsidRDefault="00A65E7B" w:rsidP="004749C0">
      <w:pPr>
        <w:rPr>
          <w:rFonts w:ascii="Arial" w:hAnsi="Arial" w:cs="Arial"/>
          <w:color w:val="000000" w:themeColor="text1"/>
          <w:sz w:val="22"/>
          <w:szCs w:val="22"/>
        </w:rPr>
      </w:pPr>
      <w:r w:rsidRPr="00996CF4">
        <w:rPr>
          <w:noProof/>
        </w:rPr>
        <w:drawing>
          <wp:inline distT="0" distB="0" distL="0" distR="0" wp14:anchorId="675FBDC8" wp14:editId="5F007CC4">
            <wp:extent cx="4839147" cy="3611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23" cy="36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 xml:space="preserve">Supplementary Figure 3: </w:t>
      </w:r>
      <w:r w:rsidR="00996CF4" w:rsidRPr="00996CF4">
        <w:rPr>
          <w:rFonts w:ascii="Arial" w:hAnsi="Arial" w:cs="Arial"/>
          <w:color w:val="000000" w:themeColor="text1"/>
          <w:sz w:val="22"/>
          <w:szCs w:val="22"/>
        </w:rPr>
        <w:t>Relationship between KH ePVS and composite of 30-day CV mortality or HF hospitalization modeled using a piecewise linear spline with a single knot at 0.</w:t>
      </w:r>
    </w:p>
    <w:p w:rsidR="00996CF4" w:rsidRPr="00996CF4" w:rsidRDefault="00996CF4" w:rsidP="004749C0">
      <w:pPr>
        <w:rPr>
          <w:rStyle w:val="Heading2Char"/>
          <w:rFonts w:ascii="Arial" w:hAnsi="Arial" w:cs="Arial"/>
          <w:b w:val="0"/>
          <w:bCs w:val="0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Style w:val="Heading2Char"/>
          <w:rFonts w:ascii="Arial" w:hAnsi="Arial" w:cs="Arial"/>
          <w:b w:val="0"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36F64F8" wp14:editId="63812667">
            <wp:extent cx="4694464" cy="3519016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81" cy="35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color w:val="000000" w:themeColor="text1"/>
        </w:rPr>
      </w:pPr>
    </w:p>
    <w:p w:rsidR="00996CF4" w:rsidRPr="00996CF4" w:rsidRDefault="00996CF4" w:rsidP="004749C0">
      <w:pPr>
        <w:rPr>
          <w:rFonts w:ascii="Arial" w:hAnsi="Arial" w:cs="Arial"/>
          <w:color w:val="000000" w:themeColor="text1"/>
        </w:rPr>
      </w:pPr>
    </w:p>
    <w:p w:rsidR="00996CF4" w:rsidRPr="00996CF4" w:rsidRDefault="00996CF4" w:rsidP="004749C0">
      <w:pPr>
        <w:rPr>
          <w:rFonts w:ascii="Arial" w:hAnsi="Arial" w:cs="Arial"/>
          <w:color w:val="000000" w:themeColor="text1"/>
        </w:rPr>
      </w:pPr>
    </w:p>
    <w:p w:rsidR="00996CF4" w:rsidRPr="00996CF4" w:rsidRDefault="00996CF4" w:rsidP="004749C0">
      <w:pPr>
        <w:rPr>
          <w:rFonts w:ascii="Arial" w:hAnsi="Arial" w:cs="Arial"/>
          <w:color w:val="000000" w:themeColor="text1"/>
        </w:rPr>
      </w:pPr>
    </w:p>
    <w:p w:rsidR="00996CF4" w:rsidRPr="00996CF4" w:rsidRDefault="00996CF4" w:rsidP="004749C0">
      <w:pPr>
        <w:rPr>
          <w:rFonts w:ascii="Arial" w:hAnsi="Arial" w:cs="Arial"/>
          <w:color w:val="000000" w:themeColor="text1"/>
        </w:rPr>
      </w:pPr>
    </w:p>
    <w:p w:rsidR="00996CF4" w:rsidRPr="00996CF4" w:rsidRDefault="00996CF4" w:rsidP="004749C0">
      <w:pPr>
        <w:rPr>
          <w:rFonts w:ascii="Arial" w:hAnsi="Arial" w:cs="Arial"/>
          <w:color w:val="000000" w:themeColor="text1"/>
        </w:rPr>
      </w:pPr>
    </w:p>
    <w:p w:rsidR="004749C0" w:rsidRPr="00996CF4" w:rsidRDefault="004749C0" w:rsidP="004749C0">
      <w:pPr>
        <w:spacing w:after="160" w:line="259" w:lineRule="auto"/>
        <w:rPr>
          <w:rFonts w:ascii="Arial" w:hAnsi="Arial" w:cs="Arial"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Supplementary Table 1:</w:t>
      </w:r>
      <w:r w:rsidRPr="00996CF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96CF4">
        <w:rPr>
          <w:rFonts w:ascii="Arial" w:hAnsi="Arial" w:cs="Arial"/>
          <w:bCs/>
          <w:color w:val="000000" w:themeColor="text1"/>
          <w:sz w:val="22"/>
          <w:szCs w:val="22"/>
        </w:rPr>
        <w:t>Correlation between estimated plasma volume and in hospital weight loss, urine output at 24 hours, and baseline NT-proBNP</w:t>
      </w:r>
    </w:p>
    <w:tbl>
      <w:tblPr>
        <w:tblW w:w="1058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4"/>
        <w:gridCol w:w="3014"/>
        <w:gridCol w:w="1517"/>
        <w:gridCol w:w="1517"/>
        <w:gridCol w:w="1517"/>
      </w:tblGrid>
      <w:tr w:rsidR="004749C0" w:rsidRPr="00996CF4" w:rsidTr="008A0429">
        <w:trPr>
          <w:cantSplit/>
          <w:tblHeader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</w:rPr>
              <w:t>Variable 1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</w:rPr>
              <w:t>Variable 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</w:rPr>
              <w:t>N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</w:rPr>
              <w:t>r</w:t>
            </w:r>
            <w:r w:rsidRPr="00996CF4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</w:rPr>
              <w:t>P-value</w:t>
            </w:r>
          </w:p>
        </w:tc>
      </w:tr>
      <w:tr w:rsidR="00AB6405" w:rsidRPr="00996CF4" w:rsidTr="008A0429">
        <w:trPr>
          <w:cantSplit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Kaplan-Hakim ePVS</w:t>
            </w:r>
          </w:p>
        </w:tc>
        <w:tc>
          <w:tcPr>
            <w:tcW w:w="30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Duarte ePV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6345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0.738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</w:tr>
      <w:tr w:rsidR="00AB6405" w:rsidRPr="00996CF4" w:rsidTr="008A0429">
        <w:trPr>
          <w:cantSplit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Duarte ePV</w:t>
            </w:r>
          </w:p>
        </w:tc>
        <w:tc>
          <w:tcPr>
            <w:tcW w:w="30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In-hospital change in Body Weight (kg)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3878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0.611</w:t>
            </w:r>
          </w:p>
        </w:tc>
      </w:tr>
      <w:tr w:rsidR="00AB6405" w:rsidRPr="00996CF4" w:rsidTr="008A0429">
        <w:trPr>
          <w:cantSplit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Duarte ePV</w:t>
            </w:r>
          </w:p>
        </w:tc>
        <w:tc>
          <w:tcPr>
            <w:tcW w:w="30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Urine Output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5467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0.691</w:t>
            </w:r>
          </w:p>
        </w:tc>
      </w:tr>
      <w:tr w:rsidR="00AB6405" w:rsidRPr="00996CF4" w:rsidTr="008A0429">
        <w:trPr>
          <w:cantSplit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Duarte ePV</w:t>
            </w:r>
          </w:p>
        </w:tc>
        <w:tc>
          <w:tcPr>
            <w:tcW w:w="30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Baseline NT-proBNP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3301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AB6405" w:rsidRPr="00996CF4" w:rsidRDefault="00AB6405" w:rsidP="00AB6405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Kaplan-Hakim ePVS</w:t>
            </w:r>
          </w:p>
        </w:tc>
        <w:tc>
          <w:tcPr>
            <w:tcW w:w="30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In-hospital change in Body Weight (kg)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3891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0.147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&lt;.001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Kaplan-Hakim ePVS</w:t>
            </w:r>
          </w:p>
        </w:tc>
        <w:tc>
          <w:tcPr>
            <w:tcW w:w="30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Urine Output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5495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-0.129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&lt;.001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Kaplan-Hakim ePVS</w:t>
            </w:r>
          </w:p>
        </w:tc>
        <w:tc>
          <w:tcPr>
            <w:tcW w:w="30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Baseline NT-proBNP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3321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0.275</w:t>
            </w:r>
          </w:p>
        </w:tc>
        <w:tc>
          <w:tcPr>
            <w:tcW w:w="1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&lt;.001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1058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 </w:t>
            </w: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†</w:t>
            </w: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 Spearman's rank correlation coefficient.</w:t>
            </w:r>
          </w:p>
        </w:tc>
      </w:tr>
    </w:tbl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996CF4" w:rsidRDefault="004749C0" w:rsidP="004749C0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 xml:space="preserve">Supplementary Table 2.1: </w:t>
      </w:r>
      <w:r w:rsidRPr="00996CF4">
        <w:rPr>
          <w:rFonts w:ascii="Arial" w:hAnsi="Arial" w:cs="Arial"/>
          <w:b/>
          <w:bCs/>
          <w:color w:val="000000"/>
          <w:sz w:val="22"/>
          <w:szCs w:val="22"/>
        </w:rPr>
        <w:t>Association between components of PVS and 30 day all-cause mortality</w:t>
      </w:r>
    </w:p>
    <w:tbl>
      <w:tblPr>
        <w:tblW w:w="1106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1925"/>
        <w:gridCol w:w="1445"/>
        <w:gridCol w:w="1925"/>
        <w:gridCol w:w="1445"/>
        <w:gridCol w:w="1445"/>
      </w:tblGrid>
      <w:tr w:rsidR="004749C0" w:rsidRPr="00996CF4" w:rsidTr="008A0429">
        <w:trPr>
          <w:cantSplit/>
          <w:tblHeader/>
          <w:jc w:val="center"/>
        </w:trPr>
        <w:tc>
          <w:tcPr>
            <w:tcW w:w="2880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Unadjusted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Adjusted</w:t>
            </w: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</w:tr>
      <w:tr w:rsidR="004749C0" w:rsidRPr="00996CF4" w:rsidTr="008A0429">
        <w:trPr>
          <w:cantSplit/>
          <w:tblHeader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 (95% CI)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 (95% CI)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C-index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/>
                <w:sz w:val="18"/>
                <w:szCs w:val="18"/>
              </w:rPr>
              <w:t>KH components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Hematocrit (per 0.1 unit increase 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0.04 (0.01, 0.18)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0.26 (0.05, 1.28)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0.707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Weight (per 10 kg increase)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1.03 (1.00, 1.06)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1.08 (1.04, 1.11)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445" w:type="dxa"/>
            <w:vMerge/>
            <w:tcBorders>
              <w:left w:val="single" w:sz="2" w:space="0" w:color="000000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Female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0.924 (0.78, 1.10)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1.05 (0.87, 1.27)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1445" w:type="dxa"/>
            <w:vMerge/>
            <w:tcBorders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7F4DFA" w:rsidP="008A0429">
            <w:pPr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/>
                <w:sz w:val="18"/>
                <w:szCs w:val="18"/>
              </w:rPr>
              <w:t>Duarte</w:t>
            </w:r>
            <w:r w:rsidR="004749C0" w:rsidRPr="00996CF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components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F4DFA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Hematocrit (per 0.1 unit increase 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0.04 (0.01, 0.18)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0.31 (0.02, 3.42)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0.340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0.701</w:t>
            </w:r>
          </w:p>
        </w:tc>
      </w:tr>
      <w:tr w:rsidR="007F4DFA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Hemoglobin (truncated) (per 5 g/dL increase)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0.71 (0.58, 0.88)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0.98 (0.68, 1.40)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0.837</w:t>
            </w:r>
          </w:p>
        </w:tc>
        <w:tc>
          <w:tcPr>
            <w:tcW w:w="1445" w:type="dxa"/>
            <w:vMerge/>
            <w:tcBorders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11065" w:type="dxa"/>
            <w:gridSpan w:val="6"/>
            <w:tcBorders>
              <w:top w:val="single" w:sz="4" w:space="0" w:color="auto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†</w:t>
            </w: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Adjustment variables include: Age (low/high), baseline BUN (log), dyspnea, hospitalization in prior year, baseline sodium (high), JVP, baseline systolic blood pressure (high), NT-proBNP.</w:t>
            </w:r>
          </w:p>
        </w:tc>
      </w:tr>
    </w:tbl>
    <w:p w:rsidR="004749C0" w:rsidRPr="00996CF4" w:rsidRDefault="004749C0" w:rsidP="004749C0"/>
    <w:p w:rsidR="004749C0" w:rsidRPr="00996CF4" w:rsidRDefault="004749C0" w:rsidP="004749C0">
      <w:pPr>
        <w:rPr>
          <w:rFonts w:ascii="Arial" w:hAnsi="Arial" w:cs="Arial"/>
          <w:sz w:val="22"/>
          <w:szCs w:val="22"/>
        </w:rPr>
      </w:pPr>
    </w:p>
    <w:p w:rsidR="004749C0" w:rsidRPr="00996CF4" w:rsidRDefault="004749C0" w:rsidP="004749C0">
      <w:pPr>
        <w:rPr>
          <w:rFonts w:ascii="Arial" w:hAnsi="Arial" w:cs="Arial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t xml:space="preserve">Supplementary Table 2.2: </w:t>
      </w:r>
      <w:r w:rsidRPr="00996CF4">
        <w:rPr>
          <w:rFonts w:ascii="Arial" w:hAnsi="Arial" w:cs="Arial"/>
          <w:b/>
          <w:bCs/>
          <w:color w:val="000000"/>
          <w:sz w:val="22"/>
          <w:szCs w:val="22"/>
        </w:rPr>
        <w:t>Association between components of PVS and 180 day all-cause mortality</w:t>
      </w:r>
    </w:p>
    <w:p w:rsidR="004749C0" w:rsidRPr="00996CF4" w:rsidRDefault="004749C0" w:rsidP="004749C0"/>
    <w:tbl>
      <w:tblPr>
        <w:tblW w:w="1106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1925"/>
        <w:gridCol w:w="1445"/>
        <w:gridCol w:w="1925"/>
        <w:gridCol w:w="1445"/>
        <w:gridCol w:w="1445"/>
      </w:tblGrid>
      <w:tr w:rsidR="004749C0" w:rsidRPr="00996CF4" w:rsidTr="008A0429">
        <w:trPr>
          <w:cantSplit/>
          <w:tblHeader/>
          <w:jc w:val="center"/>
        </w:trPr>
        <w:tc>
          <w:tcPr>
            <w:tcW w:w="11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Table 6.1: Association between components of PVS and 180 day all-cause mortality</w:t>
            </w:r>
          </w:p>
        </w:tc>
      </w:tr>
      <w:tr w:rsidR="004749C0" w:rsidRPr="00996CF4" w:rsidTr="008A0429">
        <w:trPr>
          <w:cantSplit/>
          <w:tblHeader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7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Unadjusted</w:t>
            </w:r>
          </w:p>
        </w:tc>
        <w:tc>
          <w:tcPr>
            <w:tcW w:w="481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Adjusted</w:t>
            </w: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</w:tr>
      <w:tr w:rsidR="004749C0" w:rsidRPr="00996CF4" w:rsidTr="008A0429">
        <w:trPr>
          <w:cantSplit/>
          <w:tblHeader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HR (95% CI)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HR (95% CI)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C-index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/>
                <w:sz w:val="18"/>
                <w:szCs w:val="18"/>
              </w:rPr>
              <w:t>KH components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Hematocrit (per 0.1 unit increase 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0.72 (0.64, 0.81)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0.59 (0.16, 2.13)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0.417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0.709</w:t>
            </w: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Weight (per 10 kg increase)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0.91 (0.89, 0.94)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0.98 (0.95, 1.01)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1445" w:type="dxa"/>
            <w:vMerge/>
            <w:tcBorders>
              <w:left w:val="single" w:sz="2" w:space="0" w:color="000000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Female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1.02 (0.89, 1.17)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0.801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0.97 (0.84, 1.13)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0.726</w:t>
            </w:r>
          </w:p>
        </w:tc>
        <w:tc>
          <w:tcPr>
            <w:tcW w:w="1445" w:type="dxa"/>
            <w:vMerge/>
            <w:tcBorders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7F4DFA" w:rsidP="008A0429">
            <w:pPr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/>
                <w:sz w:val="18"/>
                <w:szCs w:val="18"/>
              </w:rPr>
              <w:t>Duarte</w:t>
            </w:r>
            <w:r w:rsidR="004749C0" w:rsidRPr="00996CF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components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F4DFA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Hematocrit (per 0.1 unit increase 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0.72 (0.64, 0.81)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1.04 (0.14, 7.74)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0.968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0.709</w:t>
            </w:r>
          </w:p>
        </w:tc>
      </w:tr>
      <w:tr w:rsidR="007F4DFA" w:rsidRPr="00996CF4" w:rsidTr="008A0429">
        <w:trPr>
          <w:cantSplit/>
          <w:jc w:val="center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  Hemoglobin (truncated) (per 5 g/dL increase)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0.69 (0.59, 0.80)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&lt;.001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0.91 (0.71, 1.18)</w:t>
            </w:r>
          </w:p>
        </w:tc>
        <w:tc>
          <w:tcPr>
            <w:tcW w:w="1445" w:type="dxa"/>
            <w:tcBorders>
              <w:top w:val="nil"/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0.476</w:t>
            </w:r>
          </w:p>
        </w:tc>
        <w:tc>
          <w:tcPr>
            <w:tcW w:w="1445" w:type="dxa"/>
            <w:vMerge/>
            <w:tcBorders>
              <w:left w:val="sing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7F4DFA" w:rsidRPr="00996CF4" w:rsidRDefault="007F4DFA" w:rsidP="007F4DFA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jc w:val="center"/>
        </w:trPr>
        <w:tc>
          <w:tcPr>
            <w:tcW w:w="11065" w:type="dxa"/>
            <w:gridSpan w:val="6"/>
            <w:tcBorders>
              <w:top w:val="single" w:sz="4" w:space="0" w:color="auto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†</w:t>
            </w: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 xml:space="preserve"> Adjustment variables include: Age (low/high), baseline BUN (log), dyspnea, hospitalization in prior year, baseline sodium (high), JVP, baseline systolic blood pressure (high), NT-proBNP.</w:t>
            </w:r>
          </w:p>
        </w:tc>
      </w:tr>
    </w:tbl>
    <w:p w:rsidR="004749C0" w:rsidRPr="00996CF4" w:rsidRDefault="004749C0" w:rsidP="004749C0"/>
    <w:p w:rsidR="004749C0" w:rsidRPr="00996CF4" w:rsidRDefault="004749C0" w:rsidP="004749C0">
      <w:pPr>
        <w:sectPr w:rsidR="004749C0" w:rsidRPr="00996CF4" w:rsidSect="003370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749C0" w:rsidRPr="00996CF4" w:rsidRDefault="004749C0" w:rsidP="004749C0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996CF4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Supplementary Table 3:</w:t>
      </w:r>
      <w:r w:rsidRPr="00996CF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96CF4">
        <w:rPr>
          <w:rFonts w:ascii="Arial" w:hAnsi="Arial" w:cs="Arial"/>
          <w:bCs/>
          <w:color w:val="000000" w:themeColor="text1"/>
          <w:sz w:val="22"/>
          <w:szCs w:val="22"/>
        </w:rPr>
        <w:t>Association between ePVS and Outcomes Modified by Heart Failure Type</w:t>
      </w:r>
    </w:p>
    <w:p w:rsidR="004749C0" w:rsidRPr="00996CF4" w:rsidRDefault="004749C0" w:rsidP="004749C0">
      <w:pPr>
        <w:rPr>
          <w:rFonts w:ascii="Arial" w:hAnsi="Arial" w:cs="Arial"/>
          <w:bCs/>
          <w:color w:val="000000" w:themeColor="text1"/>
        </w:rPr>
      </w:pP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5"/>
        <w:gridCol w:w="1878"/>
        <w:gridCol w:w="1982"/>
        <w:gridCol w:w="1293"/>
      </w:tblGrid>
      <w:tr w:rsidR="004749C0" w:rsidRPr="00996CF4" w:rsidTr="008A0429">
        <w:trPr>
          <w:cantSplit/>
          <w:trHeight w:val="367"/>
          <w:tblHeader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Outcome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HFrEF (LVEF </w:t>
            </w: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sym w:font="Symbol" w:char="F0A3"/>
            </w: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40%)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HFpEF (LVEF &gt; 40%)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Interaction </w:t>
            </w:r>
          </w:p>
        </w:tc>
      </w:tr>
      <w:tr w:rsidR="004749C0" w:rsidRPr="00996CF4" w:rsidTr="008A0429">
        <w:trPr>
          <w:cantSplit/>
          <w:trHeight w:val="216"/>
          <w:tblHeader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HR/OR (95% CI)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HR/OR (95% CI)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  <w:vAlign w:val="bottom"/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P-Value</w:t>
            </w:r>
          </w:p>
        </w:tc>
      </w:tr>
      <w:tr w:rsidR="004749C0" w:rsidRPr="00996CF4" w:rsidTr="008A0429">
        <w:trPr>
          <w:cantSplit/>
          <w:trHeight w:val="367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30 day CV Mortality and Re hospitalization for HF (adjusted) 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Continuous Duarte ePV 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 unit increase Duarte ePV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1.1 (1.01-1.2)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1.1 (0.9-1.35)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0.978</w:t>
            </w: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Quartile-based Duarte ePV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Q1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293" w:type="dxa"/>
            <w:vMerge w:val="restart"/>
            <w:shd w:val="clear" w:color="auto" w:fill="FFFFFF"/>
            <w:tcMar>
              <w:left w:w="60" w:type="dxa"/>
              <w:right w:w="60" w:type="dxa"/>
            </w:tcMar>
            <w:vAlign w:val="center"/>
          </w:tcPr>
          <w:p w:rsidR="00DD7AB3" w:rsidRPr="00996CF4" w:rsidRDefault="00DD7AB3" w:rsidP="00DD7AB3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0.227</w:t>
            </w: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Q2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1.19 (0.86-1.64)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3.62 (1.02-12.86)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Q3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1.52 (1.12-2.07)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2.51 (0.69-9.09)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Q4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1.41 (1.02-1.93)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keepNext/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3.69 (1.1-12.34)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Continuous KH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KH ePVS ≤0 (per 10 unit increase)</w:t>
            </w: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+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1.2 (1.02-1.4)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1.12 (0.75-1.68)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0.774</w:t>
            </w: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KH ePVS &gt;0 (per 10 percent increase)</w:t>
            </w: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+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0.68 (0.53-0.86)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1.07 (0.6-1.88)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0.148</w:t>
            </w: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Quartile-based KH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Q1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293" w:type="dxa"/>
            <w:vMerge w:val="restart"/>
            <w:shd w:val="clear" w:color="auto" w:fill="FFFFFF"/>
            <w:tcMar>
              <w:left w:w="60" w:type="dxa"/>
              <w:right w:w="60" w:type="dxa"/>
            </w:tcMar>
            <w:vAlign w:val="center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0.476</w:t>
            </w: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Q2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1.2 (0.87-1.65)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0.74 (0.3-1.82)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Q3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1.3 (0.95-1.78)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1.31 (0.61-2.8)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Q4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0.93 (0.67-1.29)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1.12 (0.52-2.42)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180 Day Mortality (adjusted)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Continuous Duarte ePV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 unit increase Duarte ePV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1.04 (0.97-1.12)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1.02 (0.88-1.19)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0.822</w:t>
            </w: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Quartile-based Duarte ePV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Q1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293" w:type="dxa"/>
            <w:vMerge w:val="restart"/>
            <w:shd w:val="clear" w:color="auto" w:fill="FFFFFF"/>
            <w:tcMar>
              <w:left w:w="60" w:type="dxa"/>
              <w:right w:w="60" w:type="dxa"/>
            </w:tcMar>
            <w:vAlign w:val="center"/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0.079</w:t>
            </w: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Q2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1.08 (0.83-1.42)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0.74 (0.38-1.48)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Q3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1.36 (1.05-1.75)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0.55 (0.27-1.11)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25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Q4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1.19 (0.92-1.55)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0.94 (0.52-1.7)</w:t>
            </w:r>
          </w:p>
        </w:tc>
        <w:tc>
          <w:tcPr>
            <w:tcW w:w="1293" w:type="dxa"/>
            <w:vMerge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D7AB3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Continuous KH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DD7AB3" w:rsidRPr="00996CF4" w:rsidRDefault="00DD7AB3" w:rsidP="00DD7AB3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10 percent increase PVS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1.07 (1-1.15)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1.16 (0.96-1.4)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0.444</w:t>
            </w: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Quartile-based KH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Q1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  <w:vAlign w:val="center"/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0.277</w:t>
            </w: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Q2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1.46 (1.09-1.97)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1.03 (0.53-2)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Q3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1.54 (1.15-2.05)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0.85 (0.45-1.6)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996CF4" w:rsidTr="008A0429">
        <w:trPr>
          <w:cantSplit/>
          <w:trHeight w:val="216"/>
          <w:jc w:val="center"/>
        </w:trPr>
        <w:tc>
          <w:tcPr>
            <w:tcW w:w="4685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Q4</w:t>
            </w:r>
          </w:p>
        </w:tc>
        <w:tc>
          <w:tcPr>
            <w:tcW w:w="1878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1.48 (1.11-1.98)</w:t>
            </w:r>
          </w:p>
        </w:tc>
        <w:tc>
          <w:tcPr>
            <w:tcW w:w="1982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/>
                <w:sz w:val="18"/>
                <w:szCs w:val="18"/>
              </w:rPr>
              <w:t>1.27 (0.7-2.31)</w:t>
            </w:r>
          </w:p>
        </w:tc>
        <w:tc>
          <w:tcPr>
            <w:tcW w:w="1293" w:type="dxa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adjustRightInd w:val="0"/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49C0" w:rsidRPr="004128CC" w:rsidTr="008A0429">
        <w:trPr>
          <w:cantSplit/>
          <w:trHeight w:val="726"/>
          <w:jc w:val="center"/>
        </w:trPr>
        <w:tc>
          <w:tcPr>
            <w:tcW w:w="9838" w:type="dxa"/>
            <w:gridSpan w:val="4"/>
            <w:shd w:val="clear" w:color="auto" w:fill="FFFFFF"/>
            <w:tcMar>
              <w:left w:w="60" w:type="dxa"/>
              <w:right w:w="60" w:type="dxa"/>
            </w:tcMar>
          </w:tcPr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lastRenderedPageBreak/>
              <w:t>+</w:t>
            </w: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 KH ePVS modeled using a piecewise linear spline with a single knot at 0.</w:t>
            </w:r>
          </w:p>
          <w:p w:rsidR="004749C0" w:rsidRPr="00996CF4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Hazard ratios are reported for the 180 outcome.  Odds ratios are reported for the 30 day outcome.</w:t>
            </w:r>
          </w:p>
          <w:p w:rsidR="004749C0" w:rsidRPr="004128CC" w:rsidRDefault="004749C0" w:rsidP="008A0429">
            <w:pPr>
              <w:keepNext/>
              <w:adjustRightInd w:val="0"/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96CF4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Adjustment variables include: Age, baseline BUN (log), dyspnea, hospitalization in prior year, baseline sodium, JVP, baseline systolic blood pressure, NT-proBNP.</w:t>
            </w:r>
          </w:p>
        </w:tc>
      </w:tr>
    </w:tbl>
    <w:p w:rsidR="004749C0" w:rsidRPr="00852C78" w:rsidRDefault="004749C0" w:rsidP="004749C0">
      <w:pPr>
        <w:rPr>
          <w:rFonts w:ascii="Arial" w:hAnsi="Arial" w:cs="Arial"/>
          <w:b/>
          <w:color w:val="000000" w:themeColor="text1"/>
        </w:rPr>
      </w:pPr>
    </w:p>
    <w:p w:rsidR="004749C0" w:rsidRPr="00852C78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852C78" w:rsidRDefault="004749C0" w:rsidP="004749C0">
      <w:pPr>
        <w:rPr>
          <w:rFonts w:ascii="Arial" w:hAnsi="Arial" w:cs="Arial"/>
          <w:color w:val="000000" w:themeColor="text1"/>
        </w:rPr>
      </w:pPr>
    </w:p>
    <w:p w:rsidR="004749C0" w:rsidRPr="00852C78" w:rsidRDefault="004749C0" w:rsidP="004749C0">
      <w:pPr>
        <w:rPr>
          <w:rFonts w:ascii="Arial" w:hAnsi="Arial" w:cs="Arial"/>
          <w:color w:val="000000" w:themeColor="text1"/>
        </w:rPr>
      </w:pPr>
    </w:p>
    <w:p w:rsidR="005A71AE" w:rsidRDefault="003D5B71"/>
    <w:sectPr w:rsidR="005A71AE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D5B71" w:rsidRDefault="003D5B71">
      <w:r>
        <w:separator/>
      </w:r>
    </w:p>
  </w:endnote>
  <w:endnote w:type="continuationSeparator" w:id="0">
    <w:p w:rsidR="003D5B71" w:rsidRDefault="003D5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7E08" w:rsidRDefault="004749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67E08" w:rsidRDefault="003D5B7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7E08" w:rsidRDefault="004749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27</w:t>
    </w:r>
    <w:r>
      <w:rPr>
        <w:rStyle w:val="PageNumber"/>
      </w:rPr>
      <w:fldChar w:fldCharType="end"/>
    </w:r>
  </w:p>
  <w:p w:rsidR="00F67E08" w:rsidRDefault="003D5B7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D5B71" w:rsidRDefault="003D5B71">
      <w:r>
        <w:separator/>
      </w:r>
    </w:p>
  </w:footnote>
  <w:footnote w:type="continuationSeparator" w:id="0">
    <w:p w:rsidR="003D5B71" w:rsidRDefault="003D5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9C0"/>
    <w:rsid w:val="0001560D"/>
    <w:rsid w:val="00035A0C"/>
    <w:rsid w:val="00037652"/>
    <w:rsid w:val="00067F32"/>
    <w:rsid w:val="00070F6A"/>
    <w:rsid w:val="00072CC3"/>
    <w:rsid w:val="000B10FF"/>
    <w:rsid w:val="000B44D0"/>
    <w:rsid w:val="000D53BF"/>
    <w:rsid w:val="000F0D74"/>
    <w:rsid w:val="00144294"/>
    <w:rsid w:val="00144833"/>
    <w:rsid w:val="00193848"/>
    <w:rsid w:val="00197600"/>
    <w:rsid w:val="001A1906"/>
    <w:rsid w:val="001A797C"/>
    <w:rsid w:val="001A7DA2"/>
    <w:rsid w:val="001B086F"/>
    <w:rsid w:val="001D0491"/>
    <w:rsid w:val="001D27CA"/>
    <w:rsid w:val="001D59ED"/>
    <w:rsid w:val="001E5E8F"/>
    <w:rsid w:val="00234BDE"/>
    <w:rsid w:val="00236980"/>
    <w:rsid w:val="00243870"/>
    <w:rsid w:val="0028209C"/>
    <w:rsid w:val="002C0B7D"/>
    <w:rsid w:val="002D086E"/>
    <w:rsid w:val="002D31D8"/>
    <w:rsid w:val="002D6553"/>
    <w:rsid w:val="00321A05"/>
    <w:rsid w:val="00324678"/>
    <w:rsid w:val="003458C7"/>
    <w:rsid w:val="00357783"/>
    <w:rsid w:val="00357E21"/>
    <w:rsid w:val="003716C8"/>
    <w:rsid w:val="003B1828"/>
    <w:rsid w:val="003C542E"/>
    <w:rsid w:val="003D5B71"/>
    <w:rsid w:val="00404C8B"/>
    <w:rsid w:val="00430D57"/>
    <w:rsid w:val="00454D95"/>
    <w:rsid w:val="00460BD3"/>
    <w:rsid w:val="004749C0"/>
    <w:rsid w:val="004B2EA8"/>
    <w:rsid w:val="004F1083"/>
    <w:rsid w:val="004F77A7"/>
    <w:rsid w:val="005471C1"/>
    <w:rsid w:val="0055081F"/>
    <w:rsid w:val="0055174E"/>
    <w:rsid w:val="00551934"/>
    <w:rsid w:val="005612F9"/>
    <w:rsid w:val="0057586C"/>
    <w:rsid w:val="00585F23"/>
    <w:rsid w:val="005966C7"/>
    <w:rsid w:val="005A010B"/>
    <w:rsid w:val="005B1E69"/>
    <w:rsid w:val="005C54A9"/>
    <w:rsid w:val="005F3FA1"/>
    <w:rsid w:val="006330B8"/>
    <w:rsid w:val="006C7C07"/>
    <w:rsid w:val="006E404E"/>
    <w:rsid w:val="006E718B"/>
    <w:rsid w:val="007068B0"/>
    <w:rsid w:val="00751B76"/>
    <w:rsid w:val="007718F6"/>
    <w:rsid w:val="007960FE"/>
    <w:rsid w:val="007A4E61"/>
    <w:rsid w:val="007E3579"/>
    <w:rsid w:val="007E3FF7"/>
    <w:rsid w:val="007E704A"/>
    <w:rsid w:val="007E7B01"/>
    <w:rsid w:val="007F0CDC"/>
    <w:rsid w:val="007F4DFA"/>
    <w:rsid w:val="00814321"/>
    <w:rsid w:val="00816429"/>
    <w:rsid w:val="0085344A"/>
    <w:rsid w:val="008570CC"/>
    <w:rsid w:val="00871C40"/>
    <w:rsid w:val="0089144E"/>
    <w:rsid w:val="008A4556"/>
    <w:rsid w:val="008F54CD"/>
    <w:rsid w:val="00900011"/>
    <w:rsid w:val="0091240B"/>
    <w:rsid w:val="009529BE"/>
    <w:rsid w:val="009910E7"/>
    <w:rsid w:val="00996CF4"/>
    <w:rsid w:val="009C2577"/>
    <w:rsid w:val="009D126E"/>
    <w:rsid w:val="009F53EE"/>
    <w:rsid w:val="00A624A7"/>
    <w:rsid w:val="00A64694"/>
    <w:rsid w:val="00A6552A"/>
    <w:rsid w:val="00A65E7B"/>
    <w:rsid w:val="00AA690E"/>
    <w:rsid w:val="00AB07E3"/>
    <w:rsid w:val="00AB6405"/>
    <w:rsid w:val="00AF2AEA"/>
    <w:rsid w:val="00B37D4A"/>
    <w:rsid w:val="00B864C0"/>
    <w:rsid w:val="00BA5886"/>
    <w:rsid w:val="00BC3599"/>
    <w:rsid w:val="00C22465"/>
    <w:rsid w:val="00C259AC"/>
    <w:rsid w:val="00C408B9"/>
    <w:rsid w:val="00C46F9D"/>
    <w:rsid w:val="00C5767D"/>
    <w:rsid w:val="00C57F36"/>
    <w:rsid w:val="00C76D91"/>
    <w:rsid w:val="00C80EAF"/>
    <w:rsid w:val="00C86F24"/>
    <w:rsid w:val="00C87698"/>
    <w:rsid w:val="00C90A87"/>
    <w:rsid w:val="00CB1144"/>
    <w:rsid w:val="00CC7417"/>
    <w:rsid w:val="00CE0BD2"/>
    <w:rsid w:val="00CF6DA0"/>
    <w:rsid w:val="00D1377F"/>
    <w:rsid w:val="00D15E7B"/>
    <w:rsid w:val="00D64153"/>
    <w:rsid w:val="00DA1DC2"/>
    <w:rsid w:val="00DB2DD3"/>
    <w:rsid w:val="00DC5C82"/>
    <w:rsid w:val="00DD7AB3"/>
    <w:rsid w:val="00E62CF0"/>
    <w:rsid w:val="00E67181"/>
    <w:rsid w:val="00E74DC3"/>
    <w:rsid w:val="00EA2DEA"/>
    <w:rsid w:val="00EC3A4E"/>
    <w:rsid w:val="00F11122"/>
    <w:rsid w:val="00F17609"/>
    <w:rsid w:val="00F458C1"/>
    <w:rsid w:val="00F836B2"/>
    <w:rsid w:val="00FA2A04"/>
    <w:rsid w:val="00FC313D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9BCC1"/>
  <w15:chartTrackingRefBased/>
  <w15:docId w15:val="{1799BA61-9252-2942-B622-A52717F70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9C0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49C0"/>
    <w:pPr>
      <w:keepNext/>
      <w:keepLines/>
      <w:spacing w:before="200" w:line="24" w:lineRule="atLeast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749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749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9C0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4749C0"/>
  </w:style>
  <w:style w:type="paragraph" w:styleId="BalloonText">
    <w:name w:val="Balloon Text"/>
    <w:basedOn w:val="Normal"/>
    <w:link w:val="BalloonTextChar"/>
    <w:uiPriority w:val="99"/>
    <w:semiHidden/>
    <w:unhideWhenUsed/>
    <w:rsid w:val="005F3FA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FA1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AC70D2-83FE-6E49-8778-B5E3AC282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 Fudim</dc:creator>
  <cp:keywords/>
  <dc:description/>
  <cp:lastModifiedBy>Marat Fudim</cp:lastModifiedBy>
  <cp:revision>3</cp:revision>
  <dcterms:created xsi:type="dcterms:W3CDTF">2019-12-22T10:39:00Z</dcterms:created>
  <dcterms:modified xsi:type="dcterms:W3CDTF">2020-07-23T20:36:00Z</dcterms:modified>
</cp:coreProperties>
</file>