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2AB1" w14:textId="77777777" w:rsidR="0031401A" w:rsidRDefault="0031401A" w:rsidP="0031401A">
      <w:pPr>
        <w:rPr>
          <w:rFonts w:ascii="Arial" w:hAnsi="Arial" w:cs="Arial"/>
          <w:b/>
          <w:bCs/>
          <w:sz w:val="24"/>
          <w:szCs w:val="24"/>
        </w:rPr>
      </w:pPr>
      <w:bookmarkStart w:id="0" w:name="_GoBack"/>
      <w:bookmarkEnd w:id="0"/>
      <w:r w:rsidRPr="0035334A">
        <w:rPr>
          <w:rFonts w:ascii="Arial" w:hAnsi="Arial" w:cs="Arial"/>
          <w:b/>
          <w:bCs/>
          <w:sz w:val="24"/>
          <w:szCs w:val="24"/>
        </w:rPr>
        <w:t xml:space="preserve">Supplemental Material </w:t>
      </w:r>
    </w:p>
    <w:p w14:paraId="496F994C" w14:textId="77777777" w:rsidR="0031401A" w:rsidRDefault="0031401A" w:rsidP="0031401A">
      <w:pPr>
        <w:rPr>
          <w:rFonts w:ascii="Arial" w:hAnsi="Arial" w:cs="Arial"/>
          <w:b/>
          <w:bCs/>
          <w:sz w:val="24"/>
          <w:szCs w:val="24"/>
        </w:rPr>
      </w:pPr>
      <w:r>
        <w:rPr>
          <w:rFonts w:ascii="Arial" w:hAnsi="Arial" w:cs="Arial"/>
          <w:b/>
          <w:bCs/>
          <w:sz w:val="24"/>
          <w:szCs w:val="24"/>
        </w:rPr>
        <w:br w:type="page"/>
      </w:r>
    </w:p>
    <w:p w14:paraId="5958E002" w14:textId="77777777" w:rsidR="0031401A" w:rsidRPr="0035334A" w:rsidRDefault="0031401A" w:rsidP="0031401A">
      <w:pPr>
        <w:rPr>
          <w:rFonts w:ascii="Arial" w:hAnsi="Arial" w:cs="Arial"/>
          <w:b/>
          <w:bCs/>
          <w:sz w:val="24"/>
          <w:szCs w:val="24"/>
        </w:rPr>
      </w:pPr>
    </w:p>
    <w:p w14:paraId="4196A00B" w14:textId="77777777" w:rsidR="0031401A" w:rsidRPr="00830DC5" w:rsidRDefault="0031401A" w:rsidP="0031401A">
      <w:pPr>
        <w:spacing w:after="120"/>
        <w:ind w:right="4"/>
        <w:jc w:val="both"/>
        <w:rPr>
          <w:rFonts w:ascii="Arial" w:hAnsi="Arial" w:cs="Arial"/>
          <w:b/>
          <w:bCs/>
        </w:rPr>
      </w:pPr>
      <w:bookmarkStart w:id="1" w:name="_Hlk67905918"/>
      <w:bookmarkEnd w:id="1"/>
      <w:r>
        <w:rPr>
          <w:rFonts w:ascii="Arial" w:hAnsi="Arial" w:cs="Arial"/>
          <w:b/>
          <w:bCs/>
        </w:rPr>
        <w:t xml:space="preserve">Supplemental </w:t>
      </w:r>
      <w:r w:rsidRPr="00830DC5">
        <w:rPr>
          <w:rFonts w:ascii="Arial" w:hAnsi="Arial" w:cs="Arial"/>
          <w:b/>
          <w:bCs/>
        </w:rPr>
        <w:t>Table 1.</w:t>
      </w:r>
      <w:r>
        <w:rPr>
          <w:rFonts w:ascii="Arial" w:hAnsi="Arial" w:cs="Arial"/>
          <w:b/>
          <w:bCs/>
        </w:rPr>
        <w:t xml:space="preserve"> Adjusted mean changes of uric acid levels (mg/dL) over time </w:t>
      </w:r>
      <w:r w:rsidRPr="00404D78">
        <w:rPr>
          <w:rFonts w:ascii="Arial" w:hAnsi="Arial" w:cs="Arial"/>
          <w:b/>
          <w:bCs/>
        </w:rPr>
        <w:t>(on-treatment)</w:t>
      </w:r>
      <w:r>
        <w:rPr>
          <w:rFonts w:ascii="Arial" w:hAnsi="Arial" w:cs="Arial"/>
          <w:b/>
          <w:bCs/>
        </w:rPr>
        <w:t xml:space="preserve"> in the Empagliflozin (pooled) vs. Placebo group</w:t>
      </w:r>
    </w:p>
    <w:tbl>
      <w:tblPr>
        <w:tblStyle w:val="Grilledutableau"/>
        <w:tblW w:w="0" w:type="auto"/>
        <w:tblInd w:w="-5" w:type="dxa"/>
        <w:tblLook w:val="04A0" w:firstRow="1" w:lastRow="0" w:firstColumn="1" w:lastColumn="0" w:noHBand="0" w:noVBand="1"/>
      </w:tblPr>
      <w:tblGrid>
        <w:gridCol w:w="2411"/>
        <w:gridCol w:w="1744"/>
        <w:gridCol w:w="1744"/>
        <w:gridCol w:w="2749"/>
        <w:gridCol w:w="1018"/>
      </w:tblGrid>
      <w:tr w:rsidR="0031401A" w:rsidRPr="00640B5D" w14:paraId="4DC030EC" w14:textId="77777777" w:rsidTr="00F35080">
        <w:tc>
          <w:tcPr>
            <w:tcW w:w="2411" w:type="dxa"/>
          </w:tcPr>
          <w:p w14:paraId="4A868E60" w14:textId="77777777" w:rsidR="0031401A" w:rsidRPr="00640B5D" w:rsidRDefault="0031401A" w:rsidP="00F35080">
            <w:pPr>
              <w:rPr>
                <w:rFonts w:ascii="Arial" w:hAnsi="Arial" w:cs="Arial"/>
              </w:rPr>
            </w:pPr>
            <w:r w:rsidRPr="00640B5D">
              <w:rPr>
                <w:rFonts w:ascii="Arial" w:hAnsi="Arial" w:cs="Arial"/>
              </w:rPr>
              <w:t>Week (n/o patients analyzed)</w:t>
            </w:r>
          </w:p>
        </w:tc>
        <w:tc>
          <w:tcPr>
            <w:tcW w:w="1744" w:type="dxa"/>
          </w:tcPr>
          <w:p w14:paraId="2710E48C" w14:textId="77777777" w:rsidR="0031401A" w:rsidRPr="00640B5D" w:rsidRDefault="0031401A" w:rsidP="00F35080">
            <w:pPr>
              <w:jc w:val="center"/>
              <w:rPr>
                <w:rFonts w:ascii="Arial" w:hAnsi="Arial" w:cs="Arial"/>
              </w:rPr>
            </w:pPr>
            <w:r w:rsidRPr="00640B5D">
              <w:rPr>
                <w:rFonts w:ascii="Arial" w:hAnsi="Arial" w:cs="Arial"/>
              </w:rPr>
              <w:t>UA level change Empagliflozin (n=4516)</w:t>
            </w:r>
          </w:p>
        </w:tc>
        <w:tc>
          <w:tcPr>
            <w:tcW w:w="1744" w:type="dxa"/>
          </w:tcPr>
          <w:p w14:paraId="4E1CA95F" w14:textId="77777777" w:rsidR="0031401A" w:rsidRPr="00640B5D" w:rsidRDefault="0031401A" w:rsidP="00F35080">
            <w:pPr>
              <w:jc w:val="center"/>
              <w:rPr>
                <w:rFonts w:ascii="Arial" w:hAnsi="Arial" w:cs="Arial"/>
              </w:rPr>
            </w:pPr>
            <w:r w:rsidRPr="00640B5D">
              <w:rPr>
                <w:rFonts w:ascii="Arial" w:hAnsi="Arial" w:cs="Arial"/>
              </w:rPr>
              <w:t>UA level change Placebo (n=2260)</w:t>
            </w:r>
          </w:p>
        </w:tc>
        <w:tc>
          <w:tcPr>
            <w:tcW w:w="2749" w:type="dxa"/>
          </w:tcPr>
          <w:p w14:paraId="3C9A8B89" w14:textId="77777777" w:rsidR="0031401A" w:rsidRPr="00640B5D" w:rsidRDefault="0031401A" w:rsidP="00F35080">
            <w:pPr>
              <w:jc w:val="center"/>
              <w:rPr>
                <w:rFonts w:ascii="Arial" w:hAnsi="Arial" w:cs="Arial"/>
              </w:rPr>
            </w:pPr>
            <w:r w:rsidRPr="00640B5D">
              <w:rPr>
                <w:rFonts w:ascii="Arial" w:hAnsi="Arial" w:cs="Arial"/>
              </w:rPr>
              <w:t>Adjusted mean (95%-CI) treatment difference Empagliflozin vs. Placebo</w:t>
            </w:r>
          </w:p>
        </w:tc>
        <w:tc>
          <w:tcPr>
            <w:tcW w:w="1018" w:type="dxa"/>
          </w:tcPr>
          <w:p w14:paraId="0FE7E170" w14:textId="77777777" w:rsidR="0031401A" w:rsidRPr="00640B5D" w:rsidRDefault="0031401A" w:rsidP="00F35080">
            <w:pPr>
              <w:jc w:val="center"/>
              <w:rPr>
                <w:rFonts w:ascii="Arial" w:hAnsi="Arial" w:cs="Arial"/>
              </w:rPr>
            </w:pPr>
            <w:r w:rsidRPr="00640B5D">
              <w:rPr>
                <w:rFonts w:ascii="Arial" w:hAnsi="Arial" w:cs="Arial"/>
              </w:rPr>
              <w:t>p-value</w:t>
            </w:r>
          </w:p>
        </w:tc>
      </w:tr>
      <w:tr w:rsidR="0031401A" w:rsidRPr="00640B5D" w14:paraId="39F22C5C" w14:textId="77777777" w:rsidTr="00F35080">
        <w:tc>
          <w:tcPr>
            <w:tcW w:w="2411" w:type="dxa"/>
          </w:tcPr>
          <w:p w14:paraId="6121A027" w14:textId="77777777" w:rsidR="0031401A" w:rsidRPr="00640B5D" w:rsidRDefault="0031401A" w:rsidP="00F35080">
            <w:pPr>
              <w:rPr>
                <w:rFonts w:ascii="Arial" w:hAnsi="Arial" w:cs="Arial"/>
              </w:rPr>
            </w:pPr>
            <w:r w:rsidRPr="00640B5D">
              <w:rPr>
                <w:rFonts w:ascii="Arial" w:hAnsi="Arial" w:cs="Arial"/>
              </w:rPr>
              <w:t>Baseline mean (SD)</w:t>
            </w:r>
          </w:p>
        </w:tc>
        <w:tc>
          <w:tcPr>
            <w:tcW w:w="1744" w:type="dxa"/>
          </w:tcPr>
          <w:p w14:paraId="6209F0E0" w14:textId="77777777" w:rsidR="0031401A" w:rsidRPr="00640B5D" w:rsidRDefault="0031401A" w:rsidP="00F35080">
            <w:pPr>
              <w:jc w:val="center"/>
              <w:rPr>
                <w:rFonts w:ascii="Arial" w:hAnsi="Arial" w:cs="Arial"/>
              </w:rPr>
            </w:pPr>
            <w:r w:rsidRPr="00640B5D">
              <w:rPr>
                <w:rFonts w:ascii="Arial" w:hAnsi="Arial" w:cs="Arial"/>
              </w:rPr>
              <w:t>5.93 (0.02)</w:t>
            </w:r>
          </w:p>
        </w:tc>
        <w:tc>
          <w:tcPr>
            <w:tcW w:w="1744" w:type="dxa"/>
          </w:tcPr>
          <w:p w14:paraId="326AB31E" w14:textId="77777777" w:rsidR="0031401A" w:rsidRPr="00640B5D" w:rsidRDefault="0031401A" w:rsidP="00F35080">
            <w:pPr>
              <w:jc w:val="center"/>
              <w:rPr>
                <w:rFonts w:ascii="Arial" w:hAnsi="Arial" w:cs="Arial"/>
              </w:rPr>
            </w:pPr>
            <w:r w:rsidRPr="00640B5D">
              <w:rPr>
                <w:rFonts w:ascii="Arial" w:hAnsi="Arial" w:cs="Arial"/>
              </w:rPr>
              <w:t>6.01 (0.03)</w:t>
            </w:r>
          </w:p>
        </w:tc>
        <w:tc>
          <w:tcPr>
            <w:tcW w:w="2749" w:type="dxa"/>
          </w:tcPr>
          <w:p w14:paraId="42665566" w14:textId="77777777" w:rsidR="0031401A" w:rsidRPr="00640B5D" w:rsidRDefault="0031401A" w:rsidP="00F35080">
            <w:pPr>
              <w:jc w:val="center"/>
              <w:rPr>
                <w:rFonts w:ascii="Arial" w:hAnsi="Arial" w:cs="Arial"/>
              </w:rPr>
            </w:pPr>
            <w:r w:rsidRPr="00640B5D">
              <w:rPr>
                <w:rFonts w:ascii="Arial" w:hAnsi="Arial" w:cs="Arial"/>
              </w:rPr>
              <w:t>-</w:t>
            </w:r>
          </w:p>
        </w:tc>
        <w:tc>
          <w:tcPr>
            <w:tcW w:w="1018" w:type="dxa"/>
          </w:tcPr>
          <w:p w14:paraId="6AE6F92D" w14:textId="77777777" w:rsidR="0031401A" w:rsidRPr="00640B5D" w:rsidRDefault="0031401A" w:rsidP="00F35080">
            <w:pPr>
              <w:jc w:val="center"/>
              <w:rPr>
                <w:rFonts w:ascii="Arial" w:hAnsi="Arial" w:cs="Arial"/>
              </w:rPr>
            </w:pPr>
            <w:r w:rsidRPr="00640B5D">
              <w:rPr>
                <w:rFonts w:ascii="Arial" w:hAnsi="Arial" w:cs="Arial"/>
              </w:rPr>
              <w:t>-</w:t>
            </w:r>
          </w:p>
        </w:tc>
      </w:tr>
      <w:tr w:rsidR="0031401A" w:rsidRPr="00640B5D" w14:paraId="66B12D42" w14:textId="77777777" w:rsidTr="00F35080">
        <w:tc>
          <w:tcPr>
            <w:tcW w:w="2411" w:type="dxa"/>
          </w:tcPr>
          <w:p w14:paraId="1A9C8663" w14:textId="77777777" w:rsidR="0031401A" w:rsidRPr="00640B5D" w:rsidRDefault="0031401A" w:rsidP="00F35080">
            <w:pPr>
              <w:rPr>
                <w:rFonts w:ascii="Arial" w:hAnsi="Arial" w:cs="Arial"/>
              </w:rPr>
            </w:pPr>
            <w:r w:rsidRPr="00640B5D">
              <w:rPr>
                <w:rFonts w:ascii="Arial" w:hAnsi="Arial" w:cs="Arial"/>
              </w:rPr>
              <w:t>Week 12 (n=6728)</w:t>
            </w:r>
          </w:p>
        </w:tc>
        <w:tc>
          <w:tcPr>
            <w:tcW w:w="1744" w:type="dxa"/>
          </w:tcPr>
          <w:p w14:paraId="01DC49F4" w14:textId="77777777" w:rsidR="0031401A" w:rsidRPr="00640B5D" w:rsidRDefault="0031401A" w:rsidP="00F35080">
            <w:pPr>
              <w:jc w:val="center"/>
              <w:rPr>
                <w:rFonts w:ascii="Arial" w:hAnsi="Arial" w:cs="Arial"/>
              </w:rPr>
            </w:pPr>
            <w:r w:rsidRPr="00640B5D">
              <w:rPr>
                <w:rFonts w:ascii="Arial" w:hAnsi="Arial" w:cs="Arial"/>
              </w:rPr>
              <w:t>-0.32 (0.02)</w:t>
            </w:r>
          </w:p>
        </w:tc>
        <w:tc>
          <w:tcPr>
            <w:tcW w:w="1744" w:type="dxa"/>
          </w:tcPr>
          <w:p w14:paraId="7B0DBBC7" w14:textId="77777777" w:rsidR="0031401A" w:rsidRPr="00640B5D" w:rsidRDefault="0031401A" w:rsidP="00F35080">
            <w:pPr>
              <w:jc w:val="center"/>
              <w:rPr>
                <w:rFonts w:ascii="Arial" w:hAnsi="Arial" w:cs="Arial"/>
              </w:rPr>
            </w:pPr>
            <w:r w:rsidRPr="00640B5D">
              <w:rPr>
                <w:rFonts w:ascii="Arial" w:hAnsi="Arial" w:cs="Arial"/>
              </w:rPr>
              <w:t>0.03 (0.02)</w:t>
            </w:r>
          </w:p>
        </w:tc>
        <w:tc>
          <w:tcPr>
            <w:tcW w:w="2749" w:type="dxa"/>
          </w:tcPr>
          <w:p w14:paraId="58E9AC97" w14:textId="77777777" w:rsidR="0031401A" w:rsidRPr="00640B5D" w:rsidRDefault="0031401A" w:rsidP="00F35080">
            <w:pPr>
              <w:jc w:val="center"/>
              <w:rPr>
                <w:rFonts w:ascii="Arial" w:hAnsi="Arial" w:cs="Arial"/>
              </w:rPr>
            </w:pPr>
            <w:r w:rsidRPr="00640B5D">
              <w:rPr>
                <w:rFonts w:ascii="Arial" w:hAnsi="Arial" w:cs="Arial"/>
              </w:rPr>
              <w:t>-0.35 (-0.40, -0.30)</w:t>
            </w:r>
          </w:p>
        </w:tc>
        <w:tc>
          <w:tcPr>
            <w:tcW w:w="1018" w:type="dxa"/>
          </w:tcPr>
          <w:p w14:paraId="178F11F9"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7C153817" w14:textId="77777777" w:rsidTr="00F35080">
        <w:tc>
          <w:tcPr>
            <w:tcW w:w="2411" w:type="dxa"/>
          </w:tcPr>
          <w:p w14:paraId="362238D5" w14:textId="77777777" w:rsidR="0031401A" w:rsidRPr="00640B5D" w:rsidRDefault="0031401A" w:rsidP="00F35080">
            <w:pPr>
              <w:rPr>
                <w:rFonts w:ascii="Arial" w:hAnsi="Arial" w:cs="Arial"/>
              </w:rPr>
            </w:pPr>
            <w:r w:rsidRPr="00640B5D">
              <w:rPr>
                <w:rFonts w:ascii="Arial" w:hAnsi="Arial" w:cs="Arial"/>
              </w:rPr>
              <w:t>Week 28 (n=6506)</w:t>
            </w:r>
          </w:p>
        </w:tc>
        <w:tc>
          <w:tcPr>
            <w:tcW w:w="1744" w:type="dxa"/>
          </w:tcPr>
          <w:p w14:paraId="59EB26E2" w14:textId="77777777" w:rsidR="0031401A" w:rsidRPr="00640B5D" w:rsidRDefault="0031401A" w:rsidP="00F35080">
            <w:pPr>
              <w:jc w:val="center"/>
              <w:rPr>
                <w:rFonts w:ascii="Arial" w:hAnsi="Arial" w:cs="Arial"/>
              </w:rPr>
            </w:pPr>
            <w:r w:rsidRPr="00640B5D">
              <w:rPr>
                <w:rFonts w:ascii="Arial" w:hAnsi="Arial" w:cs="Arial"/>
              </w:rPr>
              <w:t>-0.34 (0.02)</w:t>
            </w:r>
          </w:p>
        </w:tc>
        <w:tc>
          <w:tcPr>
            <w:tcW w:w="1744" w:type="dxa"/>
          </w:tcPr>
          <w:p w14:paraId="2D3F8E56" w14:textId="77777777" w:rsidR="0031401A" w:rsidRPr="00640B5D" w:rsidRDefault="0031401A" w:rsidP="00F35080">
            <w:pPr>
              <w:jc w:val="center"/>
              <w:rPr>
                <w:rFonts w:ascii="Arial" w:hAnsi="Arial" w:cs="Arial"/>
              </w:rPr>
            </w:pPr>
            <w:r w:rsidRPr="00640B5D">
              <w:rPr>
                <w:rFonts w:ascii="Arial" w:hAnsi="Arial" w:cs="Arial"/>
              </w:rPr>
              <w:t>0.06 (0.02)</w:t>
            </w:r>
          </w:p>
        </w:tc>
        <w:tc>
          <w:tcPr>
            <w:tcW w:w="2749" w:type="dxa"/>
          </w:tcPr>
          <w:p w14:paraId="7A4431BC" w14:textId="77777777" w:rsidR="0031401A" w:rsidRPr="00640B5D" w:rsidRDefault="0031401A" w:rsidP="00F35080">
            <w:pPr>
              <w:jc w:val="center"/>
              <w:rPr>
                <w:rFonts w:ascii="Arial" w:hAnsi="Arial" w:cs="Arial"/>
              </w:rPr>
            </w:pPr>
            <w:r w:rsidRPr="00640B5D">
              <w:rPr>
                <w:rFonts w:ascii="Arial" w:hAnsi="Arial" w:cs="Arial"/>
              </w:rPr>
              <w:t>-0.40 (-0.45, -0.34)</w:t>
            </w:r>
          </w:p>
        </w:tc>
        <w:tc>
          <w:tcPr>
            <w:tcW w:w="1018" w:type="dxa"/>
          </w:tcPr>
          <w:p w14:paraId="2534F7DA"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080308C1" w14:textId="77777777" w:rsidTr="00F35080">
        <w:tc>
          <w:tcPr>
            <w:tcW w:w="2411" w:type="dxa"/>
          </w:tcPr>
          <w:p w14:paraId="5515B8A6" w14:textId="77777777" w:rsidR="0031401A" w:rsidRPr="00640B5D" w:rsidRDefault="0031401A" w:rsidP="00F35080">
            <w:pPr>
              <w:rPr>
                <w:rFonts w:ascii="Arial" w:hAnsi="Arial" w:cs="Arial"/>
              </w:rPr>
            </w:pPr>
            <w:r w:rsidRPr="00640B5D">
              <w:rPr>
                <w:rFonts w:ascii="Arial" w:hAnsi="Arial" w:cs="Arial"/>
              </w:rPr>
              <w:t>Week 52 (n=6226)</w:t>
            </w:r>
          </w:p>
        </w:tc>
        <w:tc>
          <w:tcPr>
            <w:tcW w:w="1744" w:type="dxa"/>
          </w:tcPr>
          <w:p w14:paraId="3D59A088" w14:textId="77777777" w:rsidR="0031401A" w:rsidRPr="00640B5D" w:rsidRDefault="0031401A" w:rsidP="00F35080">
            <w:pPr>
              <w:jc w:val="center"/>
              <w:rPr>
                <w:rFonts w:ascii="Arial" w:hAnsi="Arial" w:cs="Arial"/>
              </w:rPr>
            </w:pPr>
            <w:r w:rsidRPr="00640B5D">
              <w:rPr>
                <w:rFonts w:ascii="Arial" w:hAnsi="Arial" w:cs="Arial"/>
              </w:rPr>
              <w:t>-0.34 (0.02)</w:t>
            </w:r>
          </w:p>
        </w:tc>
        <w:tc>
          <w:tcPr>
            <w:tcW w:w="1744" w:type="dxa"/>
          </w:tcPr>
          <w:p w14:paraId="32704E49" w14:textId="77777777" w:rsidR="0031401A" w:rsidRPr="00640B5D" w:rsidRDefault="0031401A" w:rsidP="00F35080">
            <w:pPr>
              <w:jc w:val="center"/>
              <w:rPr>
                <w:rFonts w:ascii="Arial" w:hAnsi="Arial" w:cs="Arial"/>
              </w:rPr>
            </w:pPr>
            <w:r w:rsidRPr="00640B5D">
              <w:rPr>
                <w:rFonts w:ascii="Arial" w:hAnsi="Arial" w:cs="Arial"/>
              </w:rPr>
              <w:t>0.02 (0.02)</w:t>
            </w:r>
          </w:p>
        </w:tc>
        <w:tc>
          <w:tcPr>
            <w:tcW w:w="2749" w:type="dxa"/>
          </w:tcPr>
          <w:p w14:paraId="197807EF" w14:textId="77777777" w:rsidR="0031401A" w:rsidRPr="00640B5D" w:rsidRDefault="0031401A" w:rsidP="00F35080">
            <w:pPr>
              <w:jc w:val="center"/>
              <w:rPr>
                <w:rFonts w:ascii="Arial" w:hAnsi="Arial" w:cs="Arial"/>
              </w:rPr>
            </w:pPr>
            <w:r w:rsidRPr="00640B5D">
              <w:rPr>
                <w:rFonts w:ascii="Arial" w:hAnsi="Arial" w:cs="Arial"/>
              </w:rPr>
              <w:t>-0.37 (-0.42, -0.31)</w:t>
            </w:r>
          </w:p>
        </w:tc>
        <w:tc>
          <w:tcPr>
            <w:tcW w:w="1018" w:type="dxa"/>
          </w:tcPr>
          <w:p w14:paraId="2CD52541"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2EE06C65" w14:textId="77777777" w:rsidTr="00F35080">
        <w:tc>
          <w:tcPr>
            <w:tcW w:w="2411" w:type="dxa"/>
          </w:tcPr>
          <w:p w14:paraId="77739B4B" w14:textId="77777777" w:rsidR="0031401A" w:rsidRPr="00640B5D" w:rsidRDefault="0031401A" w:rsidP="00F35080">
            <w:pPr>
              <w:rPr>
                <w:rFonts w:ascii="Arial" w:hAnsi="Arial" w:cs="Arial"/>
              </w:rPr>
            </w:pPr>
            <w:r w:rsidRPr="00640B5D">
              <w:rPr>
                <w:rFonts w:ascii="Arial" w:hAnsi="Arial" w:cs="Arial"/>
              </w:rPr>
              <w:t>Week 66 (n=6055)</w:t>
            </w:r>
          </w:p>
        </w:tc>
        <w:tc>
          <w:tcPr>
            <w:tcW w:w="1744" w:type="dxa"/>
          </w:tcPr>
          <w:p w14:paraId="29197B84" w14:textId="77777777" w:rsidR="0031401A" w:rsidRPr="00640B5D" w:rsidRDefault="0031401A" w:rsidP="00F35080">
            <w:pPr>
              <w:jc w:val="center"/>
              <w:rPr>
                <w:rFonts w:ascii="Arial" w:hAnsi="Arial" w:cs="Arial"/>
              </w:rPr>
            </w:pPr>
            <w:r w:rsidRPr="00640B5D">
              <w:rPr>
                <w:rFonts w:ascii="Arial" w:hAnsi="Arial" w:cs="Arial"/>
              </w:rPr>
              <w:t>-0.30 (0.02)</w:t>
            </w:r>
          </w:p>
        </w:tc>
        <w:tc>
          <w:tcPr>
            <w:tcW w:w="1744" w:type="dxa"/>
          </w:tcPr>
          <w:p w14:paraId="51A446C0" w14:textId="77777777" w:rsidR="0031401A" w:rsidRPr="00640B5D" w:rsidRDefault="0031401A" w:rsidP="00F35080">
            <w:pPr>
              <w:jc w:val="center"/>
              <w:rPr>
                <w:rFonts w:ascii="Arial" w:hAnsi="Arial" w:cs="Arial"/>
              </w:rPr>
            </w:pPr>
            <w:r w:rsidRPr="00640B5D">
              <w:rPr>
                <w:rFonts w:ascii="Arial" w:hAnsi="Arial" w:cs="Arial"/>
              </w:rPr>
              <w:t>0.04 (0.02)</w:t>
            </w:r>
          </w:p>
        </w:tc>
        <w:tc>
          <w:tcPr>
            <w:tcW w:w="2749" w:type="dxa"/>
          </w:tcPr>
          <w:p w14:paraId="263B1EC0" w14:textId="77777777" w:rsidR="0031401A" w:rsidRPr="00640B5D" w:rsidRDefault="0031401A" w:rsidP="00F35080">
            <w:pPr>
              <w:jc w:val="center"/>
              <w:rPr>
                <w:rFonts w:ascii="Arial" w:hAnsi="Arial" w:cs="Arial"/>
              </w:rPr>
            </w:pPr>
            <w:r w:rsidRPr="00640B5D">
              <w:rPr>
                <w:rFonts w:ascii="Arial" w:hAnsi="Arial" w:cs="Arial"/>
              </w:rPr>
              <w:t>-0.34 (-0.40, -0.28)</w:t>
            </w:r>
          </w:p>
        </w:tc>
        <w:tc>
          <w:tcPr>
            <w:tcW w:w="1018" w:type="dxa"/>
          </w:tcPr>
          <w:p w14:paraId="45176DE9"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1A4407D6" w14:textId="77777777" w:rsidTr="00F35080">
        <w:tc>
          <w:tcPr>
            <w:tcW w:w="2411" w:type="dxa"/>
          </w:tcPr>
          <w:p w14:paraId="72AB35FB" w14:textId="77777777" w:rsidR="0031401A" w:rsidRPr="00640B5D" w:rsidRDefault="0031401A" w:rsidP="00F35080">
            <w:pPr>
              <w:rPr>
                <w:rFonts w:ascii="Arial" w:hAnsi="Arial" w:cs="Arial"/>
              </w:rPr>
            </w:pPr>
            <w:r w:rsidRPr="00640B5D">
              <w:rPr>
                <w:rFonts w:ascii="Arial" w:hAnsi="Arial" w:cs="Arial"/>
              </w:rPr>
              <w:t>Week 80 (n=5885)</w:t>
            </w:r>
          </w:p>
        </w:tc>
        <w:tc>
          <w:tcPr>
            <w:tcW w:w="1744" w:type="dxa"/>
          </w:tcPr>
          <w:p w14:paraId="2D42CF7A" w14:textId="77777777" w:rsidR="0031401A" w:rsidRPr="00640B5D" w:rsidRDefault="0031401A" w:rsidP="00F35080">
            <w:pPr>
              <w:jc w:val="center"/>
              <w:rPr>
                <w:rFonts w:ascii="Arial" w:hAnsi="Arial" w:cs="Arial"/>
              </w:rPr>
            </w:pPr>
            <w:r w:rsidRPr="00640B5D">
              <w:rPr>
                <w:rFonts w:ascii="Arial" w:hAnsi="Arial" w:cs="Arial"/>
              </w:rPr>
              <w:t>-0.28 (0.02)</w:t>
            </w:r>
          </w:p>
        </w:tc>
        <w:tc>
          <w:tcPr>
            <w:tcW w:w="1744" w:type="dxa"/>
          </w:tcPr>
          <w:p w14:paraId="771E475F" w14:textId="77777777" w:rsidR="0031401A" w:rsidRPr="00640B5D" w:rsidRDefault="0031401A" w:rsidP="00F35080">
            <w:pPr>
              <w:jc w:val="center"/>
              <w:rPr>
                <w:rFonts w:ascii="Arial" w:hAnsi="Arial" w:cs="Arial"/>
              </w:rPr>
            </w:pPr>
            <w:r w:rsidRPr="00640B5D">
              <w:rPr>
                <w:rFonts w:ascii="Arial" w:hAnsi="Arial" w:cs="Arial"/>
              </w:rPr>
              <w:t>0.03 (0.03)</w:t>
            </w:r>
          </w:p>
        </w:tc>
        <w:tc>
          <w:tcPr>
            <w:tcW w:w="2749" w:type="dxa"/>
          </w:tcPr>
          <w:p w14:paraId="5FA4EF5C" w14:textId="77777777" w:rsidR="0031401A" w:rsidRPr="00640B5D" w:rsidRDefault="0031401A" w:rsidP="00F35080">
            <w:pPr>
              <w:jc w:val="center"/>
              <w:rPr>
                <w:rFonts w:ascii="Arial" w:hAnsi="Arial" w:cs="Arial"/>
              </w:rPr>
            </w:pPr>
            <w:r w:rsidRPr="00640B5D">
              <w:rPr>
                <w:rFonts w:ascii="Arial" w:hAnsi="Arial" w:cs="Arial"/>
              </w:rPr>
              <w:t>-0.31 (-0.37, -0.25)</w:t>
            </w:r>
          </w:p>
        </w:tc>
        <w:tc>
          <w:tcPr>
            <w:tcW w:w="1018" w:type="dxa"/>
          </w:tcPr>
          <w:p w14:paraId="557F9355"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532B63CE" w14:textId="77777777" w:rsidTr="00F35080">
        <w:tc>
          <w:tcPr>
            <w:tcW w:w="2411" w:type="dxa"/>
          </w:tcPr>
          <w:p w14:paraId="3EED5C0F" w14:textId="77777777" w:rsidR="0031401A" w:rsidRPr="00640B5D" w:rsidRDefault="0031401A" w:rsidP="00F35080">
            <w:pPr>
              <w:rPr>
                <w:rFonts w:ascii="Arial" w:hAnsi="Arial" w:cs="Arial"/>
              </w:rPr>
            </w:pPr>
            <w:r w:rsidRPr="00640B5D">
              <w:rPr>
                <w:rFonts w:ascii="Arial" w:hAnsi="Arial" w:cs="Arial"/>
              </w:rPr>
              <w:t>Week 94 (n=5731)</w:t>
            </w:r>
          </w:p>
        </w:tc>
        <w:tc>
          <w:tcPr>
            <w:tcW w:w="1744" w:type="dxa"/>
          </w:tcPr>
          <w:p w14:paraId="32F17195" w14:textId="77777777" w:rsidR="0031401A" w:rsidRPr="00640B5D" w:rsidRDefault="0031401A" w:rsidP="00F35080">
            <w:pPr>
              <w:jc w:val="center"/>
              <w:rPr>
                <w:rFonts w:ascii="Arial" w:hAnsi="Arial" w:cs="Arial"/>
              </w:rPr>
            </w:pPr>
            <w:r w:rsidRPr="00640B5D">
              <w:rPr>
                <w:rFonts w:ascii="Arial" w:hAnsi="Arial" w:cs="Arial"/>
              </w:rPr>
              <w:t>-0.31 (0.02)</w:t>
            </w:r>
          </w:p>
        </w:tc>
        <w:tc>
          <w:tcPr>
            <w:tcW w:w="1744" w:type="dxa"/>
          </w:tcPr>
          <w:p w14:paraId="739F3B91" w14:textId="77777777" w:rsidR="0031401A" w:rsidRPr="00640B5D" w:rsidRDefault="0031401A" w:rsidP="00F35080">
            <w:pPr>
              <w:jc w:val="center"/>
              <w:rPr>
                <w:rFonts w:ascii="Arial" w:hAnsi="Arial" w:cs="Arial"/>
              </w:rPr>
            </w:pPr>
            <w:r w:rsidRPr="00640B5D">
              <w:rPr>
                <w:rFonts w:ascii="Arial" w:hAnsi="Arial" w:cs="Arial"/>
              </w:rPr>
              <w:t>0.04 (0.03)</w:t>
            </w:r>
          </w:p>
        </w:tc>
        <w:tc>
          <w:tcPr>
            <w:tcW w:w="2749" w:type="dxa"/>
          </w:tcPr>
          <w:p w14:paraId="3EBD0CBB" w14:textId="77777777" w:rsidR="0031401A" w:rsidRPr="00640B5D" w:rsidRDefault="0031401A" w:rsidP="00F35080">
            <w:pPr>
              <w:jc w:val="center"/>
              <w:rPr>
                <w:rFonts w:ascii="Arial" w:hAnsi="Arial" w:cs="Arial"/>
              </w:rPr>
            </w:pPr>
            <w:r w:rsidRPr="00640B5D">
              <w:rPr>
                <w:rFonts w:ascii="Arial" w:hAnsi="Arial" w:cs="Arial"/>
              </w:rPr>
              <w:t>-0.35 (-0.41, -0.29)</w:t>
            </w:r>
          </w:p>
        </w:tc>
        <w:tc>
          <w:tcPr>
            <w:tcW w:w="1018" w:type="dxa"/>
          </w:tcPr>
          <w:p w14:paraId="759E40DD"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6E53A33B" w14:textId="77777777" w:rsidTr="00F35080">
        <w:tc>
          <w:tcPr>
            <w:tcW w:w="2411" w:type="dxa"/>
          </w:tcPr>
          <w:p w14:paraId="42A0CA0D" w14:textId="77777777" w:rsidR="0031401A" w:rsidRPr="00640B5D" w:rsidRDefault="0031401A" w:rsidP="00F35080">
            <w:pPr>
              <w:rPr>
                <w:rFonts w:ascii="Arial" w:hAnsi="Arial" w:cs="Arial"/>
              </w:rPr>
            </w:pPr>
            <w:r w:rsidRPr="00640B5D">
              <w:rPr>
                <w:rFonts w:ascii="Arial" w:hAnsi="Arial" w:cs="Arial"/>
              </w:rPr>
              <w:t>Week 108 (n=5067)</w:t>
            </w:r>
          </w:p>
        </w:tc>
        <w:tc>
          <w:tcPr>
            <w:tcW w:w="1744" w:type="dxa"/>
          </w:tcPr>
          <w:p w14:paraId="2D742400" w14:textId="77777777" w:rsidR="0031401A" w:rsidRPr="00640B5D" w:rsidRDefault="0031401A" w:rsidP="00F35080">
            <w:pPr>
              <w:jc w:val="center"/>
              <w:rPr>
                <w:rFonts w:ascii="Arial" w:hAnsi="Arial" w:cs="Arial"/>
              </w:rPr>
            </w:pPr>
            <w:r w:rsidRPr="00640B5D">
              <w:rPr>
                <w:rFonts w:ascii="Arial" w:hAnsi="Arial" w:cs="Arial"/>
              </w:rPr>
              <w:t>-0.29 (0.02)</w:t>
            </w:r>
          </w:p>
        </w:tc>
        <w:tc>
          <w:tcPr>
            <w:tcW w:w="1744" w:type="dxa"/>
          </w:tcPr>
          <w:p w14:paraId="5B95CE38" w14:textId="77777777" w:rsidR="0031401A" w:rsidRPr="00640B5D" w:rsidRDefault="0031401A" w:rsidP="00F35080">
            <w:pPr>
              <w:jc w:val="center"/>
              <w:rPr>
                <w:rFonts w:ascii="Arial" w:hAnsi="Arial" w:cs="Arial"/>
              </w:rPr>
            </w:pPr>
            <w:r w:rsidRPr="00640B5D">
              <w:rPr>
                <w:rFonts w:ascii="Arial" w:hAnsi="Arial" w:cs="Arial"/>
              </w:rPr>
              <w:t>0.06 (0.03)</w:t>
            </w:r>
          </w:p>
        </w:tc>
        <w:tc>
          <w:tcPr>
            <w:tcW w:w="2749" w:type="dxa"/>
          </w:tcPr>
          <w:p w14:paraId="1D15195B" w14:textId="77777777" w:rsidR="0031401A" w:rsidRPr="00640B5D" w:rsidRDefault="0031401A" w:rsidP="00F35080">
            <w:pPr>
              <w:jc w:val="center"/>
              <w:rPr>
                <w:rFonts w:ascii="Arial" w:hAnsi="Arial" w:cs="Arial"/>
              </w:rPr>
            </w:pPr>
            <w:r w:rsidRPr="00640B5D">
              <w:rPr>
                <w:rFonts w:ascii="Arial" w:hAnsi="Arial" w:cs="Arial"/>
              </w:rPr>
              <w:t>-0.35 (-0.41, -0.28)</w:t>
            </w:r>
          </w:p>
        </w:tc>
        <w:tc>
          <w:tcPr>
            <w:tcW w:w="1018" w:type="dxa"/>
          </w:tcPr>
          <w:p w14:paraId="4D7A77D2"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4E58C546" w14:textId="77777777" w:rsidTr="00F35080">
        <w:tc>
          <w:tcPr>
            <w:tcW w:w="2411" w:type="dxa"/>
          </w:tcPr>
          <w:p w14:paraId="19A9F683" w14:textId="77777777" w:rsidR="0031401A" w:rsidRPr="00640B5D" w:rsidRDefault="0031401A" w:rsidP="00F35080">
            <w:pPr>
              <w:rPr>
                <w:rFonts w:ascii="Arial" w:hAnsi="Arial" w:cs="Arial"/>
              </w:rPr>
            </w:pPr>
            <w:r w:rsidRPr="00640B5D">
              <w:rPr>
                <w:rFonts w:ascii="Arial" w:hAnsi="Arial" w:cs="Arial"/>
              </w:rPr>
              <w:t>Week 122 (n=4243)</w:t>
            </w:r>
          </w:p>
        </w:tc>
        <w:tc>
          <w:tcPr>
            <w:tcW w:w="1744" w:type="dxa"/>
          </w:tcPr>
          <w:p w14:paraId="2862BE9B" w14:textId="77777777" w:rsidR="0031401A" w:rsidRPr="00640B5D" w:rsidRDefault="0031401A" w:rsidP="00F35080">
            <w:pPr>
              <w:jc w:val="center"/>
              <w:rPr>
                <w:rFonts w:ascii="Arial" w:hAnsi="Arial" w:cs="Arial"/>
              </w:rPr>
            </w:pPr>
            <w:r w:rsidRPr="00640B5D">
              <w:rPr>
                <w:rFonts w:ascii="Arial" w:hAnsi="Arial" w:cs="Arial"/>
              </w:rPr>
              <w:t>-0.26 (0.02)</w:t>
            </w:r>
          </w:p>
        </w:tc>
        <w:tc>
          <w:tcPr>
            <w:tcW w:w="1744" w:type="dxa"/>
          </w:tcPr>
          <w:p w14:paraId="6F3710EE" w14:textId="77777777" w:rsidR="0031401A" w:rsidRPr="00640B5D" w:rsidRDefault="0031401A" w:rsidP="00F35080">
            <w:pPr>
              <w:jc w:val="center"/>
              <w:rPr>
                <w:rFonts w:ascii="Arial" w:hAnsi="Arial" w:cs="Arial"/>
              </w:rPr>
            </w:pPr>
            <w:r w:rsidRPr="00640B5D">
              <w:rPr>
                <w:rFonts w:ascii="Arial" w:hAnsi="Arial" w:cs="Arial"/>
              </w:rPr>
              <w:t>0.08 (0.03)</w:t>
            </w:r>
          </w:p>
        </w:tc>
        <w:tc>
          <w:tcPr>
            <w:tcW w:w="2749" w:type="dxa"/>
          </w:tcPr>
          <w:p w14:paraId="2E916563" w14:textId="77777777" w:rsidR="0031401A" w:rsidRPr="00640B5D" w:rsidRDefault="0031401A" w:rsidP="00F35080">
            <w:pPr>
              <w:jc w:val="center"/>
              <w:rPr>
                <w:rFonts w:ascii="Arial" w:hAnsi="Arial" w:cs="Arial"/>
              </w:rPr>
            </w:pPr>
            <w:r w:rsidRPr="00640B5D">
              <w:rPr>
                <w:rFonts w:ascii="Arial" w:hAnsi="Arial" w:cs="Arial"/>
              </w:rPr>
              <w:t>-0.34 (-0.41, -0.27)</w:t>
            </w:r>
          </w:p>
        </w:tc>
        <w:tc>
          <w:tcPr>
            <w:tcW w:w="1018" w:type="dxa"/>
          </w:tcPr>
          <w:p w14:paraId="1AEB423C"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64698191" w14:textId="77777777" w:rsidTr="00F35080">
        <w:tc>
          <w:tcPr>
            <w:tcW w:w="2411" w:type="dxa"/>
          </w:tcPr>
          <w:p w14:paraId="3E94E13A" w14:textId="77777777" w:rsidR="0031401A" w:rsidRPr="00640B5D" w:rsidRDefault="0031401A" w:rsidP="00F35080">
            <w:pPr>
              <w:rPr>
                <w:rFonts w:ascii="Arial" w:hAnsi="Arial" w:cs="Arial"/>
              </w:rPr>
            </w:pPr>
            <w:r w:rsidRPr="00640B5D">
              <w:rPr>
                <w:rFonts w:ascii="Arial" w:hAnsi="Arial" w:cs="Arial"/>
              </w:rPr>
              <w:t>Week 136 (n=3627)</w:t>
            </w:r>
          </w:p>
        </w:tc>
        <w:tc>
          <w:tcPr>
            <w:tcW w:w="1744" w:type="dxa"/>
          </w:tcPr>
          <w:p w14:paraId="70913CE4" w14:textId="77777777" w:rsidR="0031401A" w:rsidRPr="00640B5D" w:rsidRDefault="0031401A" w:rsidP="00F35080">
            <w:pPr>
              <w:jc w:val="center"/>
              <w:rPr>
                <w:rFonts w:ascii="Arial" w:hAnsi="Arial" w:cs="Arial"/>
              </w:rPr>
            </w:pPr>
            <w:r w:rsidRPr="00640B5D">
              <w:rPr>
                <w:rFonts w:ascii="Arial" w:hAnsi="Arial" w:cs="Arial"/>
              </w:rPr>
              <w:t>-0.28 (0.02)</w:t>
            </w:r>
          </w:p>
        </w:tc>
        <w:tc>
          <w:tcPr>
            <w:tcW w:w="1744" w:type="dxa"/>
          </w:tcPr>
          <w:p w14:paraId="0ED9FA55" w14:textId="77777777" w:rsidR="0031401A" w:rsidRPr="00640B5D" w:rsidRDefault="0031401A" w:rsidP="00F35080">
            <w:pPr>
              <w:jc w:val="center"/>
              <w:rPr>
                <w:rFonts w:ascii="Arial" w:hAnsi="Arial" w:cs="Arial"/>
              </w:rPr>
            </w:pPr>
            <w:r w:rsidRPr="00640B5D">
              <w:rPr>
                <w:rFonts w:ascii="Arial" w:hAnsi="Arial" w:cs="Arial"/>
              </w:rPr>
              <w:t>0.03 (0.03)</w:t>
            </w:r>
          </w:p>
        </w:tc>
        <w:tc>
          <w:tcPr>
            <w:tcW w:w="2749" w:type="dxa"/>
          </w:tcPr>
          <w:p w14:paraId="5B6539F6" w14:textId="77777777" w:rsidR="0031401A" w:rsidRPr="00640B5D" w:rsidRDefault="0031401A" w:rsidP="00F35080">
            <w:pPr>
              <w:jc w:val="center"/>
              <w:rPr>
                <w:rFonts w:ascii="Arial" w:hAnsi="Arial" w:cs="Arial"/>
              </w:rPr>
            </w:pPr>
            <w:r w:rsidRPr="00640B5D">
              <w:rPr>
                <w:rFonts w:ascii="Arial" w:hAnsi="Arial" w:cs="Arial"/>
              </w:rPr>
              <w:t>-0.31 (-0.38, -0.23)</w:t>
            </w:r>
          </w:p>
        </w:tc>
        <w:tc>
          <w:tcPr>
            <w:tcW w:w="1018" w:type="dxa"/>
          </w:tcPr>
          <w:p w14:paraId="556D7D37"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46B4BE4D" w14:textId="77777777" w:rsidTr="00F35080">
        <w:tc>
          <w:tcPr>
            <w:tcW w:w="2411" w:type="dxa"/>
          </w:tcPr>
          <w:p w14:paraId="3E9C88AB" w14:textId="77777777" w:rsidR="0031401A" w:rsidRPr="00640B5D" w:rsidRDefault="0031401A" w:rsidP="00F35080">
            <w:pPr>
              <w:rPr>
                <w:rFonts w:ascii="Arial" w:hAnsi="Arial" w:cs="Arial"/>
              </w:rPr>
            </w:pPr>
            <w:r w:rsidRPr="00640B5D">
              <w:rPr>
                <w:rFonts w:ascii="Arial" w:hAnsi="Arial" w:cs="Arial"/>
              </w:rPr>
              <w:t>Week 150 (n=3218)</w:t>
            </w:r>
          </w:p>
        </w:tc>
        <w:tc>
          <w:tcPr>
            <w:tcW w:w="1744" w:type="dxa"/>
          </w:tcPr>
          <w:p w14:paraId="1633DEAB" w14:textId="77777777" w:rsidR="0031401A" w:rsidRPr="00640B5D" w:rsidRDefault="0031401A" w:rsidP="00F35080">
            <w:pPr>
              <w:jc w:val="center"/>
              <w:rPr>
                <w:rFonts w:ascii="Arial" w:hAnsi="Arial" w:cs="Arial"/>
              </w:rPr>
            </w:pPr>
            <w:r w:rsidRPr="00640B5D">
              <w:rPr>
                <w:rFonts w:ascii="Arial" w:hAnsi="Arial" w:cs="Arial"/>
              </w:rPr>
              <w:t>-0.30 (0.02)</w:t>
            </w:r>
          </w:p>
        </w:tc>
        <w:tc>
          <w:tcPr>
            <w:tcW w:w="1744" w:type="dxa"/>
          </w:tcPr>
          <w:p w14:paraId="5EF1F1BA" w14:textId="77777777" w:rsidR="0031401A" w:rsidRPr="00640B5D" w:rsidRDefault="0031401A" w:rsidP="00F35080">
            <w:pPr>
              <w:jc w:val="center"/>
              <w:rPr>
                <w:rFonts w:ascii="Arial" w:hAnsi="Arial" w:cs="Arial"/>
              </w:rPr>
            </w:pPr>
            <w:r w:rsidRPr="00640B5D">
              <w:rPr>
                <w:rFonts w:ascii="Arial" w:hAnsi="Arial" w:cs="Arial"/>
              </w:rPr>
              <w:t>0.02 (0.03)</w:t>
            </w:r>
          </w:p>
        </w:tc>
        <w:tc>
          <w:tcPr>
            <w:tcW w:w="2749" w:type="dxa"/>
          </w:tcPr>
          <w:p w14:paraId="02D361D6" w14:textId="77777777" w:rsidR="0031401A" w:rsidRPr="00640B5D" w:rsidRDefault="0031401A" w:rsidP="00F35080">
            <w:pPr>
              <w:jc w:val="center"/>
              <w:rPr>
                <w:rFonts w:ascii="Arial" w:hAnsi="Arial" w:cs="Arial"/>
              </w:rPr>
            </w:pPr>
            <w:r w:rsidRPr="00640B5D">
              <w:rPr>
                <w:rFonts w:ascii="Arial" w:hAnsi="Arial" w:cs="Arial"/>
              </w:rPr>
              <w:t>-0.32 (-0.39, -0.24)</w:t>
            </w:r>
          </w:p>
        </w:tc>
        <w:tc>
          <w:tcPr>
            <w:tcW w:w="1018" w:type="dxa"/>
          </w:tcPr>
          <w:p w14:paraId="025D0C7D"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6B81DE2D" w14:textId="77777777" w:rsidTr="00F35080">
        <w:tc>
          <w:tcPr>
            <w:tcW w:w="2411" w:type="dxa"/>
          </w:tcPr>
          <w:p w14:paraId="1EF564DD" w14:textId="77777777" w:rsidR="0031401A" w:rsidRPr="00640B5D" w:rsidRDefault="0031401A" w:rsidP="00F35080">
            <w:pPr>
              <w:rPr>
                <w:rFonts w:ascii="Arial" w:hAnsi="Arial" w:cs="Arial"/>
              </w:rPr>
            </w:pPr>
            <w:r w:rsidRPr="00640B5D">
              <w:rPr>
                <w:rFonts w:ascii="Arial" w:hAnsi="Arial" w:cs="Arial"/>
              </w:rPr>
              <w:t>Week 164 (n=2800)</w:t>
            </w:r>
          </w:p>
        </w:tc>
        <w:tc>
          <w:tcPr>
            <w:tcW w:w="1744" w:type="dxa"/>
          </w:tcPr>
          <w:p w14:paraId="472B3CC4" w14:textId="77777777" w:rsidR="0031401A" w:rsidRPr="00640B5D" w:rsidRDefault="0031401A" w:rsidP="00F35080">
            <w:pPr>
              <w:jc w:val="center"/>
              <w:rPr>
                <w:rFonts w:ascii="Arial" w:hAnsi="Arial" w:cs="Arial"/>
              </w:rPr>
            </w:pPr>
            <w:r w:rsidRPr="00640B5D">
              <w:rPr>
                <w:rFonts w:ascii="Arial" w:hAnsi="Arial" w:cs="Arial"/>
              </w:rPr>
              <w:t>-0.29 (0.02)</w:t>
            </w:r>
          </w:p>
        </w:tc>
        <w:tc>
          <w:tcPr>
            <w:tcW w:w="1744" w:type="dxa"/>
          </w:tcPr>
          <w:p w14:paraId="60C6F3CF" w14:textId="77777777" w:rsidR="0031401A" w:rsidRPr="00640B5D" w:rsidRDefault="0031401A" w:rsidP="00F35080">
            <w:pPr>
              <w:jc w:val="center"/>
              <w:rPr>
                <w:rFonts w:ascii="Arial" w:hAnsi="Arial" w:cs="Arial"/>
              </w:rPr>
            </w:pPr>
            <w:r w:rsidRPr="00640B5D">
              <w:rPr>
                <w:rFonts w:ascii="Arial" w:hAnsi="Arial" w:cs="Arial"/>
              </w:rPr>
              <w:t>0.03 (0.04)</w:t>
            </w:r>
          </w:p>
        </w:tc>
        <w:tc>
          <w:tcPr>
            <w:tcW w:w="2749" w:type="dxa"/>
          </w:tcPr>
          <w:p w14:paraId="4B84266A" w14:textId="77777777" w:rsidR="0031401A" w:rsidRPr="00640B5D" w:rsidRDefault="0031401A" w:rsidP="00F35080">
            <w:pPr>
              <w:jc w:val="center"/>
              <w:rPr>
                <w:rFonts w:ascii="Arial" w:hAnsi="Arial" w:cs="Arial"/>
              </w:rPr>
            </w:pPr>
            <w:r w:rsidRPr="00640B5D">
              <w:rPr>
                <w:rFonts w:ascii="Arial" w:hAnsi="Arial" w:cs="Arial"/>
              </w:rPr>
              <w:t>-0.32 (-0.41, -0.24)</w:t>
            </w:r>
          </w:p>
        </w:tc>
        <w:tc>
          <w:tcPr>
            <w:tcW w:w="1018" w:type="dxa"/>
          </w:tcPr>
          <w:p w14:paraId="27C27EA9"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5F76C559" w14:textId="77777777" w:rsidTr="00F35080">
        <w:tc>
          <w:tcPr>
            <w:tcW w:w="2411" w:type="dxa"/>
          </w:tcPr>
          <w:p w14:paraId="70355ACF" w14:textId="77777777" w:rsidR="0031401A" w:rsidRPr="00640B5D" w:rsidRDefault="0031401A" w:rsidP="00F35080">
            <w:pPr>
              <w:rPr>
                <w:rFonts w:ascii="Arial" w:hAnsi="Arial" w:cs="Arial"/>
              </w:rPr>
            </w:pPr>
            <w:r w:rsidRPr="00640B5D">
              <w:rPr>
                <w:rFonts w:ascii="Arial" w:hAnsi="Arial" w:cs="Arial"/>
              </w:rPr>
              <w:t>Week 178 (n=2049)</w:t>
            </w:r>
          </w:p>
        </w:tc>
        <w:tc>
          <w:tcPr>
            <w:tcW w:w="1744" w:type="dxa"/>
          </w:tcPr>
          <w:p w14:paraId="49E997C8" w14:textId="77777777" w:rsidR="0031401A" w:rsidRPr="00640B5D" w:rsidRDefault="0031401A" w:rsidP="00F35080">
            <w:pPr>
              <w:jc w:val="center"/>
              <w:rPr>
                <w:rFonts w:ascii="Arial" w:hAnsi="Arial" w:cs="Arial"/>
              </w:rPr>
            </w:pPr>
            <w:r w:rsidRPr="00640B5D">
              <w:rPr>
                <w:rFonts w:ascii="Arial" w:hAnsi="Arial" w:cs="Arial"/>
              </w:rPr>
              <w:t>-0.31 (0.03)</w:t>
            </w:r>
          </w:p>
        </w:tc>
        <w:tc>
          <w:tcPr>
            <w:tcW w:w="1744" w:type="dxa"/>
          </w:tcPr>
          <w:p w14:paraId="2170B2BE" w14:textId="77777777" w:rsidR="0031401A" w:rsidRPr="00640B5D" w:rsidRDefault="0031401A" w:rsidP="00F35080">
            <w:pPr>
              <w:jc w:val="center"/>
              <w:rPr>
                <w:rFonts w:ascii="Arial" w:hAnsi="Arial" w:cs="Arial"/>
              </w:rPr>
            </w:pPr>
            <w:r w:rsidRPr="00640B5D">
              <w:rPr>
                <w:rFonts w:ascii="Arial" w:hAnsi="Arial" w:cs="Arial"/>
              </w:rPr>
              <w:t>-0.02 (0.04)</w:t>
            </w:r>
          </w:p>
        </w:tc>
        <w:tc>
          <w:tcPr>
            <w:tcW w:w="2749" w:type="dxa"/>
          </w:tcPr>
          <w:p w14:paraId="7B85E9C1" w14:textId="77777777" w:rsidR="0031401A" w:rsidRPr="00640B5D" w:rsidRDefault="0031401A" w:rsidP="00F35080">
            <w:pPr>
              <w:jc w:val="center"/>
              <w:rPr>
                <w:rFonts w:ascii="Arial" w:hAnsi="Arial" w:cs="Arial"/>
              </w:rPr>
            </w:pPr>
            <w:r w:rsidRPr="00640B5D">
              <w:rPr>
                <w:rFonts w:ascii="Arial" w:hAnsi="Arial" w:cs="Arial"/>
              </w:rPr>
              <w:t>-0.30 (-0.39, -0.20)</w:t>
            </w:r>
          </w:p>
        </w:tc>
        <w:tc>
          <w:tcPr>
            <w:tcW w:w="1018" w:type="dxa"/>
          </w:tcPr>
          <w:p w14:paraId="5B657CEF"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0D0CFCFF" w14:textId="77777777" w:rsidTr="00F35080">
        <w:tc>
          <w:tcPr>
            <w:tcW w:w="2411" w:type="dxa"/>
          </w:tcPr>
          <w:p w14:paraId="6A7DD014" w14:textId="77777777" w:rsidR="0031401A" w:rsidRPr="00640B5D" w:rsidRDefault="0031401A" w:rsidP="00F35080">
            <w:pPr>
              <w:rPr>
                <w:rFonts w:ascii="Arial" w:hAnsi="Arial" w:cs="Arial"/>
              </w:rPr>
            </w:pPr>
            <w:r w:rsidRPr="00640B5D">
              <w:rPr>
                <w:rFonts w:ascii="Arial" w:hAnsi="Arial" w:cs="Arial"/>
              </w:rPr>
              <w:t>Week 192 (n=1272)</w:t>
            </w:r>
          </w:p>
        </w:tc>
        <w:tc>
          <w:tcPr>
            <w:tcW w:w="1744" w:type="dxa"/>
          </w:tcPr>
          <w:p w14:paraId="77A48CEB" w14:textId="77777777" w:rsidR="0031401A" w:rsidRPr="00640B5D" w:rsidRDefault="0031401A" w:rsidP="00F35080">
            <w:pPr>
              <w:jc w:val="center"/>
              <w:rPr>
                <w:rFonts w:ascii="Arial" w:hAnsi="Arial" w:cs="Arial"/>
              </w:rPr>
            </w:pPr>
            <w:r w:rsidRPr="00640B5D">
              <w:rPr>
                <w:rFonts w:ascii="Arial" w:hAnsi="Arial" w:cs="Arial"/>
              </w:rPr>
              <w:t>-0.33 (0.03)</w:t>
            </w:r>
          </w:p>
        </w:tc>
        <w:tc>
          <w:tcPr>
            <w:tcW w:w="1744" w:type="dxa"/>
          </w:tcPr>
          <w:p w14:paraId="7EBF04A9" w14:textId="77777777" w:rsidR="0031401A" w:rsidRPr="00640B5D" w:rsidRDefault="0031401A" w:rsidP="00F35080">
            <w:pPr>
              <w:jc w:val="center"/>
              <w:rPr>
                <w:rFonts w:ascii="Arial" w:hAnsi="Arial" w:cs="Arial"/>
              </w:rPr>
            </w:pPr>
            <w:r w:rsidRPr="00640B5D">
              <w:rPr>
                <w:rFonts w:ascii="Arial" w:hAnsi="Arial" w:cs="Arial"/>
              </w:rPr>
              <w:t>-0.10 (0.05)</w:t>
            </w:r>
          </w:p>
        </w:tc>
        <w:tc>
          <w:tcPr>
            <w:tcW w:w="2749" w:type="dxa"/>
          </w:tcPr>
          <w:p w14:paraId="0122B9D0" w14:textId="77777777" w:rsidR="0031401A" w:rsidRPr="00640B5D" w:rsidRDefault="0031401A" w:rsidP="00F35080">
            <w:pPr>
              <w:jc w:val="center"/>
              <w:rPr>
                <w:rFonts w:ascii="Arial" w:hAnsi="Arial" w:cs="Arial"/>
              </w:rPr>
            </w:pPr>
            <w:r w:rsidRPr="00640B5D">
              <w:rPr>
                <w:rFonts w:ascii="Arial" w:hAnsi="Arial" w:cs="Arial"/>
              </w:rPr>
              <w:t>-0.24 (-0.34, -0.13)</w:t>
            </w:r>
          </w:p>
        </w:tc>
        <w:tc>
          <w:tcPr>
            <w:tcW w:w="1018" w:type="dxa"/>
          </w:tcPr>
          <w:p w14:paraId="2C3F2220" w14:textId="77777777" w:rsidR="0031401A" w:rsidRPr="00640B5D" w:rsidRDefault="0031401A" w:rsidP="00F35080">
            <w:pPr>
              <w:jc w:val="center"/>
              <w:rPr>
                <w:rFonts w:ascii="Arial" w:hAnsi="Arial" w:cs="Arial"/>
              </w:rPr>
            </w:pPr>
            <w:r w:rsidRPr="00640B5D">
              <w:rPr>
                <w:rFonts w:ascii="Arial" w:hAnsi="Arial" w:cs="Arial"/>
              </w:rPr>
              <w:t>&lt;0.0001</w:t>
            </w:r>
          </w:p>
        </w:tc>
      </w:tr>
      <w:tr w:rsidR="0031401A" w:rsidRPr="00640B5D" w14:paraId="5879DBCE" w14:textId="77777777" w:rsidTr="00F35080">
        <w:tc>
          <w:tcPr>
            <w:tcW w:w="2411" w:type="dxa"/>
          </w:tcPr>
          <w:p w14:paraId="465279AC" w14:textId="77777777" w:rsidR="0031401A" w:rsidRPr="00640B5D" w:rsidRDefault="0031401A" w:rsidP="00F35080">
            <w:pPr>
              <w:rPr>
                <w:rFonts w:ascii="Arial" w:hAnsi="Arial" w:cs="Arial"/>
              </w:rPr>
            </w:pPr>
            <w:r w:rsidRPr="00640B5D">
              <w:rPr>
                <w:rFonts w:ascii="Arial" w:hAnsi="Arial" w:cs="Arial"/>
              </w:rPr>
              <w:t>Week 206 (n=463)</w:t>
            </w:r>
          </w:p>
        </w:tc>
        <w:tc>
          <w:tcPr>
            <w:tcW w:w="1744" w:type="dxa"/>
          </w:tcPr>
          <w:p w14:paraId="65129210" w14:textId="77777777" w:rsidR="0031401A" w:rsidRPr="00640B5D" w:rsidRDefault="0031401A" w:rsidP="00F35080">
            <w:pPr>
              <w:jc w:val="center"/>
              <w:rPr>
                <w:rFonts w:ascii="Arial" w:hAnsi="Arial" w:cs="Arial"/>
              </w:rPr>
            </w:pPr>
            <w:r w:rsidRPr="00640B5D">
              <w:rPr>
                <w:rFonts w:ascii="Arial" w:hAnsi="Arial" w:cs="Arial"/>
              </w:rPr>
              <w:t>-0.31 (0.05)</w:t>
            </w:r>
          </w:p>
        </w:tc>
        <w:tc>
          <w:tcPr>
            <w:tcW w:w="1744" w:type="dxa"/>
          </w:tcPr>
          <w:p w14:paraId="147A586A" w14:textId="77777777" w:rsidR="0031401A" w:rsidRPr="00640B5D" w:rsidRDefault="0031401A" w:rsidP="00F35080">
            <w:pPr>
              <w:jc w:val="center"/>
              <w:rPr>
                <w:rFonts w:ascii="Arial" w:hAnsi="Arial" w:cs="Arial"/>
              </w:rPr>
            </w:pPr>
            <w:r w:rsidRPr="00640B5D">
              <w:rPr>
                <w:rFonts w:ascii="Arial" w:hAnsi="Arial" w:cs="Arial"/>
              </w:rPr>
              <w:t>0.10 (0.07)</w:t>
            </w:r>
          </w:p>
        </w:tc>
        <w:tc>
          <w:tcPr>
            <w:tcW w:w="2749" w:type="dxa"/>
          </w:tcPr>
          <w:p w14:paraId="349EA3DD" w14:textId="77777777" w:rsidR="0031401A" w:rsidRPr="00640B5D" w:rsidRDefault="0031401A" w:rsidP="00F35080">
            <w:pPr>
              <w:jc w:val="center"/>
              <w:rPr>
                <w:rFonts w:ascii="Arial" w:hAnsi="Arial" w:cs="Arial"/>
              </w:rPr>
            </w:pPr>
            <w:r w:rsidRPr="00640B5D">
              <w:rPr>
                <w:rFonts w:ascii="Arial" w:hAnsi="Arial" w:cs="Arial"/>
              </w:rPr>
              <w:t>-0.42 (-0.59, -0.24)</w:t>
            </w:r>
          </w:p>
        </w:tc>
        <w:tc>
          <w:tcPr>
            <w:tcW w:w="1018" w:type="dxa"/>
          </w:tcPr>
          <w:p w14:paraId="45012875" w14:textId="77777777" w:rsidR="0031401A" w:rsidRPr="00640B5D" w:rsidRDefault="0031401A" w:rsidP="00F35080">
            <w:pPr>
              <w:jc w:val="center"/>
              <w:rPr>
                <w:rFonts w:ascii="Arial" w:hAnsi="Arial" w:cs="Arial"/>
              </w:rPr>
            </w:pPr>
            <w:r w:rsidRPr="00640B5D">
              <w:rPr>
                <w:rFonts w:ascii="Arial" w:hAnsi="Arial" w:cs="Arial"/>
              </w:rPr>
              <w:t>&lt;0.0001</w:t>
            </w:r>
          </w:p>
        </w:tc>
      </w:tr>
    </w:tbl>
    <w:p w14:paraId="55F25CBB" w14:textId="77777777" w:rsidR="0031401A" w:rsidRDefault="0031401A" w:rsidP="0031401A">
      <w:pPr>
        <w:spacing w:after="0" w:line="240" w:lineRule="auto"/>
        <w:rPr>
          <w:rFonts w:ascii="Arial" w:hAnsi="Arial" w:cs="Arial"/>
        </w:rPr>
      </w:pPr>
    </w:p>
    <w:p w14:paraId="4DDC452E" w14:textId="77777777" w:rsidR="0031401A" w:rsidRPr="00640B5D" w:rsidRDefault="0031401A" w:rsidP="0031401A">
      <w:pPr>
        <w:spacing w:after="0" w:line="240" w:lineRule="auto"/>
        <w:rPr>
          <w:rFonts w:ascii="Arial" w:hAnsi="Arial" w:cs="Arial"/>
        </w:rPr>
      </w:pPr>
      <w:r w:rsidRPr="00640B5D">
        <w:rPr>
          <w:rFonts w:ascii="Arial" w:hAnsi="Arial" w:cs="Arial"/>
        </w:rPr>
        <w:t>UA level changes are presented as adjusted mean (SE) changes from baseline based on MMRM analyses, that included continuous fixed effects of baseline uric acid and baseline HbA1c at each visit and discrete fixed effects for treatment at each visit, region, baseline eGFR, baseline BMI and last projected visit.</w:t>
      </w:r>
    </w:p>
    <w:p w14:paraId="1656C7FC" w14:textId="77777777" w:rsidR="0031401A" w:rsidRPr="00640B5D" w:rsidRDefault="0031401A" w:rsidP="0031401A">
      <w:pPr>
        <w:rPr>
          <w:rFonts w:ascii="Arial" w:hAnsi="Arial" w:cs="Arial"/>
        </w:rPr>
      </w:pPr>
      <w:r w:rsidRPr="00640B5D">
        <w:rPr>
          <w:rFonts w:ascii="Arial" w:hAnsi="Arial" w:cs="Arial"/>
        </w:rPr>
        <w:t>BMI=body-mass-index; eGFR=estimated glomerular filtration rate; HbA1c=glycated hemoglobin A1c; UA=uric acid</w:t>
      </w:r>
      <w:r>
        <w:rPr>
          <w:rFonts w:ascii="Arial" w:hAnsi="Arial" w:cs="Arial"/>
        </w:rPr>
        <w:t>.</w:t>
      </w:r>
    </w:p>
    <w:p w14:paraId="1A42D2F6" w14:textId="77777777" w:rsidR="0031401A" w:rsidRDefault="0031401A" w:rsidP="0031401A">
      <w:pPr>
        <w:sectPr w:rsidR="0031401A" w:rsidSect="0069527F">
          <w:pgSz w:w="15840" w:h="12240" w:orient="landscape"/>
          <w:pgMar w:top="1440" w:right="1440" w:bottom="1440" w:left="1440" w:header="708" w:footer="708" w:gutter="0"/>
          <w:cols w:space="708"/>
          <w:docGrid w:linePitch="360"/>
        </w:sectPr>
      </w:pPr>
    </w:p>
    <w:p w14:paraId="10A3D4A1" w14:textId="77777777" w:rsidR="0031401A" w:rsidRPr="00830DC5" w:rsidRDefault="0031401A" w:rsidP="0031401A">
      <w:pPr>
        <w:spacing w:after="120"/>
        <w:ind w:right="911"/>
        <w:jc w:val="both"/>
        <w:rPr>
          <w:rFonts w:ascii="Arial" w:hAnsi="Arial" w:cs="Arial"/>
          <w:b/>
          <w:bCs/>
        </w:rPr>
      </w:pPr>
      <w:r>
        <w:rPr>
          <w:rFonts w:ascii="Arial" w:hAnsi="Arial" w:cs="Arial"/>
          <w:b/>
          <w:bCs/>
        </w:rPr>
        <w:lastRenderedPageBreak/>
        <w:t xml:space="preserve">Supplemental </w:t>
      </w:r>
      <w:r w:rsidRPr="00830DC5">
        <w:rPr>
          <w:rFonts w:ascii="Arial" w:hAnsi="Arial" w:cs="Arial"/>
          <w:b/>
          <w:bCs/>
        </w:rPr>
        <w:t xml:space="preserve">Table </w:t>
      </w:r>
      <w:r>
        <w:rPr>
          <w:rFonts w:ascii="Arial" w:hAnsi="Arial" w:cs="Arial"/>
          <w:b/>
          <w:bCs/>
        </w:rPr>
        <w:t>2</w:t>
      </w:r>
      <w:r w:rsidRPr="00830DC5">
        <w:rPr>
          <w:rFonts w:ascii="Arial" w:hAnsi="Arial" w:cs="Arial"/>
          <w:b/>
          <w:bCs/>
        </w:rPr>
        <w:t>.</w:t>
      </w:r>
      <w:r>
        <w:rPr>
          <w:rFonts w:ascii="Arial" w:hAnsi="Arial" w:cs="Arial"/>
          <w:b/>
          <w:bCs/>
        </w:rPr>
        <w:t xml:space="preserve"> Adjusted mean changes of uric acid levels (mg/dL) over time </w:t>
      </w:r>
      <w:r w:rsidRPr="00404D78">
        <w:rPr>
          <w:rFonts w:ascii="Arial" w:hAnsi="Arial" w:cs="Arial"/>
          <w:b/>
          <w:bCs/>
        </w:rPr>
        <w:t>(on-treatment)</w:t>
      </w:r>
      <w:r>
        <w:rPr>
          <w:rFonts w:ascii="Arial" w:hAnsi="Arial" w:cs="Arial"/>
          <w:b/>
          <w:bCs/>
        </w:rPr>
        <w:t xml:space="preserve"> in the Empagliflozin (10 mg and 25 mg separately) vs. Placebo group </w:t>
      </w:r>
    </w:p>
    <w:tbl>
      <w:tblPr>
        <w:tblStyle w:val="Grilledutableau"/>
        <w:tblW w:w="0" w:type="auto"/>
        <w:tblInd w:w="-289" w:type="dxa"/>
        <w:tblLook w:val="04A0" w:firstRow="1" w:lastRow="0" w:firstColumn="1" w:lastColumn="0" w:noHBand="0" w:noVBand="1"/>
      </w:tblPr>
      <w:tblGrid>
        <w:gridCol w:w="2411"/>
        <w:gridCol w:w="1744"/>
        <w:gridCol w:w="1744"/>
        <w:gridCol w:w="1744"/>
        <w:gridCol w:w="2416"/>
        <w:gridCol w:w="2416"/>
      </w:tblGrid>
      <w:tr w:rsidR="0031401A" w:rsidRPr="00640B5D" w14:paraId="03166740" w14:textId="77777777" w:rsidTr="00F35080">
        <w:tc>
          <w:tcPr>
            <w:tcW w:w="2411" w:type="dxa"/>
          </w:tcPr>
          <w:p w14:paraId="7820CCDF" w14:textId="77777777" w:rsidR="0031401A" w:rsidRPr="00640B5D" w:rsidRDefault="0031401A" w:rsidP="00F35080">
            <w:pPr>
              <w:rPr>
                <w:rFonts w:ascii="Arial" w:hAnsi="Arial" w:cs="Arial"/>
              </w:rPr>
            </w:pPr>
            <w:r w:rsidRPr="00640B5D">
              <w:rPr>
                <w:rFonts w:ascii="Arial" w:hAnsi="Arial" w:cs="Arial"/>
              </w:rPr>
              <w:t>Week (n/o patients analyzed)</w:t>
            </w:r>
          </w:p>
        </w:tc>
        <w:tc>
          <w:tcPr>
            <w:tcW w:w="1744" w:type="dxa"/>
          </w:tcPr>
          <w:p w14:paraId="1D60838C" w14:textId="77777777" w:rsidR="0031401A" w:rsidRPr="00640B5D" w:rsidRDefault="0031401A" w:rsidP="00F35080">
            <w:pPr>
              <w:jc w:val="center"/>
              <w:rPr>
                <w:rFonts w:ascii="Arial" w:hAnsi="Arial" w:cs="Arial"/>
              </w:rPr>
            </w:pPr>
            <w:r w:rsidRPr="00640B5D">
              <w:rPr>
                <w:rFonts w:ascii="Arial" w:hAnsi="Arial" w:cs="Arial"/>
              </w:rPr>
              <w:t>UA level change Empagliflozin 10 mg (n=2266)</w:t>
            </w:r>
          </w:p>
        </w:tc>
        <w:tc>
          <w:tcPr>
            <w:tcW w:w="1744" w:type="dxa"/>
          </w:tcPr>
          <w:p w14:paraId="1AA34124" w14:textId="77777777" w:rsidR="0031401A" w:rsidRPr="00640B5D" w:rsidRDefault="0031401A" w:rsidP="00F35080">
            <w:pPr>
              <w:jc w:val="center"/>
              <w:rPr>
                <w:rFonts w:ascii="Arial" w:hAnsi="Arial" w:cs="Arial"/>
              </w:rPr>
            </w:pPr>
            <w:r w:rsidRPr="00640B5D">
              <w:rPr>
                <w:rFonts w:ascii="Arial" w:hAnsi="Arial" w:cs="Arial"/>
              </w:rPr>
              <w:t>UA level change Empagliflozin 25 mg (n=2250)</w:t>
            </w:r>
          </w:p>
        </w:tc>
        <w:tc>
          <w:tcPr>
            <w:tcW w:w="1744" w:type="dxa"/>
          </w:tcPr>
          <w:p w14:paraId="0406CD29" w14:textId="77777777" w:rsidR="0031401A" w:rsidRPr="00640B5D" w:rsidRDefault="0031401A" w:rsidP="00F35080">
            <w:pPr>
              <w:jc w:val="center"/>
              <w:rPr>
                <w:rFonts w:ascii="Arial" w:hAnsi="Arial" w:cs="Arial"/>
              </w:rPr>
            </w:pPr>
            <w:r w:rsidRPr="00640B5D">
              <w:rPr>
                <w:rFonts w:ascii="Arial" w:hAnsi="Arial" w:cs="Arial"/>
              </w:rPr>
              <w:t>UA level change Placebo (n=2260)</w:t>
            </w:r>
          </w:p>
        </w:tc>
        <w:tc>
          <w:tcPr>
            <w:tcW w:w="2416" w:type="dxa"/>
          </w:tcPr>
          <w:p w14:paraId="13F95186" w14:textId="77777777" w:rsidR="0031401A" w:rsidRPr="00640B5D" w:rsidRDefault="0031401A" w:rsidP="00F35080">
            <w:pPr>
              <w:jc w:val="center"/>
              <w:rPr>
                <w:rFonts w:ascii="Arial" w:hAnsi="Arial" w:cs="Arial"/>
              </w:rPr>
            </w:pPr>
            <w:r w:rsidRPr="00640B5D">
              <w:rPr>
                <w:rFonts w:ascii="Arial" w:hAnsi="Arial" w:cs="Arial"/>
              </w:rPr>
              <w:t>Adjusted mean (95%-CI) treatment difference Empagliflozin 10mg vs. Placebo</w:t>
            </w:r>
          </w:p>
        </w:tc>
        <w:tc>
          <w:tcPr>
            <w:tcW w:w="2416" w:type="dxa"/>
          </w:tcPr>
          <w:p w14:paraId="5EB93AEC" w14:textId="77777777" w:rsidR="0031401A" w:rsidRPr="00640B5D" w:rsidRDefault="0031401A" w:rsidP="00F35080">
            <w:pPr>
              <w:jc w:val="center"/>
              <w:rPr>
                <w:rFonts w:ascii="Arial" w:hAnsi="Arial" w:cs="Arial"/>
              </w:rPr>
            </w:pPr>
            <w:r w:rsidRPr="00640B5D">
              <w:rPr>
                <w:rFonts w:ascii="Arial" w:hAnsi="Arial" w:cs="Arial"/>
              </w:rPr>
              <w:t>Adjusted mean (95%-CI) treatment difference Empagliflozin 25 mg vs. Placebo</w:t>
            </w:r>
          </w:p>
        </w:tc>
      </w:tr>
      <w:tr w:rsidR="0031401A" w:rsidRPr="00640B5D" w14:paraId="3BA72B14" w14:textId="77777777" w:rsidTr="00F35080">
        <w:tc>
          <w:tcPr>
            <w:tcW w:w="2411" w:type="dxa"/>
          </w:tcPr>
          <w:p w14:paraId="0D83AADD" w14:textId="77777777" w:rsidR="0031401A" w:rsidRPr="00640B5D" w:rsidRDefault="0031401A" w:rsidP="00F35080">
            <w:pPr>
              <w:rPr>
                <w:rFonts w:ascii="Arial" w:hAnsi="Arial" w:cs="Arial"/>
              </w:rPr>
            </w:pPr>
            <w:r w:rsidRPr="00640B5D">
              <w:rPr>
                <w:rFonts w:ascii="Arial" w:hAnsi="Arial" w:cs="Arial"/>
              </w:rPr>
              <w:t>Baseline mean (SD)</w:t>
            </w:r>
          </w:p>
        </w:tc>
        <w:tc>
          <w:tcPr>
            <w:tcW w:w="1744" w:type="dxa"/>
          </w:tcPr>
          <w:p w14:paraId="0F3EA500" w14:textId="77777777" w:rsidR="0031401A" w:rsidRPr="00640B5D" w:rsidRDefault="0031401A" w:rsidP="00F35080">
            <w:pPr>
              <w:jc w:val="center"/>
              <w:rPr>
                <w:rFonts w:ascii="Arial" w:hAnsi="Arial" w:cs="Arial"/>
              </w:rPr>
            </w:pPr>
            <w:r w:rsidRPr="00640B5D">
              <w:rPr>
                <w:rFonts w:ascii="Arial" w:hAnsi="Arial" w:cs="Arial"/>
              </w:rPr>
              <w:t>5.91 (0.03)</w:t>
            </w:r>
          </w:p>
        </w:tc>
        <w:tc>
          <w:tcPr>
            <w:tcW w:w="1744" w:type="dxa"/>
          </w:tcPr>
          <w:p w14:paraId="714CAAC4" w14:textId="77777777" w:rsidR="0031401A" w:rsidRPr="00640B5D" w:rsidRDefault="0031401A" w:rsidP="00F35080">
            <w:pPr>
              <w:jc w:val="center"/>
              <w:rPr>
                <w:rFonts w:ascii="Arial" w:hAnsi="Arial" w:cs="Arial"/>
              </w:rPr>
            </w:pPr>
            <w:r w:rsidRPr="00640B5D">
              <w:rPr>
                <w:rFonts w:ascii="Arial" w:hAnsi="Arial" w:cs="Arial"/>
              </w:rPr>
              <w:t>5.96 (0.03)</w:t>
            </w:r>
          </w:p>
        </w:tc>
        <w:tc>
          <w:tcPr>
            <w:tcW w:w="1744" w:type="dxa"/>
          </w:tcPr>
          <w:p w14:paraId="25402321" w14:textId="77777777" w:rsidR="0031401A" w:rsidRPr="00640B5D" w:rsidRDefault="0031401A" w:rsidP="00F35080">
            <w:pPr>
              <w:jc w:val="center"/>
              <w:rPr>
                <w:rFonts w:ascii="Arial" w:hAnsi="Arial" w:cs="Arial"/>
              </w:rPr>
            </w:pPr>
            <w:r w:rsidRPr="00640B5D">
              <w:rPr>
                <w:rFonts w:ascii="Arial" w:hAnsi="Arial" w:cs="Arial"/>
              </w:rPr>
              <w:t>6.01 (0.03)</w:t>
            </w:r>
          </w:p>
        </w:tc>
        <w:tc>
          <w:tcPr>
            <w:tcW w:w="2416" w:type="dxa"/>
          </w:tcPr>
          <w:p w14:paraId="289081A1" w14:textId="77777777" w:rsidR="0031401A" w:rsidRPr="00640B5D" w:rsidRDefault="0031401A" w:rsidP="00F35080">
            <w:pPr>
              <w:jc w:val="center"/>
              <w:rPr>
                <w:rFonts w:ascii="Arial" w:hAnsi="Arial" w:cs="Arial"/>
              </w:rPr>
            </w:pPr>
            <w:r w:rsidRPr="00640B5D">
              <w:rPr>
                <w:rFonts w:ascii="Arial" w:hAnsi="Arial" w:cs="Arial"/>
              </w:rPr>
              <w:t>-</w:t>
            </w:r>
          </w:p>
        </w:tc>
        <w:tc>
          <w:tcPr>
            <w:tcW w:w="2416" w:type="dxa"/>
          </w:tcPr>
          <w:p w14:paraId="4AC9D2C2" w14:textId="77777777" w:rsidR="0031401A" w:rsidRPr="00640B5D" w:rsidRDefault="0031401A" w:rsidP="00F35080">
            <w:pPr>
              <w:jc w:val="center"/>
              <w:rPr>
                <w:rFonts w:ascii="Arial" w:hAnsi="Arial" w:cs="Arial"/>
              </w:rPr>
            </w:pPr>
            <w:r w:rsidRPr="00640B5D">
              <w:rPr>
                <w:rFonts w:ascii="Arial" w:hAnsi="Arial" w:cs="Arial"/>
              </w:rPr>
              <w:t>-</w:t>
            </w:r>
          </w:p>
        </w:tc>
      </w:tr>
      <w:tr w:rsidR="0031401A" w:rsidRPr="00640B5D" w14:paraId="7EBB4EA8" w14:textId="77777777" w:rsidTr="00F35080">
        <w:tc>
          <w:tcPr>
            <w:tcW w:w="2411" w:type="dxa"/>
          </w:tcPr>
          <w:p w14:paraId="172C6680" w14:textId="77777777" w:rsidR="0031401A" w:rsidRPr="00640B5D" w:rsidRDefault="0031401A" w:rsidP="00F35080">
            <w:pPr>
              <w:rPr>
                <w:rFonts w:ascii="Arial" w:hAnsi="Arial" w:cs="Arial"/>
              </w:rPr>
            </w:pPr>
            <w:r w:rsidRPr="00640B5D">
              <w:rPr>
                <w:rFonts w:ascii="Arial" w:hAnsi="Arial" w:cs="Arial"/>
              </w:rPr>
              <w:t>Week 12 (n=6728)</w:t>
            </w:r>
          </w:p>
        </w:tc>
        <w:tc>
          <w:tcPr>
            <w:tcW w:w="1744" w:type="dxa"/>
          </w:tcPr>
          <w:p w14:paraId="1D64F3E0" w14:textId="77777777" w:rsidR="0031401A" w:rsidRPr="00640B5D" w:rsidRDefault="0031401A" w:rsidP="00F35080">
            <w:pPr>
              <w:jc w:val="center"/>
              <w:rPr>
                <w:rFonts w:ascii="Arial" w:hAnsi="Arial" w:cs="Arial"/>
              </w:rPr>
            </w:pPr>
            <w:r w:rsidRPr="00640B5D">
              <w:rPr>
                <w:rFonts w:ascii="Arial" w:hAnsi="Arial" w:cs="Arial"/>
              </w:rPr>
              <w:t>-0.32 (0.02)</w:t>
            </w:r>
          </w:p>
        </w:tc>
        <w:tc>
          <w:tcPr>
            <w:tcW w:w="1744" w:type="dxa"/>
          </w:tcPr>
          <w:p w14:paraId="44EC94C4" w14:textId="77777777" w:rsidR="0031401A" w:rsidRPr="00640B5D" w:rsidRDefault="0031401A" w:rsidP="00F35080">
            <w:pPr>
              <w:jc w:val="center"/>
              <w:rPr>
                <w:rFonts w:ascii="Arial" w:hAnsi="Arial" w:cs="Arial"/>
              </w:rPr>
            </w:pPr>
            <w:r w:rsidRPr="00640B5D">
              <w:rPr>
                <w:rFonts w:ascii="Arial" w:hAnsi="Arial" w:cs="Arial"/>
              </w:rPr>
              <w:t>-0.32 (0.02)</w:t>
            </w:r>
          </w:p>
        </w:tc>
        <w:tc>
          <w:tcPr>
            <w:tcW w:w="1744" w:type="dxa"/>
          </w:tcPr>
          <w:p w14:paraId="43140C7A" w14:textId="77777777" w:rsidR="0031401A" w:rsidRPr="00640B5D" w:rsidRDefault="0031401A" w:rsidP="00F35080">
            <w:pPr>
              <w:jc w:val="center"/>
              <w:rPr>
                <w:rFonts w:ascii="Arial" w:hAnsi="Arial" w:cs="Arial"/>
              </w:rPr>
            </w:pPr>
            <w:r w:rsidRPr="00640B5D">
              <w:rPr>
                <w:rFonts w:ascii="Arial" w:hAnsi="Arial" w:cs="Arial"/>
              </w:rPr>
              <w:t>0.03 (0.02)</w:t>
            </w:r>
          </w:p>
        </w:tc>
        <w:tc>
          <w:tcPr>
            <w:tcW w:w="2416" w:type="dxa"/>
          </w:tcPr>
          <w:p w14:paraId="732F8606" w14:textId="77777777" w:rsidR="0031401A" w:rsidRPr="00640B5D" w:rsidRDefault="0031401A" w:rsidP="00F35080">
            <w:pPr>
              <w:jc w:val="center"/>
              <w:rPr>
                <w:rFonts w:ascii="Arial" w:hAnsi="Arial" w:cs="Arial"/>
              </w:rPr>
            </w:pPr>
            <w:r w:rsidRPr="00640B5D">
              <w:rPr>
                <w:rFonts w:ascii="Arial" w:hAnsi="Arial" w:cs="Arial"/>
              </w:rPr>
              <w:t>-0.35 (-0.41, -0.29)</w:t>
            </w:r>
          </w:p>
        </w:tc>
        <w:tc>
          <w:tcPr>
            <w:tcW w:w="2416" w:type="dxa"/>
          </w:tcPr>
          <w:p w14:paraId="01358EFE" w14:textId="77777777" w:rsidR="0031401A" w:rsidRPr="00640B5D" w:rsidRDefault="0031401A" w:rsidP="00F35080">
            <w:pPr>
              <w:jc w:val="center"/>
              <w:rPr>
                <w:rFonts w:ascii="Arial" w:hAnsi="Arial" w:cs="Arial"/>
              </w:rPr>
            </w:pPr>
            <w:r w:rsidRPr="00640B5D">
              <w:rPr>
                <w:rFonts w:ascii="Arial" w:hAnsi="Arial" w:cs="Arial"/>
              </w:rPr>
              <w:t>-0.36 (-0.41, -0.30)</w:t>
            </w:r>
          </w:p>
        </w:tc>
      </w:tr>
      <w:tr w:rsidR="0031401A" w:rsidRPr="00640B5D" w14:paraId="5F15E87F" w14:textId="77777777" w:rsidTr="00F35080">
        <w:tc>
          <w:tcPr>
            <w:tcW w:w="2411" w:type="dxa"/>
          </w:tcPr>
          <w:p w14:paraId="72C57F8F" w14:textId="77777777" w:rsidR="0031401A" w:rsidRPr="00640B5D" w:rsidRDefault="0031401A" w:rsidP="00F35080">
            <w:pPr>
              <w:rPr>
                <w:rFonts w:ascii="Arial" w:hAnsi="Arial" w:cs="Arial"/>
              </w:rPr>
            </w:pPr>
            <w:r w:rsidRPr="00640B5D">
              <w:rPr>
                <w:rFonts w:ascii="Arial" w:hAnsi="Arial" w:cs="Arial"/>
              </w:rPr>
              <w:t>Week 28 (n=6506)</w:t>
            </w:r>
          </w:p>
        </w:tc>
        <w:tc>
          <w:tcPr>
            <w:tcW w:w="1744" w:type="dxa"/>
          </w:tcPr>
          <w:p w14:paraId="1DBB9859" w14:textId="77777777" w:rsidR="0031401A" w:rsidRPr="00640B5D" w:rsidRDefault="0031401A" w:rsidP="00F35080">
            <w:pPr>
              <w:jc w:val="center"/>
              <w:rPr>
                <w:rFonts w:ascii="Arial" w:hAnsi="Arial" w:cs="Arial"/>
              </w:rPr>
            </w:pPr>
            <w:r w:rsidRPr="00640B5D">
              <w:rPr>
                <w:rFonts w:ascii="Arial" w:hAnsi="Arial" w:cs="Arial"/>
              </w:rPr>
              <w:t>-0.32 (0.02)</w:t>
            </w:r>
          </w:p>
        </w:tc>
        <w:tc>
          <w:tcPr>
            <w:tcW w:w="1744" w:type="dxa"/>
          </w:tcPr>
          <w:p w14:paraId="40D04A80" w14:textId="77777777" w:rsidR="0031401A" w:rsidRPr="00640B5D" w:rsidRDefault="0031401A" w:rsidP="00F35080">
            <w:pPr>
              <w:jc w:val="center"/>
              <w:rPr>
                <w:rFonts w:ascii="Arial" w:hAnsi="Arial" w:cs="Arial"/>
              </w:rPr>
            </w:pPr>
            <w:r w:rsidRPr="00640B5D">
              <w:rPr>
                <w:rFonts w:ascii="Arial" w:hAnsi="Arial" w:cs="Arial"/>
              </w:rPr>
              <w:t>-0.35 (0.02)</w:t>
            </w:r>
          </w:p>
        </w:tc>
        <w:tc>
          <w:tcPr>
            <w:tcW w:w="1744" w:type="dxa"/>
          </w:tcPr>
          <w:p w14:paraId="11C6E4DF" w14:textId="77777777" w:rsidR="0031401A" w:rsidRPr="00640B5D" w:rsidRDefault="0031401A" w:rsidP="00F35080">
            <w:pPr>
              <w:jc w:val="center"/>
              <w:rPr>
                <w:rFonts w:ascii="Arial" w:hAnsi="Arial" w:cs="Arial"/>
              </w:rPr>
            </w:pPr>
            <w:r w:rsidRPr="00640B5D">
              <w:rPr>
                <w:rFonts w:ascii="Arial" w:hAnsi="Arial" w:cs="Arial"/>
              </w:rPr>
              <w:t>0.06 (0.02)</w:t>
            </w:r>
          </w:p>
        </w:tc>
        <w:tc>
          <w:tcPr>
            <w:tcW w:w="2416" w:type="dxa"/>
          </w:tcPr>
          <w:p w14:paraId="164706B9" w14:textId="77777777" w:rsidR="0031401A" w:rsidRPr="00640B5D" w:rsidRDefault="0031401A" w:rsidP="00F35080">
            <w:pPr>
              <w:jc w:val="center"/>
              <w:rPr>
                <w:rFonts w:ascii="Arial" w:hAnsi="Arial" w:cs="Arial"/>
              </w:rPr>
            </w:pPr>
            <w:r w:rsidRPr="00640B5D">
              <w:rPr>
                <w:rFonts w:ascii="Arial" w:hAnsi="Arial" w:cs="Arial"/>
              </w:rPr>
              <w:t>-0.38 (-0.44, -0.32)</w:t>
            </w:r>
          </w:p>
        </w:tc>
        <w:tc>
          <w:tcPr>
            <w:tcW w:w="2416" w:type="dxa"/>
          </w:tcPr>
          <w:p w14:paraId="3DD9942A" w14:textId="77777777" w:rsidR="0031401A" w:rsidRPr="00640B5D" w:rsidRDefault="0031401A" w:rsidP="00F35080">
            <w:pPr>
              <w:jc w:val="center"/>
              <w:rPr>
                <w:rFonts w:ascii="Arial" w:hAnsi="Arial" w:cs="Arial"/>
              </w:rPr>
            </w:pPr>
            <w:r w:rsidRPr="00640B5D">
              <w:rPr>
                <w:rFonts w:ascii="Arial" w:hAnsi="Arial" w:cs="Arial"/>
              </w:rPr>
              <w:t>-0.41 (-0.47, -0.35)</w:t>
            </w:r>
          </w:p>
        </w:tc>
      </w:tr>
      <w:tr w:rsidR="0031401A" w:rsidRPr="00640B5D" w14:paraId="2065684A" w14:textId="77777777" w:rsidTr="00F35080">
        <w:tc>
          <w:tcPr>
            <w:tcW w:w="2411" w:type="dxa"/>
          </w:tcPr>
          <w:p w14:paraId="668536C9" w14:textId="77777777" w:rsidR="0031401A" w:rsidRPr="00640B5D" w:rsidRDefault="0031401A" w:rsidP="00F35080">
            <w:pPr>
              <w:rPr>
                <w:rFonts w:ascii="Arial" w:hAnsi="Arial" w:cs="Arial"/>
              </w:rPr>
            </w:pPr>
            <w:r w:rsidRPr="00640B5D">
              <w:rPr>
                <w:rFonts w:ascii="Arial" w:hAnsi="Arial" w:cs="Arial"/>
              </w:rPr>
              <w:t>Week 52 (n=6226)</w:t>
            </w:r>
          </w:p>
        </w:tc>
        <w:tc>
          <w:tcPr>
            <w:tcW w:w="1744" w:type="dxa"/>
          </w:tcPr>
          <w:p w14:paraId="1F93B761" w14:textId="77777777" w:rsidR="0031401A" w:rsidRPr="00640B5D" w:rsidRDefault="0031401A" w:rsidP="00F35080">
            <w:pPr>
              <w:jc w:val="center"/>
              <w:rPr>
                <w:rFonts w:ascii="Arial" w:hAnsi="Arial" w:cs="Arial"/>
              </w:rPr>
            </w:pPr>
            <w:r w:rsidRPr="00640B5D">
              <w:rPr>
                <w:rFonts w:ascii="Arial" w:hAnsi="Arial" w:cs="Arial"/>
              </w:rPr>
              <w:t>-0.35 (0.02)</w:t>
            </w:r>
          </w:p>
        </w:tc>
        <w:tc>
          <w:tcPr>
            <w:tcW w:w="1744" w:type="dxa"/>
          </w:tcPr>
          <w:p w14:paraId="00EECF78" w14:textId="77777777" w:rsidR="0031401A" w:rsidRPr="00640B5D" w:rsidRDefault="0031401A" w:rsidP="00F35080">
            <w:pPr>
              <w:jc w:val="center"/>
              <w:rPr>
                <w:rFonts w:ascii="Arial" w:hAnsi="Arial" w:cs="Arial"/>
              </w:rPr>
            </w:pPr>
            <w:r w:rsidRPr="00640B5D">
              <w:rPr>
                <w:rFonts w:ascii="Arial" w:hAnsi="Arial" w:cs="Arial"/>
              </w:rPr>
              <w:t>-0.33 (0.02)</w:t>
            </w:r>
          </w:p>
        </w:tc>
        <w:tc>
          <w:tcPr>
            <w:tcW w:w="1744" w:type="dxa"/>
          </w:tcPr>
          <w:p w14:paraId="6499F027" w14:textId="77777777" w:rsidR="0031401A" w:rsidRPr="00640B5D" w:rsidRDefault="0031401A" w:rsidP="00F35080">
            <w:pPr>
              <w:jc w:val="center"/>
              <w:rPr>
                <w:rFonts w:ascii="Arial" w:hAnsi="Arial" w:cs="Arial"/>
              </w:rPr>
            </w:pPr>
            <w:r w:rsidRPr="00640B5D">
              <w:rPr>
                <w:rFonts w:ascii="Arial" w:hAnsi="Arial" w:cs="Arial"/>
              </w:rPr>
              <w:t>0.02 (0.02)</w:t>
            </w:r>
          </w:p>
        </w:tc>
        <w:tc>
          <w:tcPr>
            <w:tcW w:w="2416" w:type="dxa"/>
          </w:tcPr>
          <w:p w14:paraId="009F05E7" w14:textId="77777777" w:rsidR="0031401A" w:rsidRPr="00640B5D" w:rsidRDefault="0031401A" w:rsidP="00F35080">
            <w:pPr>
              <w:jc w:val="center"/>
              <w:rPr>
                <w:rFonts w:ascii="Arial" w:hAnsi="Arial" w:cs="Arial"/>
              </w:rPr>
            </w:pPr>
            <w:r w:rsidRPr="00640B5D">
              <w:rPr>
                <w:rFonts w:ascii="Arial" w:hAnsi="Arial" w:cs="Arial"/>
              </w:rPr>
              <w:t>-0.38 (-0.44, -0.31)</w:t>
            </w:r>
          </w:p>
        </w:tc>
        <w:tc>
          <w:tcPr>
            <w:tcW w:w="2416" w:type="dxa"/>
          </w:tcPr>
          <w:p w14:paraId="6FB225EA" w14:textId="77777777" w:rsidR="0031401A" w:rsidRPr="00640B5D" w:rsidRDefault="0031401A" w:rsidP="00F35080">
            <w:pPr>
              <w:jc w:val="center"/>
              <w:rPr>
                <w:rFonts w:ascii="Arial" w:hAnsi="Arial" w:cs="Arial"/>
              </w:rPr>
            </w:pPr>
            <w:r w:rsidRPr="00640B5D">
              <w:rPr>
                <w:rFonts w:ascii="Arial" w:hAnsi="Arial" w:cs="Arial"/>
              </w:rPr>
              <w:t>-0.35 (-0.42, -0.29)</w:t>
            </w:r>
          </w:p>
        </w:tc>
      </w:tr>
      <w:tr w:rsidR="0031401A" w:rsidRPr="00640B5D" w14:paraId="12A1A8E8" w14:textId="77777777" w:rsidTr="00F35080">
        <w:tc>
          <w:tcPr>
            <w:tcW w:w="2411" w:type="dxa"/>
          </w:tcPr>
          <w:p w14:paraId="6D5E9BA6" w14:textId="77777777" w:rsidR="0031401A" w:rsidRPr="00640B5D" w:rsidRDefault="0031401A" w:rsidP="00F35080">
            <w:pPr>
              <w:rPr>
                <w:rFonts w:ascii="Arial" w:hAnsi="Arial" w:cs="Arial"/>
              </w:rPr>
            </w:pPr>
            <w:r w:rsidRPr="00640B5D">
              <w:rPr>
                <w:rFonts w:ascii="Arial" w:hAnsi="Arial" w:cs="Arial"/>
              </w:rPr>
              <w:t>Week 66 (n=6055)</w:t>
            </w:r>
          </w:p>
        </w:tc>
        <w:tc>
          <w:tcPr>
            <w:tcW w:w="1744" w:type="dxa"/>
          </w:tcPr>
          <w:p w14:paraId="6186150E" w14:textId="77777777" w:rsidR="0031401A" w:rsidRPr="00640B5D" w:rsidRDefault="0031401A" w:rsidP="00F35080">
            <w:pPr>
              <w:jc w:val="center"/>
              <w:rPr>
                <w:rFonts w:ascii="Arial" w:hAnsi="Arial" w:cs="Arial"/>
              </w:rPr>
            </w:pPr>
            <w:r w:rsidRPr="00640B5D">
              <w:rPr>
                <w:rFonts w:ascii="Arial" w:hAnsi="Arial" w:cs="Arial"/>
              </w:rPr>
              <w:t>-0.28 (0.02)</w:t>
            </w:r>
          </w:p>
        </w:tc>
        <w:tc>
          <w:tcPr>
            <w:tcW w:w="1744" w:type="dxa"/>
          </w:tcPr>
          <w:p w14:paraId="6FE2ADB3" w14:textId="77777777" w:rsidR="0031401A" w:rsidRPr="00640B5D" w:rsidRDefault="0031401A" w:rsidP="00F35080">
            <w:pPr>
              <w:jc w:val="center"/>
              <w:rPr>
                <w:rFonts w:ascii="Arial" w:hAnsi="Arial" w:cs="Arial"/>
              </w:rPr>
            </w:pPr>
            <w:r w:rsidRPr="00640B5D">
              <w:rPr>
                <w:rFonts w:ascii="Arial" w:hAnsi="Arial" w:cs="Arial"/>
              </w:rPr>
              <w:t>-0.32 (0.02)</w:t>
            </w:r>
          </w:p>
        </w:tc>
        <w:tc>
          <w:tcPr>
            <w:tcW w:w="1744" w:type="dxa"/>
          </w:tcPr>
          <w:p w14:paraId="662E9048" w14:textId="77777777" w:rsidR="0031401A" w:rsidRPr="00640B5D" w:rsidRDefault="0031401A" w:rsidP="00F35080">
            <w:pPr>
              <w:jc w:val="center"/>
              <w:rPr>
                <w:rFonts w:ascii="Arial" w:hAnsi="Arial" w:cs="Arial"/>
              </w:rPr>
            </w:pPr>
            <w:r w:rsidRPr="00640B5D">
              <w:rPr>
                <w:rFonts w:ascii="Arial" w:hAnsi="Arial" w:cs="Arial"/>
              </w:rPr>
              <w:t>0.04 (0.02)</w:t>
            </w:r>
          </w:p>
        </w:tc>
        <w:tc>
          <w:tcPr>
            <w:tcW w:w="2416" w:type="dxa"/>
          </w:tcPr>
          <w:p w14:paraId="2361F57F" w14:textId="77777777" w:rsidR="0031401A" w:rsidRPr="00640B5D" w:rsidRDefault="0031401A" w:rsidP="00F35080">
            <w:pPr>
              <w:jc w:val="center"/>
              <w:rPr>
                <w:rFonts w:ascii="Arial" w:hAnsi="Arial" w:cs="Arial"/>
              </w:rPr>
            </w:pPr>
            <w:r w:rsidRPr="00640B5D">
              <w:rPr>
                <w:rFonts w:ascii="Arial" w:hAnsi="Arial" w:cs="Arial"/>
              </w:rPr>
              <w:t>-0.32 (-0.39, -0.25)</w:t>
            </w:r>
          </w:p>
        </w:tc>
        <w:tc>
          <w:tcPr>
            <w:tcW w:w="2416" w:type="dxa"/>
          </w:tcPr>
          <w:p w14:paraId="0013CCBA" w14:textId="77777777" w:rsidR="0031401A" w:rsidRPr="00640B5D" w:rsidRDefault="0031401A" w:rsidP="00F35080">
            <w:pPr>
              <w:jc w:val="center"/>
              <w:rPr>
                <w:rFonts w:ascii="Arial" w:hAnsi="Arial" w:cs="Arial"/>
              </w:rPr>
            </w:pPr>
            <w:r w:rsidRPr="00640B5D">
              <w:rPr>
                <w:rFonts w:ascii="Arial" w:hAnsi="Arial" w:cs="Arial"/>
              </w:rPr>
              <w:t>-0.35 (-0.42, -0.29)</w:t>
            </w:r>
          </w:p>
        </w:tc>
      </w:tr>
      <w:tr w:rsidR="0031401A" w:rsidRPr="00640B5D" w14:paraId="3657C58E" w14:textId="77777777" w:rsidTr="00F35080">
        <w:tc>
          <w:tcPr>
            <w:tcW w:w="2411" w:type="dxa"/>
          </w:tcPr>
          <w:p w14:paraId="5ED97BA3" w14:textId="77777777" w:rsidR="0031401A" w:rsidRPr="00640B5D" w:rsidRDefault="0031401A" w:rsidP="00F35080">
            <w:pPr>
              <w:rPr>
                <w:rFonts w:ascii="Arial" w:hAnsi="Arial" w:cs="Arial"/>
              </w:rPr>
            </w:pPr>
            <w:r w:rsidRPr="00640B5D">
              <w:rPr>
                <w:rFonts w:ascii="Arial" w:hAnsi="Arial" w:cs="Arial"/>
              </w:rPr>
              <w:t>Week 80 (n=5885)</w:t>
            </w:r>
          </w:p>
        </w:tc>
        <w:tc>
          <w:tcPr>
            <w:tcW w:w="1744" w:type="dxa"/>
          </w:tcPr>
          <w:p w14:paraId="5868FBEA" w14:textId="77777777" w:rsidR="0031401A" w:rsidRPr="00640B5D" w:rsidRDefault="0031401A" w:rsidP="00F35080">
            <w:pPr>
              <w:jc w:val="center"/>
              <w:rPr>
                <w:rFonts w:ascii="Arial" w:hAnsi="Arial" w:cs="Arial"/>
              </w:rPr>
            </w:pPr>
            <w:r w:rsidRPr="00640B5D">
              <w:rPr>
                <w:rFonts w:ascii="Arial" w:hAnsi="Arial" w:cs="Arial"/>
              </w:rPr>
              <w:t>-0.29 (0.03)</w:t>
            </w:r>
          </w:p>
        </w:tc>
        <w:tc>
          <w:tcPr>
            <w:tcW w:w="1744" w:type="dxa"/>
          </w:tcPr>
          <w:p w14:paraId="4E95369E" w14:textId="77777777" w:rsidR="0031401A" w:rsidRPr="00640B5D" w:rsidRDefault="0031401A" w:rsidP="00F35080">
            <w:pPr>
              <w:jc w:val="center"/>
              <w:rPr>
                <w:rFonts w:ascii="Arial" w:hAnsi="Arial" w:cs="Arial"/>
              </w:rPr>
            </w:pPr>
            <w:r w:rsidRPr="00640B5D">
              <w:rPr>
                <w:rFonts w:ascii="Arial" w:hAnsi="Arial" w:cs="Arial"/>
              </w:rPr>
              <w:t>-0.27 (0.03)</w:t>
            </w:r>
          </w:p>
        </w:tc>
        <w:tc>
          <w:tcPr>
            <w:tcW w:w="1744" w:type="dxa"/>
          </w:tcPr>
          <w:p w14:paraId="4D5D39D8" w14:textId="77777777" w:rsidR="0031401A" w:rsidRPr="00640B5D" w:rsidRDefault="0031401A" w:rsidP="00F35080">
            <w:pPr>
              <w:jc w:val="center"/>
              <w:rPr>
                <w:rFonts w:ascii="Arial" w:hAnsi="Arial" w:cs="Arial"/>
              </w:rPr>
            </w:pPr>
            <w:r w:rsidRPr="00640B5D">
              <w:rPr>
                <w:rFonts w:ascii="Arial" w:hAnsi="Arial" w:cs="Arial"/>
              </w:rPr>
              <w:t>0.03 (0.03)</w:t>
            </w:r>
          </w:p>
        </w:tc>
        <w:tc>
          <w:tcPr>
            <w:tcW w:w="2416" w:type="dxa"/>
          </w:tcPr>
          <w:p w14:paraId="0C80E345" w14:textId="77777777" w:rsidR="0031401A" w:rsidRPr="00640B5D" w:rsidRDefault="0031401A" w:rsidP="00F35080">
            <w:pPr>
              <w:jc w:val="center"/>
              <w:rPr>
                <w:rFonts w:ascii="Arial" w:hAnsi="Arial" w:cs="Arial"/>
              </w:rPr>
            </w:pPr>
            <w:r w:rsidRPr="00640B5D">
              <w:rPr>
                <w:rFonts w:ascii="Arial" w:hAnsi="Arial" w:cs="Arial"/>
              </w:rPr>
              <w:t>-0.33 (-0.40, -0.26)</w:t>
            </w:r>
          </w:p>
        </w:tc>
        <w:tc>
          <w:tcPr>
            <w:tcW w:w="2416" w:type="dxa"/>
          </w:tcPr>
          <w:p w14:paraId="479B92B3" w14:textId="77777777" w:rsidR="0031401A" w:rsidRPr="00640B5D" w:rsidRDefault="0031401A" w:rsidP="00F35080">
            <w:pPr>
              <w:jc w:val="center"/>
              <w:rPr>
                <w:rFonts w:ascii="Arial" w:hAnsi="Arial" w:cs="Arial"/>
              </w:rPr>
            </w:pPr>
            <w:r w:rsidRPr="00640B5D">
              <w:rPr>
                <w:rFonts w:ascii="Arial" w:hAnsi="Arial" w:cs="Arial"/>
              </w:rPr>
              <w:t>-0.30 (-0.37, -0.23)</w:t>
            </w:r>
          </w:p>
        </w:tc>
      </w:tr>
      <w:tr w:rsidR="0031401A" w:rsidRPr="00640B5D" w14:paraId="5596D449" w14:textId="77777777" w:rsidTr="00F35080">
        <w:tc>
          <w:tcPr>
            <w:tcW w:w="2411" w:type="dxa"/>
          </w:tcPr>
          <w:p w14:paraId="60429AF9" w14:textId="77777777" w:rsidR="0031401A" w:rsidRPr="00640B5D" w:rsidRDefault="0031401A" w:rsidP="00F35080">
            <w:pPr>
              <w:rPr>
                <w:rFonts w:ascii="Arial" w:hAnsi="Arial" w:cs="Arial"/>
              </w:rPr>
            </w:pPr>
            <w:r w:rsidRPr="00640B5D">
              <w:rPr>
                <w:rFonts w:ascii="Arial" w:hAnsi="Arial" w:cs="Arial"/>
              </w:rPr>
              <w:t>Week 94 (n=5731)</w:t>
            </w:r>
          </w:p>
        </w:tc>
        <w:tc>
          <w:tcPr>
            <w:tcW w:w="1744" w:type="dxa"/>
          </w:tcPr>
          <w:p w14:paraId="764019BF" w14:textId="77777777" w:rsidR="0031401A" w:rsidRPr="00640B5D" w:rsidRDefault="0031401A" w:rsidP="00F35080">
            <w:pPr>
              <w:jc w:val="center"/>
              <w:rPr>
                <w:rFonts w:ascii="Arial" w:hAnsi="Arial" w:cs="Arial"/>
              </w:rPr>
            </w:pPr>
            <w:r w:rsidRPr="00640B5D">
              <w:rPr>
                <w:rFonts w:ascii="Arial" w:hAnsi="Arial" w:cs="Arial"/>
              </w:rPr>
              <w:t>-0.31 (0.03)</w:t>
            </w:r>
          </w:p>
        </w:tc>
        <w:tc>
          <w:tcPr>
            <w:tcW w:w="1744" w:type="dxa"/>
          </w:tcPr>
          <w:p w14:paraId="1428A5AE" w14:textId="77777777" w:rsidR="0031401A" w:rsidRPr="00640B5D" w:rsidRDefault="0031401A" w:rsidP="00F35080">
            <w:pPr>
              <w:jc w:val="center"/>
              <w:rPr>
                <w:rFonts w:ascii="Arial" w:hAnsi="Arial" w:cs="Arial"/>
              </w:rPr>
            </w:pPr>
            <w:r w:rsidRPr="00640B5D">
              <w:rPr>
                <w:rFonts w:ascii="Arial" w:hAnsi="Arial" w:cs="Arial"/>
              </w:rPr>
              <w:t>-0.31 (0.03)</w:t>
            </w:r>
          </w:p>
        </w:tc>
        <w:tc>
          <w:tcPr>
            <w:tcW w:w="1744" w:type="dxa"/>
          </w:tcPr>
          <w:p w14:paraId="7668D043" w14:textId="77777777" w:rsidR="0031401A" w:rsidRPr="00640B5D" w:rsidRDefault="0031401A" w:rsidP="00F35080">
            <w:pPr>
              <w:jc w:val="center"/>
              <w:rPr>
                <w:rFonts w:ascii="Arial" w:hAnsi="Arial" w:cs="Arial"/>
              </w:rPr>
            </w:pPr>
            <w:r w:rsidRPr="00640B5D">
              <w:rPr>
                <w:rFonts w:ascii="Arial" w:hAnsi="Arial" w:cs="Arial"/>
              </w:rPr>
              <w:t>0.04 (0.03)</w:t>
            </w:r>
          </w:p>
        </w:tc>
        <w:tc>
          <w:tcPr>
            <w:tcW w:w="2416" w:type="dxa"/>
          </w:tcPr>
          <w:p w14:paraId="2E0A8231" w14:textId="77777777" w:rsidR="0031401A" w:rsidRPr="00640B5D" w:rsidRDefault="0031401A" w:rsidP="00F35080">
            <w:pPr>
              <w:jc w:val="center"/>
              <w:rPr>
                <w:rFonts w:ascii="Arial" w:hAnsi="Arial" w:cs="Arial"/>
              </w:rPr>
            </w:pPr>
            <w:r w:rsidRPr="00640B5D">
              <w:rPr>
                <w:rFonts w:ascii="Arial" w:hAnsi="Arial" w:cs="Arial"/>
              </w:rPr>
              <w:t>-0.34 (-0.41, -0.27)</w:t>
            </w:r>
          </w:p>
        </w:tc>
        <w:tc>
          <w:tcPr>
            <w:tcW w:w="2416" w:type="dxa"/>
          </w:tcPr>
          <w:p w14:paraId="64316259" w14:textId="77777777" w:rsidR="0031401A" w:rsidRPr="00640B5D" w:rsidRDefault="0031401A" w:rsidP="00F35080">
            <w:pPr>
              <w:jc w:val="center"/>
              <w:rPr>
                <w:rFonts w:ascii="Arial" w:hAnsi="Arial" w:cs="Arial"/>
              </w:rPr>
            </w:pPr>
            <w:r w:rsidRPr="00640B5D">
              <w:rPr>
                <w:rFonts w:ascii="Arial" w:hAnsi="Arial" w:cs="Arial"/>
              </w:rPr>
              <w:t>-0.35 (-0.42, -0.28)</w:t>
            </w:r>
          </w:p>
        </w:tc>
      </w:tr>
      <w:tr w:rsidR="0031401A" w:rsidRPr="00640B5D" w14:paraId="1EF687A3" w14:textId="77777777" w:rsidTr="00F35080">
        <w:tc>
          <w:tcPr>
            <w:tcW w:w="2411" w:type="dxa"/>
          </w:tcPr>
          <w:p w14:paraId="165ADA33" w14:textId="77777777" w:rsidR="0031401A" w:rsidRPr="00640B5D" w:rsidRDefault="0031401A" w:rsidP="00F35080">
            <w:pPr>
              <w:rPr>
                <w:rFonts w:ascii="Arial" w:hAnsi="Arial" w:cs="Arial"/>
              </w:rPr>
            </w:pPr>
            <w:r w:rsidRPr="00640B5D">
              <w:rPr>
                <w:rFonts w:ascii="Arial" w:hAnsi="Arial" w:cs="Arial"/>
              </w:rPr>
              <w:t>Week 108 (n=5067)</w:t>
            </w:r>
          </w:p>
        </w:tc>
        <w:tc>
          <w:tcPr>
            <w:tcW w:w="1744" w:type="dxa"/>
          </w:tcPr>
          <w:p w14:paraId="36719CA9" w14:textId="77777777" w:rsidR="0031401A" w:rsidRPr="00640B5D" w:rsidRDefault="0031401A" w:rsidP="00F35080">
            <w:pPr>
              <w:jc w:val="center"/>
              <w:rPr>
                <w:rFonts w:ascii="Arial" w:hAnsi="Arial" w:cs="Arial"/>
              </w:rPr>
            </w:pPr>
            <w:r w:rsidRPr="00640B5D">
              <w:rPr>
                <w:rFonts w:ascii="Arial" w:hAnsi="Arial" w:cs="Arial"/>
              </w:rPr>
              <w:t>-0.28 (0.03)</w:t>
            </w:r>
          </w:p>
        </w:tc>
        <w:tc>
          <w:tcPr>
            <w:tcW w:w="1744" w:type="dxa"/>
          </w:tcPr>
          <w:p w14:paraId="3F93D9D5" w14:textId="77777777" w:rsidR="0031401A" w:rsidRPr="00640B5D" w:rsidRDefault="0031401A" w:rsidP="00F35080">
            <w:pPr>
              <w:jc w:val="center"/>
              <w:rPr>
                <w:rFonts w:ascii="Arial" w:hAnsi="Arial" w:cs="Arial"/>
              </w:rPr>
            </w:pPr>
            <w:r w:rsidRPr="00640B5D">
              <w:rPr>
                <w:rFonts w:ascii="Arial" w:hAnsi="Arial" w:cs="Arial"/>
              </w:rPr>
              <w:t>-0.30 (0.03)</w:t>
            </w:r>
          </w:p>
        </w:tc>
        <w:tc>
          <w:tcPr>
            <w:tcW w:w="1744" w:type="dxa"/>
          </w:tcPr>
          <w:p w14:paraId="2618A370" w14:textId="77777777" w:rsidR="0031401A" w:rsidRPr="00640B5D" w:rsidRDefault="0031401A" w:rsidP="00F35080">
            <w:pPr>
              <w:jc w:val="center"/>
              <w:rPr>
                <w:rFonts w:ascii="Arial" w:hAnsi="Arial" w:cs="Arial"/>
              </w:rPr>
            </w:pPr>
            <w:r w:rsidRPr="00640B5D">
              <w:rPr>
                <w:rFonts w:ascii="Arial" w:hAnsi="Arial" w:cs="Arial"/>
              </w:rPr>
              <w:t>0.06 (0.03)</w:t>
            </w:r>
          </w:p>
        </w:tc>
        <w:tc>
          <w:tcPr>
            <w:tcW w:w="2416" w:type="dxa"/>
          </w:tcPr>
          <w:p w14:paraId="1A42B81C" w14:textId="77777777" w:rsidR="0031401A" w:rsidRPr="00640B5D" w:rsidRDefault="0031401A" w:rsidP="00F35080">
            <w:pPr>
              <w:jc w:val="center"/>
              <w:rPr>
                <w:rFonts w:ascii="Arial" w:hAnsi="Arial" w:cs="Arial"/>
              </w:rPr>
            </w:pPr>
            <w:r w:rsidRPr="00640B5D">
              <w:rPr>
                <w:rFonts w:ascii="Arial" w:hAnsi="Arial" w:cs="Arial"/>
              </w:rPr>
              <w:t>-0.33 (-0.41, -0.26)</w:t>
            </w:r>
          </w:p>
        </w:tc>
        <w:tc>
          <w:tcPr>
            <w:tcW w:w="2416" w:type="dxa"/>
          </w:tcPr>
          <w:p w14:paraId="0C9DDB66" w14:textId="77777777" w:rsidR="0031401A" w:rsidRPr="00640B5D" w:rsidRDefault="0031401A" w:rsidP="00F35080">
            <w:pPr>
              <w:jc w:val="center"/>
              <w:rPr>
                <w:rFonts w:ascii="Arial" w:hAnsi="Arial" w:cs="Arial"/>
              </w:rPr>
            </w:pPr>
            <w:r w:rsidRPr="00640B5D">
              <w:rPr>
                <w:rFonts w:ascii="Arial" w:hAnsi="Arial" w:cs="Arial"/>
              </w:rPr>
              <w:t>-0.36 (-0.43, -0.29)</w:t>
            </w:r>
          </w:p>
        </w:tc>
      </w:tr>
      <w:tr w:rsidR="0031401A" w:rsidRPr="00640B5D" w14:paraId="4CAA4EEE" w14:textId="77777777" w:rsidTr="00F35080">
        <w:tc>
          <w:tcPr>
            <w:tcW w:w="2411" w:type="dxa"/>
          </w:tcPr>
          <w:p w14:paraId="72BE38CD" w14:textId="77777777" w:rsidR="0031401A" w:rsidRPr="00640B5D" w:rsidRDefault="0031401A" w:rsidP="00F35080">
            <w:pPr>
              <w:rPr>
                <w:rFonts w:ascii="Arial" w:hAnsi="Arial" w:cs="Arial"/>
              </w:rPr>
            </w:pPr>
            <w:r w:rsidRPr="00640B5D">
              <w:rPr>
                <w:rFonts w:ascii="Arial" w:hAnsi="Arial" w:cs="Arial"/>
              </w:rPr>
              <w:t>Week 122 (n=4243)</w:t>
            </w:r>
          </w:p>
        </w:tc>
        <w:tc>
          <w:tcPr>
            <w:tcW w:w="1744" w:type="dxa"/>
          </w:tcPr>
          <w:p w14:paraId="06960058" w14:textId="77777777" w:rsidR="0031401A" w:rsidRPr="00640B5D" w:rsidRDefault="0031401A" w:rsidP="00F35080">
            <w:pPr>
              <w:jc w:val="center"/>
              <w:rPr>
                <w:rFonts w:ascii="Arial" w:hAnsi="Arial" w:cs="Arial"/>
              </w:rPr>
            </w:pPr>
            <w:r w:rsidRPr="00640B5D">
              <w:rPr>
                <w:rFonts w:ascii="Arial" w:hAnsi="Arial" w:cs="Arial"/>
              </w:rPr>
              <w:t>-0.28 (0.03)</w:t>
            </w:r>
          </w:p>
        </w:tc>
        <w:tc>
          <w:tcPr>
            <w:tcW w:w="1744" w:type="dxa"/>
          </w:tcPr>
          <w:p w14:paraId="4397EACA" w14:textId="77777777" w:rsidR="0031401A" w:rsidRPr="00640B5D" w:rsidRDefault="0031401A" w:rsidP="00F35080">
            <w:pPr>
              <w:jc w:val="center"/>
              <w:rPr>
                <w:rFonts w:ascii="Arial" w:hAnsi="Arial" w:cs="Arial"/>
              </w:rPr>
            </w:pPr>
            <w:r w:rsidRPr="00640B5D">
              <w:rPr>
                <w:rFonts w:ascii="Arial" w:hAnsi="Arial" w:cs="Arial"/>
              </w:rPr>
              <w:t>-0.24 (0.03)</w:t>
            </w:r>
          </w:p>
        </w:tc>
        <w:tc>
          <w:tcPr>
            <w:tcW w:w="1744" w:type="dxa"/>
          </w:tcPr>
          <w:p w14:paraId="3617116A" w14:textId="77777777" w:rsidR="0031401A" w:rsidRPr="00640B5D" w:rsidRDefault="0031401A" w:rsidP="00F35080">
            <w:pPr>
              <w:jc w:val="center"/>
              <w:rPr>
                <w:rFonts w:ascii="Arial" w:hAnsi="Arial" w:cs="Arial"/>
              </w:rPr>
            </w:pPr>
            <w:r w:rsidRPr="00640B5D">
              <w:rPr>
                <w:rFonts w:ascii="Arial" w:hAnsi="Arial" w:cs="Arial"/>
              </w:rPr>
              <w:t>0.08 (0.03)</w:t>
            </w:r>
          </w:p>
        </w:tc>
        <w:tc>
          <w:tcPr>
            <w:tcW w:w="2416" w:type="dxa"/>
          </w:tcPr>
          <w:p w14:paraId="2E03D4AB" w14:textId="77777777" w:rsidR="0031401A" w:rsidRPr="00640B5D" w:rsidRDefault="0031401A" w:rsidP="00F35080">
            <w:pPr>
              <w:jc w:val="center"/>
              <w:rPr>
                <w:rFonts w:ascii="Arial" w:hAnsi="Arial" w:cs="Arial"/>
              </w:rPr>
            </w:pPr>
            <w:r w:rsidRPr="00640B5D">
              <w:rPr>
                <w:rFonts w:ascii="Arial" w:hAnsi="Arial" w:cs="Arial"/>
              </w:rPr>
              <w:t>-0.36 (-0.44, -0.28)</w:t>
            </w:r>
          </w:p>
        </w:tc>
        <w:tc>
          <w:tcPr>
            <w:tcW w:w="2416" w:type="dxa"/>
          </w:tcPr>
          <w:p w14:paraId="640270B2" w14:textId="77777777" w:rsidR="0031401A" w:rsidRPr="00640B5D" w:rsidRDefault="0031401A" w:rsidP="00F35080">
            <w:pPr>
              <w:jc w:val="center"/>
              <w:rPr>
                <w:rFonts w:ascii="Arial" w:hAnsi="Arial" w:cs="Arial"/>
              </w:rPr>
            </w:pPr>
            <w:r w:rsidRPr="00640B5D">
              <w:rPr>
                <w:rFonts w:ascii="Arial" w:hAnsi="Arial" w:cs="Arial"/>
              </w:rPr>
              <w:t>-0.32 (-0.40, -0.24)</w:t>
            </w:r>
          </w:p>
        </w:tc>
      </w:tr>
      <w:tr w:rsidR="0031401A" w:rsidRPr="00640B5D" w14:paraId="187513D0" w14:textId="77777777" w:rsidTr="00F35080">
        <w:tc>
          <w:tcPr>
            <w:tcW w:w="2411" w:type="dxa"/>
          </w:tcPr>
          <w:p w14:paraId="3CA2DA60" w14:textId="77777777" w:rsidR="0031401A" w:rsidRPr="00640B5D" w:rsidRDefault="0031401A" w:rsidP="00F35080">
            <w:pPr>
              <w:rPr>
                <w:rFonts w:ascii="Arial" w:hAnsi="Arial" w:cs="Arial"/>
              </w:rPr>
            </w:pPr>
            <w:r w:rsidRPr="00640B5D">
              <w:rPr>
                <w:rFonts w:ascii="Arial" w:hAnsi="Arial" w:cs="Arial"/>
              </w:rPr>
              <w:t>Week 136 (n=3627)</w:t>
            </w:r>
          </w:p>
        </w:tc>
        <w:tc>
          <w:tcPr>
            <w:tcW w:w="1744" w:type="dxa"/>
          </w:tcPr>
          <w:p w14:paraId="4EA06D84" w14:textId="77777777" w:rsidR="0031401A" w:rsidRPr="00640B5D" w:rsidRDefault="0031401A" w:rsidP="00F35080">
            <w:pPr>
              <w:jc w:val="center"/>
              <w:rPr>
                <w:rFonts w:ascii="Arial" w:hAnsi="Arial" w:cs="Arial"/>
              </w:rPr>
            </w:pPr>
            <w:r w:rsidRPr="00640B5D">
              <w:rPr>
                <w:rFonts w:ascii="Arial" w:hAnsi="Arial" w:cs="Arial"/>
              </w:rPr>
              <w:t>-0.30 (0.03)</w:t>
            </w:r>
          </w:p>
        </w:tc>
        <w:tc>
          <w:tcPr>
            <w:tcW w:w="1744" w:type="dxa"/>
          </w:tcPr>
          <w:p w14:paraId="7B963638" w14:textId="77777777" w:rsidR="0031401A" w:rsidRPr="00640B5D" w:rsidRDefault="0031401A" w:rsidP="00F35080">
            <w:pPr>
              <w:jc w:val="center"/>
              <w:rPr>
                <w:rFonts w:ascii="Arial" w:hAnsi="Arial" w:cs="Arial"/>
              </w:rPr>
            </w:pPr>
            <w:r w:rsidRPr="00640B5D">
              <w:rPr>
                <w:rFonts w:ascii="Arial" w:hAnsi="Arial" w:cs="Arial"/>
              </w:rPr>
              <w:t>-0.27 (0.03)</w:t>
            </w:r>
          </w:p>
        </w:tc>
        <w:tc>
          <w:tcPr>
            <w:tcW w:w="1744" w:type="dxa"/>
          </w:tcPr>
          <w:p w14:paraId="4CAAF74E" w14:textId="77777777" w:rsidR="0031401A" w:rsidRPr="00640B5D" w:rsidRDefault="0031401A" w:rsidP="00F35080">
            <w:pPr>
              <w:jc w:val="center"/>
              <w:rPr>
                <w:rFonts w:ascii="Arial" w:hAnsi="Arial" w:cs="Arial"/>
              </w:rPr>
            </w:pPr>
            <w:r w:rsidRPr="00640B5D">
              <w:rPr>
                <w:rFonts w:ascii="Arial" w:hAnsi="Arial" w:cs="Arial"/>
              </w:rPr>
              <w:t>0.03 (0.03)</w:t>
            </w:r>
          </w:p>
        </w:tc>
        <w:tc>
          <w:tcPr>
            <w:tcW w:w="2416" w:type="dxa"/>
          </w:tcPr>
          <w:p w14:paraId="55DE5A01" w14:textId="77777777" w:rsidR="0031401A" w:rsidRPr="00640B5D" w:rsidRDefault="0031401A" w:rsidP="00F35080">
            <w:pPr>
              <w:jc w:val="center"/>
              <w:rPr>
                <w:rFonts w:ascii="Arial" w:hAnsi="Arial" w:cs="Arial"/>
              </w:rPr>
            </w:pPr>
            <w:r w:rsidRPr="00640B5D">
              <w:rPr>
                <w:rFonts w:ascii="Arial" w:hAnsi="Arial" w:cs="Arial"/>
              </w:rPr>
              <w:t>-0.32 (-0.41, -0.24)</w:t>
            </w:r>
          </w:p>
        </w:tc>
        <w:tc>
          <w:tcPr>
            <w:tcW w:w="2416" w:type="dxa"/>
          </w:tcPr>
          <w:p w14:paraId="4E2FBD11" w14:textId="77777777" w:rsidR="0031401A" w:rsidRPr="00640B5D" w:rsidRDefault="0031401A" w:rsidP="00F35080">
            <w:pPr>
              <w:jc w:val="center"/>
              <w:rPr>
                <w:rFonts w:ascii="Arial" w:hAnsi="Arial" w:cs="Arial"/>
              </w:rPr>
            </w:pPr>
            <w:r w:rsidRPr="00640B5D">
              <w:rPr>
                <w:rFonts w:ascii="Arial" w:hAnsi="Arial" w:cs="Arial"/>
              </w:rPr>
              <w:t>-0.29 (-0.38, -0.21)</w:t>
            </w:r>
          </w:p>
        </w:tc>
      </w:tr>
      <w:tr w:rsidR="0031401A" w:rsidRPr="00640B5D" w14:paraId="6517DFD0" w14:textId="77777777" w:rsidTr="00F35080">
        <w:tc>
          <w:tcPr>
            <w:tcW w:w="2411" w:type="dxa"/>
          </w:tcPr>
          <w:p w14:paraId="5E85D5D9" w14:textId="77777777" w:rsidR="0031401A" w:rsidRPr="00640B5D" w:rsidRDefault="0031401A" w:rsidP="00F35080">
            <w:pPr>
              <w:rPr>
                <w:rFonts w:ascii="Arial" w:hAnsi="Arial" w:cs="Arial"/>
              </w:rPr>
            </w:pPr>
            <w:r w:rsidRPr="00640B5D">
              <w:rPr>
                <w:rFonts w:ascii="Arial" w:hAnsi="Arial" w:cs="Arial"/>
              </w:rPr>
              <w:t>Week 150 (n=3218)</w:t>
            </w:r>
          </w:p>
        </w:tc>
        <w:tc>
          <w:tcPr>
            <w:tcW w:w="1744" w:type="dxa"/>
          </w:tcPr>
          <w:p w14:paraId="4F69C404" w14:textId="77777777" w:rsidR="0031401A" w:rsidRPr="00640B5D" w:rsidRDefault="0031401A" w:rsidP="00F35080">
            <w:pPr>
              <w:jc w:val="center"/>
              <w:rPr>
                <w:rFonts w:ascii="Arial" w:hAnsi="Arial" w:cs="Arial"/>
              </w:rPr>
            </w:pPr>
            <w:r w:rsidRPr="00640B5D">
              <w:rPr>
                <w:rFonts w:ascii="Arial" w:hAnsi="Arial" w:cs="Arial"/>
              </w:rPr>
              <w:t>-0.31 (0.03)</w:t>
            </w:r>
          </w:p>
        </w:tc>
        <w:tc>
          <w:tcPr>
            <w:tcW w:w="1744" w:type="dxa"/>
          </w:tcPr>
          <w:p w14:paraId="2791B3A8" w14:textId="77777777" w:rsidR="0031401A" w:rsidRPr="00640B5D" w:rsidRDefault="0031401A" w:rsidP="00F35080">
            <w:pPr>
              <w:jc w:val="center"/>
              <w:rPr>
                <w:rFonts w:ascii="Arial" w:hAnsi="Arial" w:cs="Arial"/>
              </w:rPr>
            </w:pPr>
            <w:r w:rsidRPr="00640B5D">
              <w:rPr>
                <w:rFonts w:ascii="Arial" w:hAnsi="Arial" w:cs="Arial"/>
              </w:rPr>
              <w:t>-0.29 (0.03)</w:t>
            </w:r>
          </w:p>
        </w:tc>
        <w:tc>
          <w:tcPr>
            <w:tcW w:w="1744" w:type="dxa"/>
          </w:tcPr>
          <w:p w14:paraId="1BA60495" w14:textId="77777777" w:rsidR="0031401A" w:rsidRPr="00640B5D" w:rsidRDefault="0031401A" w:rsidP="00F35080">
            <w:pPr>
              <w:jc w:val="center"/>
              <w:rPr>
                <w:rFonts w:ascii="Arial" w:hAnsi="Arial" w:cs="Arial"/>
              </w:rPr>
            </w:pPr>
            <w:r w:rsidRPr="00640B5D">
              <w:rPr>
                <w:rFonts w:ascii="Arial" w:hAnsi="Arial" w:cs="Arial"/>
              </w:rPr>
              <w:t>0.02 (0.03)</w:t>
            </w:r>
          </w:p>
        </w:tc>
        <w:tc>
          <w:tcPr>
            <w:tcW w:w="2416" w:type="dxa"/>
          </w:tcPr>
          <w:p w14:paraId="4B0A85B8" w14:textId="77777777" w:rsidR="0031401A" w:rsidRPr="00640B5D" w:rsidRDefault="0031401A" w:rsidP="00F35080">
            <w:pPr>
              <w:jc w:val="center"/>
              <w:rPr>
                <w:rFonts w:ascii="Arial" w:hAnsi="Arial" w:cs="Arial"/>
              </w:rPr>
            </w:pPr>
            <w:r w:rsidRPr="00640B5D">
              <w:rPr>
                <w:rFonts w:ascii="Arial" w:hAnsi="Arial" w:cs="Arial"/>
              </w:rPr>
              <w:t>-0.33 (-0.42, -0.24)</w:t>
            </w:r>
          </w:p>
        </w:tc>
        <w:tc>
          <w:tcPr>
            <w:tcW w:w="2416" w:type="dxa"/>
          </w:tcPr>
          <w:p w14:paraId="6DB8C985" w14:textId="77777777" w:rsidR="0031401A" w:rsidRPr="00640B5D" w:rsidRDefault="0031401A" w:rsidP="00F35080">
            <w:pPr>
              <w:jc w:val="center"/>
              <w:rPr>
                <w:rFonts w:ascii="Arial" w:hAnsi="Arial" w:cs="Arial"/>
              </w:rPr>
            </w:pPr>
            <w:r w:rsidRPr="00640B5D">
              <w:rPr>
                <w:rFonts w:ascii="Arial" w:hAnsi="Arial" w:cs="Arial"/>
              </w:rPr>
              <w:t>-0.31 (-0.39, -0.22)</w:t>
            </w:r>
          </w:p>
        </w:tc>
      </w:tr>
      <w:tr w:rsidR="0031401A" w:rsidRPr="00640B5D" w14:paraId="7B728BB0" w14:textId="77777777" w:rsidTr="00F35080">
        <w:tc>
          <w:tcPr>
            <w:tcW w:w="2411" w:type="dxa"/>
          </w:tcPr>
          <w:p w14:paraId="5FF20900" w14:textId="77777777" w:rsidR="0031401A" w:rsidRPr="00640B5D" w:rsidRDefault="0031401A" w:rsidP="00F35080">
            <w:pPr>
              <w:rPr>
                <w:rFonts w:ascii="Arial" w:hAnsi="Arial" w:cs="Arial"/>
              </w:rPr>
            </w:pPr>
            <w:r w:rsidRPr="00640B5D">
              <w:rPr>
                <w:rFonts w:ascii="Arial" w:hAnsi="Arial" w:cs="Arial"/>
              </w:rPr>
              <w:t>Week 164 (n=2800)</w:t>
            </w:r>
          </w:p>
        </w:tc>
        <w:tc>
          <w:tcPr>
            <w:tcW w:w="1744" w:type="dxa"/>
          </w:tcPr>
          <w:p w14:paraId="6350280E" w14:textId="77777777" w:rsidR="0031401A" w:rsidRPr="00640B5D" w:rsidRDefault="0031401A" w:rsidP="00F35080">
            <w:pPr>
              <w:jc w:val="center"/>
              <w:rPr>
                <w:rFonts w:ascii="Arial" w:hAnsi="Arial" w:cs="Arial"/>
              </w:rPr>
            </w:pPr>
            <w:r w:rsidRPr="00640B5D">
              <w:rPr>
                <w:rFonts w:ascii="Arial" w:hAnsi="Arial" w:cs="Arial"/>
              </w:rPr>
              <w:t>-0.29 (0.03)</w:t>
            </w:r>
          </w:p>
        </w:tc>
        <w:tc>
          <w:tcPr>
            <w:tcW w:w="1744" w:type="dxa"/>
          </w:tcPr>
          <w:p w14:paraId="151D7FE0" w14:textId="77777777" w:rsidR="0031401A" w:rsidRPr="00640B5D" w:rsidRDefault="0031401A" w:rsidP="00F35080">
            <w:pPr>
              <w:jc w:val="center"/>
              <w:rPr>
                <w:rFonts w:ascii="Arial" w:hAnsi="Arial" w:cs="Arial"/>
              </w:rPr>
            </w:pPr>
            <w:r w:rsidRPr="00640B5D">
              <w:rPr>
                <w:rFonts w:ascii="Arial" w:hAnsi="Arial" w:cs="Arial"/>
              </w:rPr>
              <w:t>-0.29 (0.03)</w:t>
            </w:r>
          </w:p>
        </w:tc>
        <w:tc>
          <w:tcPr>
            <w:tcW w:w="1744" w:type="dxa"/>
          </w:tcPr>
          <w:p w14:paraId="27BF5F3C" w14:textId="77777777" w:rsidR="0031401A" w:rsidRPr="00640B5D" w:rsidRDefault="0031401A" w:rsidP="00F35080">
            <w:pPr>
              <w:jc w:val="center"/>
              <w:rPr>
                <w:rFonts w:ascii="Arial" w:hAnsi="Arial" w:cs="Arial"/>
              </w:rPr>
            </w:pPr>
            <w:r w:rsidRPr="00640B5D">
              <w:rPr>
                <w:rFonts w:ascii="Arial" w:hAnsi="Arial" w:cs="Arial"/>
              </w:rPr>
              <w:t>0.03 (0.04)</w:t>
            </w:r>
          </w:p>
        </w:tc>
        <w:tc>
          <w:tcPr>
            <w:tcW w:w="2416" w:type="dxa"/>
          </w:tcPr>
          <w:p w14:paraId="73B556BD" w14:textId="77777777" w:rsidR="0031401A" w:rsidRPr="00640B5D" w:rsidRDefault="0031401A" w:rsidP="00F35080">
            <w:pPr>
              <w:jc w:val="center"/>
              <w:rPr>
                <w:rFonts w:ascii="Arial" w:hAnsi="Arial" w:cs="Arial"/>
              </w:rPr>
            </w:pPr>
            <w:r w:rsidRPr="00640B5D">
              <w:rPr>
                <w:rFonts w:ascii="Arial" w:hAnsi="Arial" w:cs="Arial"/>
              </w:rPr>
              <w:t>-0.32 (-0.42, -0.23)</w:t>
            </w:r>
          </w:p>
        </w:tc>
        <w:tc>
          <w:tcPr>
            <w:tcW w:w="2416" w:type="dxa"/>
          </w:tcPr>
          <w:p w14:paraId="0ECD779D" w14:textId="77777777" w:rsidR="0031401A" w:rsidRPr="00640B5D" w:rsidRDefault="0031401A" w:rsidP="00F35080">
            <w:pPr>
              <w:jc w:val="center"/>
              <w:rPr>
                <w:rFonts w:ascii="Arial" w:hAnsi="Arial" w:cs="Arial"/>
              </w:rPr>
            </w:pPr>
            <w:r w:rsidRPr="00640B5D">
              <w:rPr>
                <w:rFonts w:ascii="Arial" w:hAnsi="Arial" w:cs="Arial"/>
              </w:rPr>
              <w:t>-0.33 (-0.42, -0.23)</w:t>
            </w:r>
          </w:p>
        </w:tc>
      </w:tr>
      <w:tr w:rsidR="0031401A" w:rsidRPr="00640B5D" w14:paraId="41003FBD" w14:textId="77777777" w:rsidTr="00F35080">
        <w:tc>
          <w:tcPr>
            <w:tcW w:w="2411" w:type="dxa"/>
          </w:tcPr>
          <w:p w14:paraId="7465CDFA" w14:textId="77777777" w:rsidR="0031401A" w:rsidRPr="00640B5D" w:rsidRDefault="0031401A" w:rsidP="00F35080">
            <w:pPr>
              <w:rPr>
                <w:rFonts w:ascii="Arial" w:hAnsi="Arial" w:cs="Arial"/>
              </w:rPr>
            </w:pPr>
            <w:r w:rsidRPr="00640B5D">
              <w:rPr>
                <w:rFonts w:ascii="Arial" w:hAnsi="Arial" w:cs="Arial"/>
              </w:rPr>
              <w:t>Week 178 (n=2049)</w:t>
            </w:r>
          </w:p>
        </w:tc>
        <w:tc>
          <w:tcPr>
            <w:tcW w:w="1744" w:type="dxa"/>
          </w:tcPr>
          <w:p w14:paraId="009BF785" w14:textId="77777777" w:rsidR="0031401A" w:rsidRPr="00640B5D" w:rsidRDefault="0031401A" w:rsidP="00F35080">
            <w:pPr>
              <w:jc w:val="center"/>
              <w:rPr>
                <w:rFonts w:ascii="Arial" w:hAnsi="Arial" w:cs="Arial"/>
              </w:rPr>
            </w:pPr>
            <w:r w:rsidRPr="00640B5D">
              <w:rPr>
                <w:rFonts w:ascii="Arial" w:hAnsi="Arial" w:cs="Arial"/>
              </w:rPr>
              <w:t>-0.32 (0.04)</w:t>
            </w:r>
          </w:p>
        </w:tc>
        <w:tc>
          <w:tcPr>
            <w:tcW w:w="1744" w:type="dxa"/>
          </w:tcPr>
          <w:p w14:paraId="7A735AFE" w14:textId="77777777" w:rsidR="0031401A" w:rsidRPr="00640B5D" w:rsidRDefault="0031401A" w:rsidP="00F35080">
            <w:pPr>
              <w:jc w:val="center"/>
              <w:rPr>
                <w:rFonts w:ascii="Arial" w:hAnsi="Arial" w:cs="Arial"/>
              </w:rPr>
            </w:pPr>
            <w:r w:rsidRPr="00640B5D">
              <w:rPr>
                <w:rFonts w:ascii="Arial" w:hAnsi="Arial" w:cs="Arial"/>
              </w:rPr>
              <w:t>-0.31 (0.04)</w:t>
            </w:r>
          </w:p>
        </w:tc>
        <w:tc>
          <w:tcPr>
            <w:tcW w:w="1744" w:type="dxa"/>
          </w:tcPr>
          <w:p w14:paraId="3676AC86" w14:textId="77777777" w:rsidR="0031401A" w:rsidRPr="00640B5D" w:rsidRDefault="0031401A" w:rsidP="00F35080">
            <w:pPr>
              <w:jc w:val="center"/>
              <w:rPr>
                <w:rFonts w:ascii="Arial" w:hAnsi="Arial" w:cs="Arial"/>
              </w:rPr>
            </w:pPr>
            <w:r w:rsidRPr="00640B5D">
              <w:rPr>
                <w:rFonts w:ascii="Arial" w:hAnsi="Arial" w:cs="Arial"/>
              </w:rPr>
              <w:t>-0.02 (0.04)</w:t>
            </w:r>
          </w:p>
        </w:tc>
        <w:tc>
          <w:tcPr>
            <w:tcW w:w="2416" w:type="dxa"/>
          </w:tcPr>
          <w:p w14:paraId="01C5656D" w14:textId="77777777" w:rsidR="0031401A" w:rsidRPr="00640B5D" w:rsidRDefault="0031401A" w:rsidP="00F35080">
            <w:pPr>
              <w:jc w:val="center"/>
              <w:rPr>
                <w:rFonts w:ascii="Arial" w:hAnsi="Arial" w:cs="Arial"/>
              </w:rPr>
            </w:pPr>
            <w:r w:rsidRPr="00640B5D">
              <w:rPr>
                <w:rFonts w:ascii="Arial" w:hAnsi="Arial" w:cs="Arial"/>
              </w:rPr>
              <w:t>-0.30 (-0.41, -0.20)</w:t>
            </w:r>
          </w:p>
        </w:tc>
        <w:tc>
          <w:tcPr>
            <w:tcW w:w="2416" w:type="dxa"/>
          </w:tcPr>
          <w:p w14:paraId="0CD0CAC9" w14:textId="77777777" w:rsidR="0031401A" w:rsidRPr="00640B5D" w:rsidRDefault="0031401A" w:rsidP="00F35080">
            <w:pPr>
              <w:jc w:val="center"/>
              <w:rPr>
                <w:rFonts w:ascii="Arial" w:hAnsi="Arial" w:cs="Arial"/>
              </w:rPr>
            </w:pPr>
            <w:r w:rsidRPr="00640B5D">
              <w:rPr>
                <w:rFonts w:ascii="Arial" w:hAnsi="Arial" w:cs="Arial"/>
              </w:rPr>
              <w:t>-0.29 (-0.40, -0.18)</w:t>
            </w:r>
          </w:p>
        </w:tc>
      </w:tr>
      <w:tr w:rsidR="0031401A" w:rsidRPr="00640B5D" w14:paraId="20307D9A" w14:textId="77777777" w:rsidTr="00F35080">
        <w:tc>
          <w:tcPr>
            <w:tcW w:w="2411" w:type="dxa"/>
          </w:tcPr>
          <w:p w14:paraId="419A0167" w14:textId="77777777" w:rsidR="0031401A" w:rsidRPr="00640B5D" w:rsidRDefault="0031401A" w:rsidP="00F35080">
            <w:pPr>
              <w:rPr>
                <w:rFonts w:ascii="Arial" w:hAnsi="Arial" w:cs="Arial"/>
              </w:rPr>
            </w:pPr>
            <w:r w:rsidRPr="00640B5D">
              <w:rPr>
                <w:rFonts w:ascii="Arial" w:hAnsi="Arial" w:cs="Arial"/>
              </w:rPr>
              <w:t>Week 192 (n=1272)</w:t>
            </w:r>
          </w:p>
        </w:tc>
        <w:tc>
          <w:tcPr>
            <w:tcW w:w="1744" w:type="dxa"/>
          </w:tcPr>
          <w:p w14:paraId="4C34AF79" w14:textId="77777777" w:rsidR="0031401A" w:rsidRPr="00640B5D" w:rsidRDefault="0031401A" w:rsidP="00F35080">
            <w:pPr>
              <w:jc w:val="center"/>
              <w:rPr>
                <w:rFonts w:ascii="Arial" w:hAnsi="Arial" w:cs="Arial"/>
              </w:rPr>
            </w:pPr>
            <w:r w:rsidRPr="00640B5D">
              <w:rPr>
                <w:rFonts w:ascii="Arial" w:hAnsi="Arial" w:cs="Arial"/>
              </w:rPr>
              <w:t>-0.38 (0.04)</w:t>
            </w:r>
          </w:p>
        </w:tc>
        <w:tc>
          <w:tcPr>
            <w:tcW w:w="1744" w:type="dxa"/>
          </w:tcPr>
          <w:p w14:paraId="1C3C93BE" w14:textId="77777777" w:rsidR="0031401A" w:rsidRPr="00640B5D" w:rsidRDefault="0031401A" w:rsidP="00F35080">
            <w:pPr>
              <w:jc w:val="center"/>
              <w:rPr>
                <w:rFonts w:ascii="Arial" w:hAnsi="Arial" w:cs="Arial"/>
              </w:rPr>
            </w:pPr>
            <w:r w:rsidRPr="00640B5D">
              <w:rPr>
                <w:rFonts w:ascii="Arial" w:hAnsi="Arial" w:cs="Arial"/>
              </w:rPr>
              <w:t>-0.29 (0.04)</w:t>
            </w:r>
          </w:p>
        </w:tc>
        <w:tc>
          <w:tcPr>
            <w:tcW w:w="1744" w:type="dxa"/>
          </w:tcPr>
          <w:p w14:paraId="5AFCB13F" w14:textId="77777777" w:rsidR="0031401A" w:rsidRPr="00640B5D" w:rsidRDefault="0031401A" w:rsidP="00F35080">
            <w:pPr>
              <w:jc w:val="center"/>
              <w:rPr>
                <w:rFonts w:ascii="Arial" w:hAnsi="Arial" w:cs="Arial"/>
              </w:rPr>
            </w:pPr>
            <w:r w:rsidRPr="00640B5D">
              <w:rPr>
                <w:rFonts w:ascii="Arial" w:hAnsi="Arial" w:cs="Arial"/>
              </w:rPr>
              <w:t>-0.10 (0.05)</w:t>
            </w:r>
          </w:p>
        </w:tc>
        <w:tc>
          <w:tcPr>
            <w:tcW w:w="2416" w:type="dxa"/>
          </w:tcPr>
          <w:p w14:paraId="2B2893D5" w14:textId="77777777" w:rsidR="0031401A" w:rsidRPr="00640B5D" w:rsidRDefault="0031401A" w:rsidP="00F35080">
            <w:pPr>
              <w:jc w:val="center"/>
              <w:rPr>
                <w:rFonts w:ascii="Arial" w:hAnsi="Arial" w:cs="Arial"/>
              </w:rPr>
            </w:pPr>
            <w:r w:rsidRPr="00640B5D">
              <w:rPr>
                <w:rFonts w:ascii="Arial" w:hAnsi="Arial" w:cs="Arial"/>
              </w:rPr>
              <w:t>-0.29 (-0.41, -0.16)</w:t>
            </w:r>
          </w:p>
        </w:tc>
        <w:tc>
          <w:tcPr>
            <w:tcW w:w="2416" w:type="dxa"/>
          </w:tcPr>
          <w:p w14:paraId="4EBC12F7" w14:textId="77777777" w:rsidR="0031401A" w:rsidRPr="00640B5D" w:rsidRDefault="0031401A" w:rsidP="00F35080">
            <w:pPr>
              <w:jc w:val="center"/>
              <w:rPr>
                <w:rFonts w:ascii="Arial" w:hAnsi="Arial" w:cs="Arial"/>
              </w:rPr>
            </w:pPr>
            <w:r w:rsidRPr="00640B5D">
              <w:rPr>
                <w:rFonts w:ascii="Arial" w:hAnsi="Arial" w:cs="Arial"/>
              </w:rPr>
              <w:t>-0.19 (-0.31, -0.07)</w:t>
            </w:r>
          </w:p>
        </w:tc>
      </w:tr>
      <w:tr w:rsidR="0031401A" w:rsidRPr="00640B5D" w14:paraId="53802925" w14:textId="77777777" w:rsidTr="00F35080">
        <w:tc>
          <w:tcPr>
            <w:tcW w:w="2411" w:type="dxa"/>
          </w:tcPr>
          <w:p w14:paraId="7F4F37B0" w14:textId="77777777" w:rsidR="0031401A" w:rsidRPr="00640B5D" w:rsidRDefault="0031401A" w:rsidP="00F35080">
            <w:pPr>
              <w:rPr>
                <w:rFonts w:ascii="Arial" w:hAnsi="Arial" w:cs="Arial"/>
              </w:rPr>
            </w:pPr>
            <w:r w:rsidRPr="00640B5D">
              <w:rPr>
                <w:rFonts w:ascii="Arial" w:hAnsi="Arial" w:cs="Arial"/>
              </w:rPr>
              <w:t>Week 206 (n=463)</w:t>
            </w:r>
          </w:p>
        </w:tc>
        <w:tc>
          <w:tcPr>
            <w:tcW w:w="1744" w:type="dxa"/>
          </w:tcPr>
          <w:p w14:paraId="1D18445D" w14:textId="77777777" w:rsidR="0031401A" w:rsidRPr="00640B5D" w:rsidRDefault="0031401A" w:rsidP="00F35080">
            <w:pPr>
              <w:jc w:val="center"/>
              <w:rPr>
                <w:rFonts w:ascii="Arial" w:hAnsi="Arial" w:cs="Arial"/>
              </w:rPr>
            </w:pPr>
            <w:r w:rsidRPr="00640B5D">
              <w:rPr>
                <w:rFonts w:ascii="Arial" w:hAnsi="Arial" w:cs="Arial"/>
              </w:rPr>
              <w:t>-0.36 (0.07)</w:t>
            </w:r>
          </w:p>
        </w:tc>
        <w:tc>
          <w:tcPr>
            <w:tcW w:w="1744" w:type="dxa"/>
          </w:tcPr>
          <w:p w14:paraId="47036D24" w14:textId="77777777" w:rsidR="0031401A" w:rsidRPr="00640B5D" w:rsidRDefault="0031401A" w:rsidP="00F35080">
            <w:pPr>
              <w:jc w:val="center"/>
              <w:rPr>
                <w:rFonts w:ascii="Arial" w:hAnsi="Arial" w:cs="Arial"/>
              </w:rPr>
            </w:pPr>
            <w:r w:rsidRPr="00640B5D">
              <w:rPr>
                <w:rFonts w:ascii="Arial" w:hAnsi="Arial" w:cs="Arial"/>
              </w:rPr>
              <w:t>-0.27 (0.06)</w:t>
            </w:r>
          </w:p>
        </w:tc>
        <w:tc>
          <w:tcPr>
            <w:tcW w:w="1744" w:type="dxa"/>
          </w:tcPr>
          <w:p w14:paraId="697ED13F" w14:textId="77777777" w:rsidR="0031401A" w:rsidRPr="00640B5D" w:rsidRDefault="0031401A" w:rsidP="00F35080">
            <w:pPr>
              <w:jc w:val="center"/>
              <w:rPr>
                <w:rFonts w:ascii="Arial" w:hAnsi="Arial" w:cs="Arial"/>
              </w:rPr>
            </w:pPr>
            <w:r w:rsidRPr="00640B5D">
              <w:rPr>
                <w:rFonts w:ascii="Arial" w:hAnsi="Arial" w:cs="Arial"/>
              </w:rPr>
              <w:t>0.10 (0.07)</w:t>
            </w:r>
          </w:p>
        </w:tc>
        <w:tc>
          <w:tcPr>
            <w:tcW w:w="2416" w:type="dxa"/>
          </w:tcPr>
          <w:p w14:paraId="412E4F8E" w14:textId="77777777" w:rsidR="0031401A" w:rsidRPr="00640B5D" w:rsidRDefault="0031401A" w:rsidP="00F35080">
            <w:pPr>
              <w:jc w:val="center"/>
              <w:rPr>
                <w:rFonts w:ascii="Arial" w:hAnsi="Arial" w:cs="Arial"/>
              </w:rPr>
            </w:pPr>
            <w:r w:rsidRPr="00640B5D">
              <w:rPr>
                <w:rFonts w:ascii="Arial" w:hAnsi="Arial" w:cs="Arial"/>
              </w:rPr>
              <w:t>-0.47 (-0.66, -0.27)</w:t>
            </w:r>
          </w:p>
        </w:tc>
        <w:tc>
          <w:tcPr>
            <w:tcW w:w="2416" w:type="dxa"/>
          </w:tcPr>
          <w:p w14:paraId="28AEC31E" w14:textId="77777777" w:rsidR="0031401A" w:rsidRPr="00640B5D" w:rsidRDefault="0031401A" w:rsidP="00F35080">
            <w:pPr>
              <w:jc w:val="center"/>
              <w:rPr>
                <w:rFonts w:ascii="Arial" w:hAnsi="Arial" w:cs="Arial"/>
              </w:rPr>
            </w:pPr>
            <w:r w:rsidRPr="00640B5D">
              <w:rPr>
                <w:rFonts w:ascii="Arial" w:hAnsi="Arial" w:cs="Arial"/>
              </w:rPr>
              <w:t>-0.38 (-0.57, -0.18)</w:t>
            </w:r>
          </w:p>
        </w:tc>
      </w:tr>
    </w:tbl>
    <w:p w14:paraId="76B742B6" w14:textId="77777777" w:rsidR="0031401A" w:rsidRPr="00640B5D" w:rsidRDefault="0031401A" w:rsidP="0031401A">
      <w:pPr>
        <w:ind w:right="769"/>
        <w:rPr>
          <w:rFonts w:ascii="Arial" w:hAnsi="Arial" w:cs="Arial"/>
        </w:rPr>
      </w:pPr>
      <w:r w:rsidRPr="00640B5D">
        <w:rPr>
          <w:rFonts w:ascii="Arial" w:hAnsi="Arial" w:cs="Arial"/>
        </w:rPr>
        <w:t>Adjusted mean (SE) changes from baseline based on MMRM analyses, that included continuous fixed effects of baseline uric acid and baseline HbA1c at each visit and discrete fixed effects for treatment at each visit, region, baseline eGFR, baseline BMI and last projected visit.</w:t>
      </w:r>
      <w:r w:rsidRPr="00640B5D">
        <w:rPr>
          <w:rFonts w:ascii="Arial" w:hAnsi="Arial" w:cs="Arial"/>
        </w:rPr>
        <w:br/>
        <w:t>BMI=body-mass-index; eGFR=estimated glomerular filtration rate; HbA1c=glycated hemoglobin A1c; UA=uric acid</w:t>
      </w:r>
    </w:p>
    <w:p w14:paraId="6F872AE3" w14:textId="77777777" w:rsidR="0031401A" w:rsidRDefault="0031401A" w:rsidP="0031401A">
      <w:pPr>
        <w:sectPr w:rsidR="0031401A" w:rsidSect="007D57EA">
          <w:pgSz w:w="15840" w:h="12240" w:orient="landscape"/>
          <w:pgMar w:top="1440" w:right="1440" w:bottom="1440" w:left="1440" w:header="708" w:footer="708" w:gutter="0"/>
          <w:cols w:space="708"/>
          <w:docGrid w:linePitch="360"/>
        </w:sectPr>
      </w:pPr>
    </w:p>
    <w:p w14:paraId="2F854086" w14:textId="77777777" w:rsidR="0031401A" w:rsidRDefault="0031401A" w:rsidP="0031401A">
      <w:pPr>
        <w:spacing w:after="120"/>
        <w:ind w:right="911"/>
        <w:jc w:val="both"/>
        <w:rPr>
          <w:rFonts w:ascii="Arial" w:hAnsi="Arial" w:cs="Arial"/>
          <w:b/>
          <w:bCs/>
        </w:rPr>
      </w:pPr>
      <w:r>
        <w:rPr>
          <w:rFonts w:ascii="Arial" w:hAnsi="Arial" w:cs="Arial"/>
          <w:b/>
          <w:bCs/>
        </w:rPr>
        <w:lastRenderedPageBreak/>
        <w:t xml:space="preserve">Supplemental </w:t>
      </w:r>
      <w:r w:rsidRPr="00830DC5">
        <w:rPr>
          <w:rFonts w:ascii="Arial" w:hAnsi="Arial" w:cs="Arial"/>
          <w:b/>
          <w:bCs/>
        </w:rPr>
        <w:t xml:space="preserve">Table </w:t>
      </w:r>
      <w:r>
        <w:rPr>
          <w:rFonts w:ascii="Arial" w:hAnsi="Arial" w:cs="Arial"/>
          <w:b/>
          <w:bCs/>
        </w:rPr>
        <w:t>3</w:t>
      </w:r>
      <w:r w:rsidRPr="00830DC5">
        <w:rPr>
          <w:rFonts w:ascii="Arial" w:hAnsi="Arial" w:cs="Arial"/>
          <w:b/>
          <w:bCs/>
        </w:rPr>
        <w:t xml:space="preserve">.  </w:t>
      </w:r>
      <w:r>
        <w:rPr>
          <w:rFonts w:ascii="Arial" w:hAnsi="Arial" w:cs="Arial"/>
          <w:b/>
          <w:bCs/>
        </w:rPr>
        <w:t xml:space="preserve">Adjusted mean changes of uric acid levels (mg/dL) over time </w:t>
      </w:r>
      <w:r w:rsidRPr="00404D78">
        <w:rPr>
          <w:rFonts w:ascii="Arial" w:hAnsi="Arial" w:cs="Arial"/>
          <w:b/>
          <w:bCs/>
        </w:rPr>
        <w:t>(on-treatment)</w:t>
      </w:r>
      <w:r>
        <w:rPr>
          <w:rFonts w:ascii="Arial" w:hAnsi="Arial" w:cs="Arial"/>
          <w:b/>
          <w:bCs/>
        </w:rPr>
        <w:t xml:space="preserve"> in the Empagliflozin (10 mg and 25 mg pooled) vs. Placebo group in patients with UA levels &lt; vs.  ≥6.0 mg/dL and &lt; vs. ≥7.0 mg/dL at baseline and by prevalent CKD at baseline</w:t>
      </w:r>
    </w:p>
    <w:tbl>
      <w:tblPr>
        <w:tblStyle w:val="Grilledutableau"/>
        <w:tblW w:w="0" w:type="auto"/>
        <w:tblLook w:val="04A0" w:firstRow="1" w:lastRow="0" w:firstColumn="1" w:lastColumn="0" w:noHBand="0" w:noVBand="1"/>
      </w:tblPr>
      <w:tblGrid>
        <w:gridCol w:w="1254"/>
        <w:gridCol w:w="1917"/>
        <w:gridCol w:w="1917"/>
        <w:gridCol w:w="1917"/>
        <w:gridCol w:w="1917"/>
        <w:gridCol w:w="1917"/>
        <w:gridCol w:w="2111"/>
      </w:tblGrid>
      <w:tr w:rsidR="0031401A" w:rsidRPr="00640B5D" w14:paraId="73FEC239" w14:textId="77777777" w:rsidTr="00F35080">
        <w:tc>
          <w:tcPr>
            <w:tcW w:w="1254" w:type="dxa"/>
          </w:tcPr>
          <w:p w14:paraId="26092A79" w14:textId="77777777" w:rsidR="0031401A" w:rsidRPr="00640B5D" w:rsidRDefault="0031401A" w:rsidP="00F35080">
            <w:pPr>
              <w:rPr>
                <w:rFonts w:ascii="Arial" w:hAnsi="Arial" w:cs="Arial"/>
                <w:sz w:val="20"/>
                <w:szCs w:val="20"/>
              </w:rPr>
            </w:pPr>
            <w:r w:rsidRPr="00640B5D">
              <w:rPr>
                <w:rFonts w:ascii="Arial" w:hAnsi="Arial" w:cs="Arial"/>
                <w:sz w:val="20"/>
                <w:szCs w:val="20"/>
              </w:rPr>
              <w:t>Week (n/o patients analyzed)</w:t>
            </w:r>
          </w:p>
        </w:tc>
        <w:tc>
          <w:tcPr>
            <w:tcW w:w="1917" w:type="dxa"/>
          </w:tcPr>
          <w:p w14:paraId="48AF3CF9"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 UA level &lt;6.0 mg/dL at BL</w:t>
            </w:r>
          </w:p>
          <w:p w14:paraId="05C2EE3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(n=3679)</w:t>
            </w:r>
          </w:p>
        </w:tc>
        <w:tc>
          <w:tcPr>
            <w:tcW w:w="1917" w:type="dxa"/>
          </w:tcPr>
          <w:p w14:paraId="22392140"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 UA level ≥6.0 mg/dL at BL</w:t>
            </w:r>
          </w:p>
          <w:p w14:paraId="04BD5E5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(n=3097)</w:t>
            </w:r>
          </w:p>
        </w:tc>
        <w:tc>
          <w:tcPr>
            <w:tcW w:w="1917" w:type="dxa"/>
          </w:tcPr>
          <w:p w14:paraId="6FD9952F"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 UA level &lt;7.0 mg/dL at BL</w:t>
            </w:r>
          </w:p>
          <w:p w14:paraId="093D1AE6"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(n=5218)</w:t>
            </w:r>
          </w:p>
        </w:tc>
        <w:tc>
          <w:tcPr>
            <w:tcW w:w="1917" w:type="dxa"/>
          </w:tcPr>
          <w:p w14:paraId="083D8F8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 UA level ≥7.0 mg/dL at BL</w:t>
            </w:r>
          </w:p>
          <w:p w14:paraId="3CB8A4D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(n=1558)</w:t>
            </w:r>
          </w:p>
        </w:tc>
        <w:tc>
          <w:tcPr>
            <w:tcW w:w="1917" w:type="dxa"/>
          </w:tcPr>
          <w:p w14:paraId="12994BD7"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without prevalent CKD at BL</w:t>
            </w:r>
          </w:p>
          <w:p w14:paraId="1DFF284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(n=4580)</w:t>
            </w:r>
          </w:p>
        </w:tc>
        <w:tc>
          <w:tcPr>
            <w:tcW w:w="2111" w:type="dxa"/>
          </w:tcPr>
          <w:p w14:paraId="60B84BCF"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Adjusted mean (95%-CI) treatment difference Empagliflozin vs. Placebo in participants with prevalent CKD at BL</w:t>
            </w:r>
          </w:p>
          <w:p w14:paraId="19412A4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(n=2146)</w:t>
            </w:r>
          </w:p>
        </w:tc>
      </w:tr>
      <w:tr w:rsidR="0031401A" w:rsidRPr="00640B5D" w14:paraId="0DA40100" w14:textId="77777777" w:rsidTr="00F35080">
        <w:tc>
          <w:tcPr>
            <w:tcW w:w="1254" w:type="dxa"/>
          </w:tcPr>
          <w:p w14:paraId="0F6DF0E8"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12 </w:t>
            </w:r>
          </w:p>
        </w:tc>
        <w:tc>
          <w:tcPr>
            <w:tcW w:w="1917" w:type="dxa"/>
          </w:tcPr>
          <w:p w14:paraId="07BFB2D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-0.26 (-0.34, -0.19)</w:t>
            </w:r>
          </w:p>
        </w:tc>
        <w:tc>
          <w:tcPr>
            <w:tcW w:w="1917" w:type="dxa"/>
          </w:tcPr>
          <w:p w14:paraId="603CFC0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-0.45 (-0.53, -0.37)</w:t>
            </w:r>
          </w:p>
        </w:tc>
        <w:tc>
          <w:tcPr>
            <w:tcW w:w="1917" w:type="dxa"/>
          </w:tcPr>
          <w:p w14:paraId="1E9CB604"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-0.31 (-0.37, -0.25)</w:t>
            </w:r>
          </w:p>
        </w:tc>
        <w:tc>
          <w:tcPr>
            <w:tcW w:w="1917" w:type="dxa"/>
          </w:tcPr>
          <w:p w14:paraId="7CFF706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-0.48 (-0.59; -0.37)</w:t>
            </w:r>
          </w:p>
        </w:tc>
        <w:tc>
          <w:tcPr>
            <w:tcW w:w="1917" w:type="dxa"/>
          </w:tcPr>
          <w:p w14:paraId="6E87D4B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-0.41 (-0.47, -0.35)</w:t>
            </w:r>
          </w:p>
        </w:tc>
        <w:tc>
          <w:tcPr>
            <w:tcW w:w="2111" w:type="dxa"/>
          </w:tcPr>
          <w:p w14:paraId="6BF769D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-0.23 (-0.32, -0.14)</w:t>
            </w:r>
          </w:p>
        </w:tc>
      </w:tr>
      <w:tr w:rsidR="0031401A" w:rsidRPr="00640B5D" w14:paraId="3E98E12E" w14:textId="77777777" w:rsidTr="00F35080">
        <w:tc>
          <w:tcPr>
            <w:tcW w:w="1254" w:type="dxa"/>
          </w:tcPr>
          <w:p w14:paraId="67C710C6"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28 </w:t>
            </w:r>
          </w:p>
        </w:tc>
        <w:tc>
          <w:tcPr>
            <w:tcW w:w="1917" w:type="dxa"/>
          </w:tcPr>
          <w:p w14:paraId="5ADB6979"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(-0.36, -0.21)</w:t>
            </w:r>
          </w:p>
        </w:tc>
        <w:tc>
          <w:tcPr>
            <w:tcW w:w="1917" w:type="dxa"/>
          </w:tcPr>
          <w:p w14:paraId="2E6A363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-0.52 (-0.60, -0.44)</w:t>
            </w:r>
          </w:p>
        </w:tc>
        <w:tc>
          <w:tcPr>
            <w:tcW w:w="1917" w:type="dxa"/>
          </w:tcPr>
          <w:p w14:paraId="3BAF1EC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-0.33 (-0.39, -0.26)</w:t>
            </w:r>
          </w:p>
        </w:tc>
        <w:tc>
          <w:tcPr>
            <w:tcW w:w="1917" w:type="dxa"/>
          </w:tcPr>
          <w:p w14:paraId="483D35C6"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-0.61 (-0.72; -0.50)</w:t>
            </w:r>
          </w:p>
        </w:tc>
        <w:tc>
          <w:tcPr>
            <w:tcW w:w="1917" w:type="dxa"/>
          </w:tcPr>
          <w:p w14:paraId="6F44D99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-0.44 (-0.50, -0.37)</w:t>
            </w:r>
          </w:p>
        </w:tc>
        <w:tc>
          <w:tcPr>
            <w:tcW w:w="2111" w:type="dxa"/>
          </w:tcPr>
          <w:p w14:paraId="3F5BC4C7"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-0.32 (-0.42, -0.23)</w:t>
            </w:r>
          </w:p>
        </w:tc>
      </w:tr>
      <w:tr w:rsidR="0031401A" w:rsidRPr="00640B5D" w14:paraId="10484440" w14:textId="77777777" w:rsidTr="00F35080">
        <w:tc>
          <w:tcPr>
            <w:tcW w:w="1254" w:type="dxa"/>
          </w:tcPr>
          <w:p w14:paraId="0A038837"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52 </w:t>
            </w:r>
          </w:p>
        </w:tc>
        <w:tc>
          <w:tcPr>
            <w:tcW w:w="1917" w:type="dxa"/>
          </w:tcPr>
          <w:p w14:paraId="448D6C0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(-0.36, -0.20)</w:t>
            </w:r>
          </w:p>
        </w:tc>
        <w:tc>
          <w:tcPr>
            <w:tcW w:w="1917" w:type="dxa"/>
          </w:tcPr>
          <w:p w14:paraId="00768F1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-0.46 (-0.55, -0.38)</w:t>
            </w:r>
          </w:p>
        </w:tc>
        <w:tc>
          <w:tcPr>
            <w:tcW w:w="1917" w:type="dxa"/>
          </w:tcPr>
          <w:p w14:paraId="5F5CBF9F" w14:textId="77777777" w:rsidR="0031401A" w:rsidRPr="00640B5D" w:rsidRDefault="0031401A" w:rsidP="00F35080">
            <w:pPr>
              <w:jc w:val="center"/>
              <w:rPr>
                <w:rFonts w:ascii="Arial" w:hAnsi="Arial" w:cs="Arial"/>
                <w:sz w:val="20"/>
                <w:szCs w:val="20"/>
              </w:rPr>
            </w:pPr>
            <w:bookmarkStart w:id="2" w:name="_Hlk70785043"/>
            <w:r w:rsidRPr="00640B5D">
              <w:rPr>
                <w:rFonts w:ascii="Arial" w:hAnsi="Arial" w:cs="Arial"/>
                <w:sz w:val="20"/>
                <w:szCs w:val="20"/>
              </w:rPr>
              <w:t>-0.30 (-0.37, -0.24)</w:t>
            </w:r>
            <w:bookmarkEnd w:id="2"/>
          </w:p>
        </w:tc>
        <w:tc>
          <w:tcPr>
            <w:tcW w:w="1917" w:type="dxa"/>
          </w:tcPr>
          <w:p w14:paraId="0430152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-0.56 (-0.68; -0.43)</w:t>
            </w:r>
          </w:p>
        </w:tc>
        <w:tc>
          <w:tcPr>
            <w:tcW w:w="1917" w:type="dxa"/>
          </w:tcPr>
          <w:p w14:paraId="43A9193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-0.38 (-0.45, -0.31)</w:t>
            </w:r>
          </w:p>
        </w:tc>
        <w:tc>
          <w:tcPr>
            <w:tcW w:w="2111" w:type="dxa"/>
          </w:tcPr>
          <w:p w14:paraId="49384F5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-0.34 (-0.44, -0.23)</w:t>
            </w:r>
          </w:p>
        </w:tc>
      </w:tr>
      <w:tr w:rsidR="0031401A" w:rsidRPr="00640B5D" w14:paraId="0E7543CC" w14:textId="77777777" w:rsidTr="00F35080">
        <w:tc>
          <w:tcPr>
            <w:tcW w:w="1254" w:type="dxa"/>
          </w:tcPr>
          <w:p w14:paraId="3F6F12F5"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66 </w:t>
            </w:r>
          </w:p>
        </w:tc>
        <w:tc>
          <w:tcPr>
            <w:tcW w:w="1917" w:type="dxa"/>
          </w:tcPr>
          <w:p w14:paraId="23371454"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-0.24 (-0.33, -0.16)</w:t>
            </w:r>
          </w:p>
        </w:tc>
        <w:tc>
          <w:tcPr>
            <w:tcW w:w="1917" w:type="dxa"/>
          </w:tcPr>
          <w:p w14:paraId="13138D6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-0.44 (-0.53, -0.35)</w:t>
            </w:r>
          </w:p>
        </w:tc>
        <w:tc>
          <w:tcPr>
            <w:tcW w:w="1917" w:type="dxa"/>
          </w:tcPr>
          <w:p w14:paraId="70241BF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(-0.35, -0.21)</w:t>
            </w:r>
          </w:p>
        </w:tc>
        <w:tc>
          <w:tcPr>
            <w:tcW w:w="1917" w:type="dxa"/>
          </w:tcPr>
          <w:p w14:paraId="3452402E"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-0.51 (-0.63, -0.38)</w:t>
            </w:r>
          </w:p>
        </w:tc>
        <w:tc>
          <w:tcPr>
            <w:tcW w:w="1917" w:type="dxa"/>
          </w:tcPr>
          <w:p w14:paraId="5274F00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-0.37 (-0.44, -0.30)</w:t>
            </w:r>
          </w:p>
        </w:tc>
        <w:tc>
          <w:tcPr>
            <w:tcW w:w="2111" w:type="dxa"/>
          </w:tcPr>
          <w:p w14:paraId="6B2891F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(-0.38, -0.17)</w:t>
            </w:r>
          </w:p>
        </w:tc>
      </w:tr>
      <w:tr w:rsidR="0031401A" w:rsidRPr="00640B5D" w14:paraId="75ED2E68" w14:textId="77777777" w:rsidTr="00F35080">
        <w:tc>
          <w:tcPr>
            <w:tcW w:w="1254" w:type="dxa"/>
          </w:tcPr>
          <w:p w14:paraId="43B69518"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80 </w:t>
            </w:r>
          </w:p>
        </w:tc>
        <w:tc>
          <w:tcPr>
            <w:tcW w:w="1917" w:type="dxa"/>
          </w:tcPr>
          <w:p w14:paraId="4E828519"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-0.25 (-0.33, -0.16)</w:t>
            </w:r>
          </w:p>
        </w:tc>
        <w:tc>
          <w:tcPr>
            <w:tcW w:w="1917" w:type="dxa"/>
          </w:tcPr>
          <w:p w14:paraId="0038DF96"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-0.38 (-0.47, -0.29)</w:t>
            </w:r>
          </w:p>
        </w:tc>
        <w:tc>
          <w:tcPr>
            <w:tcW w:w="1917" w:type="dxa"/>
          </w:tcPr>
          <w:p w14:paraId="20E6264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-0.27 (-0.34, -0.19)</w:t>
            </w:r>
          </w:p>
        </w:tc>
        <w:tc>
          <w:tcPr>
            <w:tcW w:w="1917" w:type="dxa"/>
          </w:tcPr>
          <w:p w14:paraId="38565E4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-0.45 (-0.58, -0.32)</w:t>
            </w:r>
          </w:p>
        </w:tc>
        <w:tc>
          <w:tcPr>
            <w:tcW w:w="1917" w:type="dxa"/>
          </w:tcPr>
          <w:p w14:paraId="646AFF9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-0.33 (-0.41, -0.26)</w:t>
            </w:r>
          </w:p>
        </w:tc>
        <w:tc>
          <w:tcPr>
            <w:tcW w:w="2111" w:type="dxa"/>
          </w:tcPr>
          <w:p w14:paraId="77DD0A9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(-0.39, -0.17)</w:t>
            </w:r>
          </w:p>
        </w:tc>
      </w:tr>
      <w:tr w:rsidR="0031401A" w:rsidRPr="00640B5D" w14:paraId="7850DBFD" w14:textId="77777777" w:rsidTr="00F35080">
        <w:tc>
          <w:tcPr>
            <w:tcW w:w="1254" w:type="dxa"/>
          </w:tcPr>
          <w:p w14:paraId="271A31E9" w14:textId="77777777" w:rsidR="0031401A" w:rsidRPr="00640B5D" w:rsidRDefault="0031401A" w:rsidP="00F35080">
            <w:pPr>
              <w:rPr>
                <w:rFonts w:ascii="Arial" w:hAnsi="Arial" w:cs="Arial"/>
                <w:sz w:val="20"/>
                <w:szCs w:val="20"/>
              </w:rPr>
            </w:pPr>
            <w:r w:rsidRPr="00640B5D">
              <w:rPr>
                <w:rFonts w:ascii="Arial" w:hAnsi="Arial" w:cs="Arial"/>
                <w:sz w:val="20"/>
                <w:szCs w:val="20"/>
              </w:rPr>
              <w:t>Week 94</w:t>
            </w:r>
          </w:p>
        </w:tc>
        <w:tc>
          <w:tcPr>
            <w:tcW w:w="1917" w:type="dxa"/>
          </w:tcPr>
          <w:p w14:paraId="32F9814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-0.26 (-0.35, -0.18)</w:t>
            </w:r>
          </w:p>
        </w:tc>
        <w:tc>
          <w:tcPr>
            <w:tcW w:w="1917" w:type="dxa"/>
          </w:tcPr>
          <w:p w14:paraId="28E22FA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-0.44 (-0.54, -0.35)</w:t>
            </w:r>
          </w:p>
        </w:tc>
        <w:tc>
          <w:tcPr>
            <w:tcW w:w="1917" w:type="dxa"/>
          </w:tcPr>
          <w:p w14:paraId="084AFAD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-0.30 (-0.38, -0.23)</w:t>
            </w:r>
          </w:p>
        </w:tc>
        <w:tc>
          <w:tcPr>
            <w:tcW w:w="1917" w:type="dxa"/>
          </w:tcPr>
          <w:p w14:paraId="3F86473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-0.47 (-0.61, -0.34)</w:t>
            </w:r>
          </w:p>
        </w:tc>
        <w:tc>
          <w:tcPr>
            <w:tcW w:w="1917" w:type="dxa"/>
          </w:tcPr>
          <w:p w14:paraId="1D67413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-0.33 (-0.41, -0.26)</w:t>
            </w:r>
          </w:p>
        </w:tc>
        <w:tc>
          <w:tcPr>
            <w:tcW w:w="2111" w:type="dxa"/>
          </w:tcPr>
          <w:p w14:paraId="1D3E410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-0.40 (-0.52, -0.29)</w:t>
            </w:r>
          </w:p>
        </w:tc>
      </w:tr>
      <w:tr w:rsidR="0031401A" w:rsidRPr="00640B5D" w14:paraId="53DA0CFC" w14:textId="77777777" w:rsidTr="00F35080">
        <w:tc>
          <w:tcPr>
            <w:tcW w:w="1254" w:type="dxa"/>
          </w:tcPr>
          <w:p w14:paraId="51147930"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108 </w:t>
            </w:r>
          </w:p>
        </w:tc>
        <w:tc>
          <w:tcPr>
            <w:tcW w:w="1917" w:type="dxa"/>
          </w:tcPr>
          <w:p w14:paraId="1979FF1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(-0.38, -0.19)</w:t>
            </w:r>
          </w:p>
        </w:tc>
        <w:tc>
          <w:tcPr>
            <w:tcW w:w="1917" w:type="dxa"/>
          </w:tcPr>
          <w:p w14:paraId="783B778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-0.41 (-0.51, -0.31)</w:t>
            </w:r>
          </w:p>
        </w:tc>
        <w:tc>
          <w:tcPr>
            <w:tcW w:w="1917" w:type="dxa"/>
          </w:tcPr>
          <w:p w14:paraId="1C65915F"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-0.31 (-0.38, -0.23)</w:t>
            </w:r>
          </w:p>
        </w:tc>
        <w:tc>
          <w:tcPr>
            <w:tcW w:w="1917" w:type="dxa"/>
          </w:tcPr>
          <w:p w14:paraId="7F86B1D0"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-0.46 (-0.59, -0.32)</w:t>
            </w:r>
          </w:p>
        </w:tc>
        <w:tc>
          <w:tcPr>
            <w:tcW w:w="1917" w:type="dxa"/>
          </w:tcPr>
          <w:p w14:paraId="6D6083A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-0.36 (-0.44, -0.28)</w:t>
            </w:r>
          </w:p>
        </w:tc>
        <w:tc>
          <w:tcPr>
            <w:tcW w:w="2111" w:type="dxa"/>
          </w:tcPr>
          <w:p w14:paraId="2AA69620"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-0.34 (-0.45, -0.22)</w:t>
            </w:r>
          </w:p>
        </w:tc>
      </w:tr>
      <w:tr w:rsidR="0031401A" w:rsidRPr="00640B5D" w14:paraId="310F71D3" w14:textId="77777777" w:rsidTr="00F35080">
        <w:tc>
          <w:tcPr>
            <w:tcW w:w="1254" w:type="dxa"/>
          </w:tcPr>
          <w:p w14:paraId="6F3104B3"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122 </w:t>
            </w:r>
          </w:p>
        </w:tc>
        <w:tc>
          <w:tcPr>
            <w:tcW w:w="1917" w:type="dxa"/>
          </w:tcPr>
          <w:p w14:paraId="468E291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-0.23 (-0.33, -0.13)</w:t>
            </w:r>
          </w:p>
        </w:tc>
        <w:tc>
          <w:tcPr>
            <w:tcW w:w="1917" w:type="dxa"/>
          </w:tcPr>
          <w:p w14:paraId="56CBE82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-0.46 (-0.57, -0.35)</w:t>
            </w:r>
          </w:p>
        </w:tc>
        <w:tc>
          <w:tcPr>
            <w:tcW w:w="1917" w:type="dxa"/>
          </w:tcPr>
          <w:p w14:paraId="6796A105"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(-0.37, -0.20)</w:t>
            </w:r>
          </w:p>
        </w:tc>
        <w:tc>
          <w:tcPr>
            <w:tcW w:w="1917" w:type="dxa"/>
          </w:tcPr>
          <w:p w14:paraId="18AC302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-0.51 (-0.66, -0.36)</w:t>
            </w:r>
          </w:p>
        </w:tc>
        <w:tc>
          <w:tcPr>
            <w:tcW w:w="1917" w:type="dxa"/>
          </w:tcPr>
          <w:p w14:paraId="20BF50B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-0.35 (-0.43, -0.26)</w:t>
            </w:r>
          </w:p>
        </w:tc>
        <w:tc>
          <w:tcPr>
            <w:tcW w:w="2111" w:type="dxa"/>
          </w:tcPr>
          <w:p w14:paraId="6689019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-0.32 (-0.45, -0.20)</w:t>
            </w:r>
          </w:p>
        </w:tc>
      </w:tr>
      <w:tr w:rsidR="0031401A" w:rsidRPr="00640B5D" w14:paraId="1BB31181" w14:textId="77777777" w:rsidTr="00F35080">
        <w:tc>
          <w:tcPr>
            <w:tcW w:w="1254" w:type="dxa"/>
          </w:tcPr>
          <w:p w14:paraId="388E6F50" w14:textId="77777777" w:rsidR="0031401A" w:rsidRPr="00640B5D" w:rsidRDefault="0031401A" w:rsidP="00F35080">
            <w:pPr>
              <w:rPr>
                <w:rFonts w:ascii="Arial" w:hAnsi="Arial" w:cs="Arial"/>
                <w:sz w:val="20"/>
                <w:szCs w:val="20"/>
              </w:rPr>
            </w:pPr>
            <w:r w:rsidRPr="00640B5D">
              <w:rPr>
                <w:rFonts w:ascii="Arial" w:hAnsi="Arial" w:cs="Arial"/>
                <w:sz w:val="20"/>
                <w:szCs w:val="20"/>
              </w:rPr>
              <w:t>Week 136</w:t>
            </w:r>
          </w:p>
        </w:tc>
        <w:tc>
          <w:tcPr>
            <w:tcW w:w="1917" w:type="dxa"/>
          </w:tcPr>
          <w:p w14:paraId="4B512AB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-0.24 (-0.34, -0.13)</w:t>
            </w:r>
          </w:p>
        </w:tc>
        <w:tc>
          <w:tcPr>
            <w:tcW w:w="1917" w:type="dxa"/>
          </w:tcPr>
          <w:p w14:paraId="03E0F32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-0.38 (-0.49, -0.27)</w:t>
            </w:r>
          </w:p>
        </w:tc>
        <w:tc>
          <w:tcPr>
            <w:tcW w:w="1917" w:type="dxa"/>
          </w:tcPr>
          <w:p w14:paraId="67DD8B0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-0.28 (-0.37, -0.20)</w:t>
            </w:r>
          </w:p>
        </w:tc>
        <w:tc>
          <w:tcPr>
            <w:tcW w:w="1917" w:type="dxa"/>
          </w:tcPr>
          <w:p w14:paraId="392BF75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-0.37 (-0.52, -0.21)</w:t>
            </w:r>
          </w:p>
        </w:tc>
        <w:tc>
          <w:tcPr>
            <w:tcW w:w="1917" w:type="dxa"/>
          </w:tcPr>
          <w:p w14:paraId="66BCB65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-0.34 (-0.42, -0.25)</w:t>
            </w:r>
          </w:p>
        </w:tc>
        <w:tc>
          <w:tcPr>
            <w:tcW w:w="2111" w:type="dxa"/>
          </w:tcPr>
          <w:p w14:paraId="70AC43D4"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-0.25 (-0.39, -0.12)</w:t>
            </w:r>
          </w:p>
        </w:tc>
      </w:tr>
      <w:tr w:rsidR="0031401A" w:rsidRPr="00640B5D" w14:paraId="635BB063" w14:textId="77777777" w:rsidTr="00F35080">
        <w:tc>
          <w:tcPr>
            <w:tcW w:w="1254" w:type="dxa"/>
          </w:tcPr>
          <w:p w14:paraId="3FB35482"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150 </w:t>
            </w:r>
          </w:p>
        </w:tc>
        <w:tc>
          <w:tcPr>
            <w:tcW w:w="1917" w:type="dxa"/>
          </w:tcPr>
          <w:p w14:paraId="5DBDE67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-0.29 (-0.40, -0.18)</w:t>
            </w:r>
          </w:p>
        </w:tc>
        <w:tc>
          <w:tcPr>
            <w:tcW w:w="1917" w:type="dxa"/>
          </w:tcPr>
          <w:p w14:paraId="593FBBB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-0.34 (-0.45, -0.22)</w:t>
            </w:r>
          </w:p>
        </w:tc>
        <w:tc>
          <w:tcPr>
            <w:tcW w:w="1917" w:type="dxa"/>
          </w:tcPr>
          <w:p w14:paraId="7D1092A6"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-0.30 (-0.38, -0.21)</w:t>
            </w:r>
          </w:p>
        </w:tc>
        <w:tc>
          <w:tcPr>
            <w:tcW w:w="1917" w:type="dxa"/>
          </w:tcPr>
          <w:p w14:paraId="7FD6D539"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-0.37 (-0.53, -0.20)</w:t>
            </w:r>
          </w:p>
        </w:tc>
        <w:tc>
          <w:tcPr>
            <w:tcW w:w="1917" w:type="dxa"/>
          </w:tcPr>
          <w:p w14:paraId="6FBEF3B3"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-0.33 (-0.42, -0.24)</w:t>
            </w:r>
          </w:p>
        </w:tc>
        <w:tc>
          <w:tcPr>
            <w:tcW w:w="2111" w:type="dxa"/>
          </w:tcPr>
          <w:p w14:paraId="0B980DF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-0.29 (-0.43, -0.15)</w:t>
            </w:r>
          </w:p>
        </w:tc>
      </w:tr>
      <w:tr w:rsidR="0031401A" w:rsidRPr="00640B5D" w14:paraId="399F2342" w14:textId="77777777" w:rsidTr="00F35080">
        <w:tc>
          <w:tcPr>
            <w:tcW w:w="1254" w:type="dxa"/>
          </w:tcPr>
          <w:p w14:paraId="4F8ABE00"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164 </w:t>
            </w:r>
          </w:p>
        </w:tc>
        <w:tc>
          <w:tcPr>
            <w:tcW w:w="1917" w:type="dxa"/>
          </w:tcPr>
          <w:p w14:paraId="18A7DF64"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-0.32 (-0.44, -0.20)</w:t>
            </w:r>
          </w:p>
        </w:tc>
        <w:tc>
          <w:tcPr>
            <w:tcW w:w="1917" w:type="dxa"/>
          </w:tcPr>
          <w:p w14:paraId="7B31CD8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-0.31 (-0.44, -0.18)</w:t>
            </w:r>
          </w:p>
        </w:tc>
        <w:tc>
          <w:tcPr>
            <w:tcW w:w="1917" w:type="dxa"/>
          </w:tcPr>
          <w:p w14:paraId="40A78C57"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-0.32 (-0.42, -0.22)</w:t>
            </w:r>
          </w:p>
        </w:tc>
        <w:tc>
          <w:tcPr>
            <w:tcW w:w="1917" w:type="dxa"/>
          </w:tcPr>
          <w:p w14:paraId="76BFB1A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-0.30 (-0.49, -0.12)</w:t>
            </w:r>
          </w:p>
        </w:tc>
        <w:tc>
          <w:tcPr>
            <w:tcW w:w="1917" w:type="dxa"/>
          </w:tcPr>
          <w:p w14:paraId="330F61E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-0.34 (-0.44, -0.24)</w:t>
            </w:r>
          </w:p>
        </w:tc>
        <w:tc>
          <w:tcPr>
            <w:tcW w:w="2111" w:type="dxa"/>
          </w:tcPr>
          <w:p w14:paraId="702AEBA6"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-0.30 (-0.46, -0.15)</w:t>
            </w:r>
          </w:p>
        </w:tc>
      </w:tr>
      <w:tr w:rsidR="0031401A" w:rsidRPr="00640B5D" w14:paraId="104A5540" w14:textId="77777777" w:rsidTr="00F35080">
        <w:tc>
          <w:tcPr>
            <w:tcW w:w="1254" w:type="dxa"/>
          </w:tcPr>
          <w:p w14:paraId="291880CE"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178 </w:t>
            </w:r>
          </w:p>
        </w:tc>
        <w:tc>
          <w:tcPr>
            <w:tcW w:w="1917" w:type="dxa"/>
          </w:tcPr>
          <w:p w14:paraId="2C1232E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-0.24 (-0.37, -0.11)</w:t>
            </w:r>
          </w:p>
        </w:tc>
        <w:tc>
          <w:tcPr>
            <w:tcW w:w="1917" w:type="dxa"/>
          </w:tcPr>
          <w:p w14:paraId="5137C07A"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-0.35 (-0.49, -0.21)</w:t>
            </w:r>
          </w:p>
        </w:tc>
        <w:tc>
          <w:tcPr>
            <w:tcW w:w="1917" w:type="dxa"/>
          </w:tcPr>
          <w:p w14:paraId="62DFEC1F"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-0.26 (-0.36, -0.15)</w:t>
            </w:r>
          </w:p>
        </w:tc>
        <w:tc>
          <w:tcPr>
            <w:tcW w:w="1917" w:type="dxa"/>
          </w:tcPr>
          <w:p w14:paraId="43725F5E"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-0.43 (-0.63, -0.22)</w:t>
            </w:r>
          </w:p>
        </w:tc>
        <w:tc>
          <w:tcPr>
            <w:tcW w:w="1917" w:type="dxa"/>
          </w:tcPr>
          <w:p w14:paraId="15C16787"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-0.32 (-0.43, -0.21)</w:t>
            </w:r>
          </w:p>
        </w:tc>
        <w:tc>
          <w:tcPr>
            <w:tcW w:w="2111" w:type="dxa"/>
          </w:tcPr>
          <w:p w14:paraId="37AD595F"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-0.24 (-0.42, -0.07)</w:t>
            </w:r>
          </w:p>
        </w:tc>
      </w:tr>
      <w:tr w:rsidR="0031401A" w:rsidRPr="00640B5D" w14:paraId="1CAF2969" w14:textId="77777777" w:rsidTr="00F35080">
        <w:tc>
          <w:tcPr>
            <w:tcW w:w="1254" w:type="dxa"/>
          </w:tcPr>
          <w:p w14:paraId="0EB53386"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192 </w:t>
            </w:r>
          </w:p>
        </w:tc>
        <w:tc>
          <w:tcPr>
            <w:tcW w:w="1917" w:type="dxa"/>
          </w:tcPr>
          <w:p w14:paraId="588642C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-0.23 (-0.37, -0.08)</w:t>
            </w:r>
          </w:p>
        </w:tc>
        <w:tc>
          <w:tcPr>
            <w:tcW w:w="1917" w:type="dxa"/>
          </w:tcPr>
          <w:p w14:paraId="31BD388B"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-0.23 (-0.39, -0.07)</w:t>
            </w:r>
          </w:p>
        </w:tc>
        <w:tc>
          <w:tcPr>
            <w:tcW w:w="1917" w:type="dxa"/>
          </w:tcPr>
          <w:p w14:paraId="432EFB52"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-0.21 (-0.33, -0.09)</w:t>
            </w:r>
          </w:p>
        </w:tc>
        <w:tc>
          <w:tcPr>
            <w:tcW w:w="1917" w:type="dxa"/>
          </w:tcPr>
          <w:p w14:paraId="7C6C55E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-0.30 (-0.53, -0.07)</w:t>
            </w:r>
          </w:p>
        </w:tc>
        <w:tc>
          <w:tcPr>
            <w:tcW w:w="1917" w:type="dxa"/>
          </w:tcPr>
          <w:p w14:paraId="63293678"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-0.25 (-0.37, -0.12)</w:t>
            </w:r>
          </w:p>
        </w:tc>
        <w:tc>
          <w:tcPr>
            <w:tcW w:w="2111" w:type="dxa"/>
          </w:tcPr>
          <w:p w14:paraId="3F1B7DA0"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-0.22 (-0.42, -0.03)</w:t>
            </w:r>
          </w:p>
        </w:tc>
      </w:tr>
      <w:tr w:rsidR="0031401A" w:rsidRPr="00640B5D" w14:paraId="17D93A89" w14:textId="77777777" w:rsidTr="00F35080">
        <w:tc>
          <w:tcPr>
            <w:tcW w:w="1254" w:type="dxa"/>
          </w:tcPr>
          <w:p w14:paraId="06D46329" w14:textId="77777777" w:rsidR="0031401A" w:rsidRPr="00640B5D" w:rsidRDefault="0031401A" w:rsidP="00F35080">
            <w:pPr>
              <w:rPr>
                <w:rFonts w:ascii="Arial" w:hAnsi="Arial" w:cs="Arial"/>
                <w:sz w:val="20"/>
                <w:szCs w:val="20"/>
              </w:rPr>
            </w:pPr>
            <w:r w:rsidRPr="00640B5D">
              <w:rPr>
                <w:rFonts w:ascii="Arial" w:hAnsi="Arial" w:cs="Arial"/>
                <w:sz w:val="20"/>
                <w:szCs w:val="20"/>
              </w:rPr>
              <w:t xml:space="preserve">Week 206 </w:t>
            </w:r>
          </w:p>
        </w:tc>
        <w:tc>
          <w:tcPr>
            <w:tcW w:w="1917" w:type="dxa"/>
          </w:tcPr>
          <w:p w14:paraId="1CECD059"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-0.39 (-0.63, -0.14)</w:t>
            </w:r>
          </w:p>
        </w:tc>
        <w:tc>
          <w:tcPr>
            <w:tcW w:w="1917" w:type="dxa"/>
          </w:tcPr>
          <w:p w14:paraId="44019F81"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-0.43 (-0.67, -0.19)</w:t>
            </w:r>
          </w:p>
        </w:tc>
        <w:tc>
          <w:tcPr>
            <w:tcW w:w="1917" w:type="dxa"/>
          </w:tcPr>
          <w:p w14:paraId="0D50E20C"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-0.40 (-0.60, -0.20)</w:t>
            </w:r>
          </w:p>
        </w:tc>
        <w:tc>
          <w:tcPr>
            <w:tcW w:w="1917" w:type="dxa"/>
          </w:tcPr>
          <w:p w14:paraId="72FC9317"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-0.42 (-0.78, -0.07)</w:t>
            </w:r>
          </w:p>
        </w:tc>
        <w:tc>
          <w:tcPr>
            <w:tcW w:w="1917" w:type="dxa"/>
          </w:tcPr>
          <w:p w14:paraId="5EA3C40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-0.48 (-0.69, -0.27)</w:t>
            </w:r>
          </w:p>
        </w:tc>
        <w:tc>
          <w:tcPr>
            <w:tcW w:w="2111" w:type="dxa"/>
          </w:tcPr>
          <w:p w14:paraId="4BA519BD" w14:textId="77777777" w:rsidR="0031401A" w:rsidRPr="00640B5D" w:rsidRDefault="0031401A" w:rsidP="00F35080">
            <w:pPr>
              <w:jc w:val="center"/>
              <w:rPr>
                <w:rFonts w:ascii="Arial" w:hAnsi="Arial" w:cs="Arial"/>
                <w:sz w:val="20"/>
                <w:szCs w:val="20"/>
              </w:rPr>
            </w:pPr>
            <w:r w:rsidRPr="00640B5D">
              <w:rPr>
                <w:rFonts w:ascii="Arial" w:hAnsi="Arial" w:cs="Arial"/>
                <w:sz w:val="20"/>
                <w:szCs w:val="20"/>
              </w:rPr>
              <w:t>-0.25 (-0.56, 0.05)</w:t>
            </w:r>
          </w:p>
        </w:tc>
      </w:tr>
    </w:tbl>
    <w:p w14:paraId="03A74934" w14:textId="77777777" w:rsidR="0031401A" w:rsidRPr="00640B5D" w:rsidRDefault="0031401A" w:rsidP="0031401A">
      <w:pPr>
        <w:spacing w:after="0" w:line="240" w:lineRule="auto"/>
        <w:rPr>
          <w:rFonts w:ascii="Arial" w:hAnsi="Arial" w:cs="Arial"/>
        </w:rPr>
      </w:pPr>
      <w:r w:rsidRPr="00640B5D">
        <w:rPr>
          <w:rFonts w:ascii="Arial" w:hAnsi="Arial" w:cs="Arial"/>
        </w:rPr>
        <w:t>Adjusted mean treatment difference based on MMRM analyses, that included continuous fixed effects of baseline uric acid (only if not subgroup) and baseline HbA1c at each visit and discrete fixed effects for treatment at each visit, region, baseline eGFR (only if not subgroup), baseline BMI, last projected visit and subgroup-by-treatment-by visit interaction. Prevalent CKD defined by an eGFR &lt;60 ml/min/1.73m</w:t>
      </w:r>
      <w:r w:rsidRPr="00640B5D">
        <w:rPr>
          <w:rFonts w:ascii="Arial" w:hAnsi="Arial" w:cs="Arial"/>
          <w:vertAlign w:val="superscript"/>
        </w:rPr>
        <w:t>2</w:t>
      </w:r>
      <w:r w:rsidRPr="00640B5D">
        <w:rPr>
          <w:rFonts w:ascii="Arial" w:hAnsi="Arial" w:cs="Arial"/>
        </w:rPr>
        <w:t xml:space="preserve"> or UACR &gt;300 mg/g creatinine at baseline.</w:t>
      </w:r>
    </w:p>
    <w:p w14:paraId="43B0028B" w14:textId="77777777" w:rsidR="0031401A" w:rsidRPr="00640B5D" w:rsidRDefault="0031401A" w:rsidP="0031401A">
      <w:pPr>
        <w:rPr>
          <w:rFonts w:ascii="Arial" w:hAnsi="Arial" w:cs="Arial"/>
        </w:rPr>
      </w:pPr>
      <w:r w:rsidRPr="00640B5D">
        <w:rPr>
          <w:rFonts w:ascii="Arial" w:hAnsi="Arial" w:cs="Arial"/>
        </w:rPr>
        <w:t>BMI=body-mass-index; BL=baseline; CKD=chronic kidney disease; eGFR=estimated glomerular filtration rate; HbA1c=glycated hemoglobin A1c; UA=uric acid; UACR=urinary-albumin-creatinine ratio</w:t>
      </w:r>
    </w:p>
    <w:p w14:paraId="525E603E" w14:textId="77777777" w:rsidR="0031401A" w:rsidRDefault="0031401A" w:rsidP="0031401A">
      <w:pPr>
        <w:spacing w:after="120"/>
        <w:ind w:right="911"/>
        <w:jc w:val="both"/>
        <w:rPr>
          <w:rFonts w:ascii="Arial" w:hAnsi="Arial" w:cs="Arial"/>
          <w:b/>
          <w:bCs/>
        </w:rPr>
        <w:sectPr w:rsidR="0031401A" w:rsidSect="007D57EA">
          <w:pgSz w:w="15840" w:h="12240" w:orient="landscape"/>
          <w:pgMar w:top="1440" w:right="1440" w:bottom="1440" w:left="1440" w:header="708" w:footer="708" w:gutter="0"/>
          <w:cols w:space="708"/>
          <w:docGrid w:linePitch="360"/>
        </w:sectPr>
      </w:pPr>
    </w:p>
    <w:p w14:paraId="099F0AE3" w14:textId="77777777" w:rsidR="0031401A" w:rsidRPr="00AA04AA" w:rsidRDefault="0031401A" w:rsidP="0031401A">
      <w:pPr>
        <w:rPr>
          <w:rFonts w:ascii="Arial" w:hAnsi="Arial" w:cs="Arial"/>
          <w:b/>
          <w:sz w:val="20"/>
          <w:szCs w:val="20"/>
        </w:rPr>
      </w:pPr>
      <w:r>
        <w:rPr>
          <w:rFonts w:ascii="Arial" w:hAnsi="Arial" w:cs="Arial"/>
          <w:b/>
          <w:bCs/>
        </w:rPr>
        <w:t>Supplemental</w:t>
      </w:r>
      <w:r>
        <w:rPr>
          <w:rFonts w:ascii="Arial" w:hAnsi="Arial" w:cs="Arial"/>
          <w:b/>
          <w:sz w:val="20"/>
          <w:szCs w:val="20"/>
        </w:rPr>
        <w:t xml:space="preserve"> </w:t>
      </w:r>
      <w:r w:rsidRPr="0031401A">
        <w:rPr>
          <w:rFonts w:ascii="Arial" w:hAnsi="Arial" w:cs="Arial"/>
          <w:b/>
        </w:rPr>
        <w:t>Table 4.  Effects of empagliflozin on new onset of gout or initiation of anti-gout medication during follow-up (on-treatment) by baseline UA level</w:t>
      </w:r>
    </w:p>
    <w:tbl>
      <w:tblPr>
        <w:tblStyle w:val="Grilledutableau"/>
        <w:tblW w:w="14742" w:type="dxa"/>
        <w:tblInd w:w="-5" w:type="dxa"/>
        <w:tblLayout w:type="fixed"/>
        <w:tblLook w:val="04A0" w:firstRow="1" w:lastRow="0" w:firstColumn="1" w:lastColumn="0" w:noHBand="0" w:noVBand="1"/>
      </w:tblPr>
      <w:tblGrid>
        <w:gridCol w:w="1253"/>
        <w:gridCol w:w="1022"/>
        <w:gridCol w:w="1022"/>
        <w:gridCol w:w="1512"/>
        <w:gridCol w:w="1512"/>
        <w:gridCol w:w="1512"/>
        <w:gridCol w:w="921"/>
        <w:gridCol w:w="921"/>
        <w:gridCol w:w="1416"/>
        <w:gridCol w:w="1417"/>
        <w:gridCol w:w="1417"/>
        <w:gridCol w:w="817"/>
      </w:tblGrid>
      <w:tr w:rsidR="0031401A" w:rsidRPr="00640B5D" w14:paraId="3BBE07F7" w14:textId="77777777" w:rsidTr="00F35080">
        <w:trPr>
          <w:trHeight w:val="460"/>
        </w:trPr>
        <w:tc>
          <w:tcPr>
            <w:tcW w:w="1253" w:type="dxa"/>
            <w:tcBorders>
              <w:right w:val="single" w:sz="18" w:space="0" w:color="auto"/>
            </w:tcBorders>
            <w:shd w:val="clear" w:color="auto" w:fill="auto"/>
            <w:vAlign w:val="center"/>
          </w:tcPr>
          <w:p w14:paraId="35714A35" w14:textId="77777777" w:rsidR="0031401A" w:rsidRPr="00640B5D" w:rsidRDefault="0031401A" w:rsidP="00F35080">
            <w:pPr>
              <w:jc w:val="center"/>
              <w:rPr>
                <w:rFonts w:ascii="Arial" w:eastAsiaTheme="minorHAnsi" w:hAnsi="Arial" w:cs="Arial"/>
                <w:sz w:val="18"/>
                <w:szCs w:val="18"/>
                <w:lang w:val="en-GB" w:eastAsia="en-US"/>
              </w:rPr>
            </w:pPr>
          </w:p>
        </w:tc>
        <w:tc>
          <w:tcPr>
            <w:tcW w:w="6580" w:type="dxa"/>
            <w:gridSpan w:val="5"/>
            <w:tcBorders>
              <w:left w:val="single" w:sz="18" w:space="0" w:color="auto"/>
              <w:right w:val="single" w:sz="18" w:space="0" w:color="auto"/>
            </w:tcBorders>
            <w:shd w:val="clear" w:color="auto" w:fill="E7E6E6" w:themeFill="background2"/>
            <w:vAlign w:val="center"/>
          </w:tcPr>
          <w:p w14:paraId="56389F61"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val="da-DK" w:eastAsia="en-US"/>
              </w:rPr>
            </w:pPr>
            <w:r w:rsidRPr="00640B5D">
              <w:rPr>
                <w:rFonts w:ascii="Arial" w:eastAsiaTheme="minorHAnsi" w:hAnsi="Arial" w:cs="Arial"/>
                <w:b/>
                <w:bCs/>
                <w:sz w:val="18"/>
                <w:szCs w:val="18"/>
                <w:lang w:val="da-DK" w:eastAsia="en-US"/>
              </w:rPr>
              <w:t>UA &lt;6.0 mg/dL at baseline</w:t>
            </w:r>
          </w:p>
        </w:tc>
        <w:tc>
          <w:tcPr>
            <w:tcW w:w="6092" w:type="dxa"/>
            <w:gridSpan w:val="5"/>
            <w:tcBorders>
              <w:right w:val="single" w:sz="18" w:space="0" w:color="auto"/>
            </w:tcBorders>
            <w:shd w:val="clear" w:color="auto" w:fill="E7E6E6" w:themeFill="background2"/>
            <w:vAlign w:val="center"/>
          </w:tcPr>
          <w:p w14:paraId="55473B0E"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val="da-DK" w:eastAsia="en-US"/>
              </w:rPr>
            </w:pPr>
            <w:r w:rsidRPr="00640B5D">
              <w:rPr>
                <w:rFonts w:ascii="Arial" w:eastAsiaTheme="minorHAnsi" w:hAnsi="Arial" w:cs="Arial"/>
                <w:b/>
                <w:bCs/>
                <w:sz w:val="18"/>
                <w:szCs w:val="18"/>
                <w:lang w:val="da-DK" w:eastAsia="en-US"/>
              </w:rPr>
              <w:t>UA ≥6.0 mg/dL at baseline</w:t>
            </w:r>
          </w:p>
        </w:tc>
        <w:tc>
          <w:tcPr>
            <w:tcW w:w="817" w:type="dxa"/>
            <w:tcBorders>
              <w:left w:val="single" w:sz="18" w:space="0" w:color="auto"/>
            </w:tcBorders>
            <w:vAlign w:val="center"/>
          </w:tcPr>
          <w:p w14:paraId="28B17ABA"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val="da-DK" w:eastAsia="en-US"/>
              </w:rPr>
            </w:pPr>
          </w:p>
        </w:tc>
      </w:tr>
      <w:tr w:rsidR="0031401A" w:rsidRPr="00640B5D" w14:paraId="6EBB718E" w14:textId="77777777" w:rsidTr="00F35080">
        <w:trPr>
          <w:trHeight w:val="460"/>
        </w:trPr>
        <w:tc>
          <w:tcPr>
            <w:tcW w:w="1253" w:type="dxa"/>
            <w:vMerge w:val="restart"/>
            <w:tcBorders>
              <w:right w:val="single" w:sz="18" w:space="0" w:color="auto"/>
            </w:tcBorders>
            <w:shd w:val="clear" w:color="auto" w:fill="auto"/>
            <w:vAlign w:val="center"/>
          </w:tcPr>
          <w:p w14:paraId="044452C5" w14:textId="77777777" w:rsidR="0031401A" w:rsidRPr="00640B5D" w:rsidRDefault="0031401A" w:rsidP="00F35080">
            <w:pPr>
              <w:jc w:val="center"/>
              <w:rPr>
                <w:rFonts w:ascii="Arial" w:eastAsiaTheme="minorHAnsi" w:hAnsi="Arial" w:cs="Arial"/>
                <w:sz w:val="18"/>
                <w:szCs w:val="18"/>
                <w:lang w:val="da-DK" w:eastAsia="en-US"/>
              </w:rPr>
            </w:pPr>
          </w:p>
        </w:tc>
        <w:tc>
          <w:tcPr>
            <w:tcW w:w="2044" w:type="dxa"/>
            <w:gridSpan w:val="2"/>
            <w:tcBorders>
              <w:left w:val="single" w:sz="18" w:space="0" w:color="auto"/>
            </w:tcBorders>
            <w:shd w:val="clear" w:color="auto" w:fill="E7E6E6" w:themeFill="background2"/>
            <w:vAlign w:val="center"/>
          </w:tcPr>
          <w:p w14:paraId="4C280058"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eastAsia="en-US"/>
              </w:rPr>
            </w:pPr>
            <w:r w:rsidRPr="00640B5D">
              <w:rPr>
                <w:rFonts w:ascii="Arial" w:eastAsiaTheme="minorHAnsi" w:hAnsi="Arial" w:cs="Arial"/>
                <w:b/>
                <w:bCs/>
                <w:sz w:val="18"/>
                <w:szCs w:val="18"/>
                <w:lang w:eastAsia="en-US"/>
              </w:rPr>
              <w:t>Placebo</w:t>
            </w:r>
          </w:p>
        </w:tc>
        <w:tc>
          <w:tcPr>
            <w:tcW w:w="4536" w:type="dxa"/>
            <w:gridSpan w:val="3"/>
            <w:tcBorders>
              <w:right w:val="single" w:sz="18" w:space="0" w:color="auto"/>
            </w:tcBorders>
            <w:shd w:val="clear" w:color="auto" w:fill="E7E6E6" w:themeFill="background2"/>
            <w:vAlign w:val="center"/>
          </w:tcPr>
          <w:p w14:paraId="35A21353"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eastAsia="en-US"/>
              </w:rPr>
            </w:pPr>
            <w:r w:rsidRPr="00640B5D">
              <w:rPr>
                <w:rFonts w:ascii="Arial" w:eastAsiaTheme="minorHAnsi" w:hAnsi="Arial" w:cs="Arial"/>
                <w:b/>
                <w:bCs/>
                <w:sz w:val="18"/>
                <w:szCs w:val="18"/>
                <w:lang w:eastAsia="en-US"/>
              </w:rPr>
              <w:t>Empagliflozin (10 and 25 mg pooled)</w:t>
            </w:r>
          </w:p>
        </w:tc>
        <w:tc>
          <w:tcPr>
            <w:tcW w:w="1842" w:type="dxa"/>
            <w:gridSpan w:val="2"/>
            <w:shd w:val="clear" w:color="auto" w:fill="E7E6E6" w:themeFill="background2"/>
            <w:vAlign w:val="center"/>
          </w:tcPr>
          <w:p w14:paraId="25CC2B73"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eastAsia="en-US"/>
              </w:rPr>
            </w:pPr>
            <w:r w:rsidRPr="00640B5D">
              <w:rPr>
                <w:rFonts w:ascii="Arial" w:eastAsiaTheme="minorHAnsi" w:hAnsi="Arial" w:cs="Arial"/>
                <w:b/>
                <w:bCs/>
                <w:sz w:val="18"/>
                <w:szCs w:val="18"/>
                <w:lang w:eastAsia="en-US"/>
              </w:rPr>
              <w:t>Placebo</w:t>
            </w:r>
          </w:p>
        </w:tc>
        <w:tc>
          <w:tcPr>
            <w:tcW w:w="4250" w:type="dxa"/>
            <w:gridSpan w:val="3"/>
            <w:tcBorders>
              <w:right w:val="single" w:sz="18" w:space="0" w:color="auto"/>
            </w:tcBorders>
            <w:shd w:val="clear" w:color="auto" w:fill="E7E6E6" w:themeFill="background2"/>
            <w:vAlign w:val="center"/>
          </w:tcPr>
          <w:p w14:paraId="24AB9B84"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eastAsia="en-US"/>
              </w:rPr>
            </w:pPr>
            <w:r w:rsidRPr="00640B5D">
              <w:rPr>
                <w:rFonts w:ascii="Arial" w:eastAsiaTheme="minorHAnsi" w:hAnsi="Arial" w:cs="Arial"/>
                <w:b/>
                <w:bCs/>
                <w:sz w:val="18"/>
                <w:szCs w:val="18"/>
                <w:lang w:eastAsia="en-US"/>
              </w:rPr>
              <w:t>Empagliflozin (10 and 25 mg pooled)</w:t>
            </w:r>
          </w:p>
        </w:tc>
        <w:tc>
          <w:tcPr>
            <w:tcW w:w="817" w:type="dxa"/>
            <w:tcBorders>
              <w:left w:val="single" w:sz="18" w:space="0" w:color="auto"/>
            </w:tcBorders>
            <w:vAlign w:val="center"/>
          </w:tcPr>
          <w:p w14:paraId="6679EE64" w14:textId="77777777" w:rsidR="0031401A" w:rsidRPr="00640B5D" w:rsidRDefault="0031401A" w:rsidP="00F35080">
            <w:pPr>
              <w:spacing w:before="100" w:beforeAutospacing="1" w:after="100" w:afterAutospacing="1"/>
              <w:jc w:val="center"/>
              <w:rPr>
                <w:rFonts w:ascii="Arial" w:eastAsiaTheme="minorHAnsi" w:hAnsi="Arial" w:cs="Arial"/>
                <w:b/>
                <w:bCs/>
                <w:sz w:val="18"/>
                <w:szCs w:val="18"/>
                <w:lang w:eastAsia="en-US"/>
              </w:rPr>
            </w:pPr>
          </w:p>
        </w:tc>
      </w:tr>
      <w:tr w:rsidR="0031401A" w:rsidRPr="00640B5D" w14:paraId="5F56B0F3" w14:textId="77777777" w:rsidTr="00F35080">
        <w:trPr>
          <w:trHeight w:val="236"/>
        </w:trPr>
        <w:tc>
          <w:tcPr>
            <w:tcW w:w="1253" w:type="dxa"/>
            <w:vMerge/>
            <w:tcBorders>
              <w:right w:val="single" w:sz="18" w:space="0" w:color="auto"/>
            </w:tcBorders>
            <w:shd w:val="clear" w:color="auto" w:fill="auto"/>
          </w:tcPr>
          <w:p w14:paraId="28003EC3" w14:textId="77777777" w:rsidR="0031401A" w:rsidRPr="00640B5D" w:rsidRDefault="0031401A" w:rsidP="00F35080">
            <w:pPr>
              <w:rPr>
                <w:rFonts w:ascii="Arial" w:eastAsiaTheme="minorHAnsi" w:hAnsi="Arial" w:cs="Arial"/>
                <w:sz w:val="18"/>
                <w:szCs w:val="18"/>
                <w:lang w:val="en-GB" w:eastAsia="en-US"/>
              </w:rPr>
            </w:pPr>
          </w:p>
        </w:tc>
        <w:tc>
          <w:tcPr>
            <w:tcW w:w="1022" w:type="dxa"/>
            <w:tcBorders>
              <w:left w:val="single" w:sz="18" w:space="0" w:color="auto"/>
            </w:tcBorders>
            <w:vAlign w:val="center"/>
          </w:tcPr>
          <w:p w14:paraId="2C748127" w14:textId="77777777" w:rsidR="0031401A" w:rsidRPr="00640B5D" w:rsidRDefault="0031401A" w:rsidP="00F35080">
            <w:pPr>
              <w:jc w:val="center"/>
              <w:rPr>
                <w:rFonts w:ascii="Arial" w:eastAsiaTheme="minorHAnsi" w:hAnsi="Arial" w:cs="Arial"/>
                <w:b/>
                <w:sz w:val="18"/>
                <w:szCs w:val="18"/>
                <w:lang w:val="en-GB" w:eastAsia="en-US"/>
              </w:rPr>
            </w:pPr>
            <w:r w:rsidRPr="00640B5D">
              <w:rPr>
                <w:rFonts w:ascii="Arial" w:eastAsiaTheme="minorHAnsi" w:hAnsi="Arial" w:cs="Arial"/>
                <w:b/>
                <w:sz w:val="18"/>
                <w:szCs w:val="18"/>
                <w:lang w:val="en-GB" w:eastAsia="en-US"/>
              </w:rPr>
              <w:t>n/N (%)</w:t>
            </w:r>
          </w:p>
        </w:tc>
        <w:tc>
          <w:tcPr>
            <w:tcW w:w="1022" w:type="dxa"/>
            <w:vAlign w:val="center"/>
          </w:tcPr>
          <w:p w14:paraId="0C8B857F" w14:textId="77777777" w:rsidR="0031401A" w:rsidRPr="00640B5D" w:rsidRDefault="0031401A" w:rsidP="00F35080">
            <w:pPr>
              <w:jc w:val="center"/>
              <w:rPr>
                <w:rFonts w:ascii="Arial" w:eastAsiaTheme="minorHAnsi" w:hAnsi="Arial" w:cs="Arial"/>
                <w:b/>
                <w:sz w:val="18"/>
                <w:szCs w:val="18"/>
                <w:lang w:val="en-GB" w:eastAsia="en-US"/>
              </w:rPr>
            </w:pPr>
            <w:r w:rsidRPr="00640B5D">
              <w:rPr>
                <w:rFonts w:ascii="Arial" w:eastAsiaTheme="minorHAnsi" w:hAnsi="Arial" w:cs="Arial"/>
                <w:b/>
                <w:sz w:val="18"/>
                <w:szCs w:val="18"/>
                <w:lang w:eastAsia="en-US"/>
              </w:rPr>
              <w:t>Rate</w:t>
            </w:r>
          </w:p>
        </w:tc>
        <w:tc>
          <w:tcPr>
            <w:tcW w:w="1512" w:type="dxa"/>
            <w:vAlign w:val="center"/>
          </w:tcPr>
          <w:p w14:paraId="5F8D01D2"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sz w:val="18"/>
                <w:szCs w:val="18"/>
                <w:lang w:val="en-GB" w:eastAsia="en-US"/>
              </w:rPr>
              <w:t>n/N (%)</w:t>
            </w:r>
          </w:p>
        </w:tc>
        <w:tc>
          <w:tcPr>
            <w:tcW w:w="1512" w:type="dxa"/>
            <w:vAlign w:val="center"/>
          </w:tcPr>
          <w:p w14:paraId="3F8BC755"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sz w:val="18"/>
                <w:szCs w:val="18"/>
                <w:lang w:eastAsia="en-US"/>
              </w:rPr>
              <w:t>Rate</w:t>
            </w:r>
          </w:p>
        </w:tc>
        <w:tc>
          <w:tcPr>
            <w:tcW w:w="1512" w:type="dxa"/>
            <w:tcBorders>
              <w:right w:val="single" w:sz="18" w:space="0" w:color="auto"/>
            </w:tcBorders>
            <w:vAlign w:val="center"/>
          </w:tcPr>
          <w:p w14:paraId="706ACCE3"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bCs/>
                <w:sz w:val="18"/>
                <w:szCs w:val="18"/>
                <w:lang w:eastAsia="en-US"/>
              </w:rPr>
              <w:t>HR (95%CI)</w:t>
            </w:r>
          </w:p>
        </w:tc>
        <w:tc>
          <w:tcPr>
            <w:tcW w:w="921" w:type="dxa"/>
            <w:vAlign w:val="center"/>
          </w:tcPr>
          <w:p w14:paraId="4C430578" w14:textId="77777777" w:rsidR="0031401A" w:rsidRPr="00640B5D" w:rsidRDefault="0031401A" w:rsidP="00F35080">
            <w:pPr>
              <w:jc w:val="center"/>
              <w:rPr>
                <w:rFonts w:ascii="Arial" w:eastAsiaTheme="minorHAnsi" w:hAnsi="Arial" w:cs="Arial"/>
                <w:b/>
                <w:sz w:val="18"/>
                <w:szCs w:val="18"/>
                <w:lang w:val="en-GB" w:eastAsia="en-US"/>
              </w:rPr>
            </w:pPr>
            <w:r w:rsidRPr="00640B5D">
              <w:rPr>
                <w:rFonts w:ascii="Arial" w:eastAsiaTheme="minorHAnsi" w:hAnsi="Arial" w:cs="Arial"/>
                <w:b/>
                <w:sz w:val="18"/>
                <w:szCs w:val="18"/>
                <w:lang w:val="en-GB" w:eastAsia="en-US"/>
              </w:rPr>
              <w:t>n/N (%)</w:t>
            </w:r>
          </w:p>
        </w:tc>
        <w:tc>
          <w:tcPr>
            <w:tcW w:w="921" w:type="dxa"/>
            <w:vAlign w:val="center"/>
          </w:tcPr>
          <w:p w14:paraId="4235A0BD" w14:textId="77777777" w:rsidR="0031401A" w:rsidRPr="00640B5D" w:rsidRDefault="0031401A" w:rsidP="00F35080">
            <w:pPr>
              <w:jc w:val="center"/>
              <w:rPr>
                <w:rFonts w:ascii="Arial" w:eastAsiaTheme="minorHAnsi" w:hAnsi="Arial" w:cs="Arial"/>
                <w:b/>
                <w:sz w:val="18"/>
                <w:szCs w:val="18"/>
                <w:lang w:val="en-GB" w:eastAsia="en-US"/>
              </w:rPr>
            </w:pPr>
            <w:r w:rsidRPr="00640B5D">
              <w:rPr>
                <w:rFonts w:ascii="Arial" w:eastAsiaTheme="minorHAnsi" w:hAnsi="Arial" w:cs="Arial"/>
                <w:b/>
                <w:sz w:val="18"/>
                <w:szCs w:val="18"/>
                <w:lang w:eastAsia="en-US"/>
              </w:rPr>
              <w:t>Rate</w:t>
            </w:r>
          </w:p>
        </w:tc>
        <w:tc>
          <w:tcPr>
            <w:tcW w:w="1416" w:type="dxa"/>
            <w:vAlign w:val="center"/>
          </w:tcPr>
          <w:p w14:paraId="1E644BD4"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sz w:val="18"/>
                <w:szCs w:val="18"/>
                <w:lang w:val="en-GB" w:eastAsia="en-US"/>
              </w:rPr>
              <w:t>n/N (%)</w:t>
            </w:r>
          </w:p>
        </w:tc>
        <w:tc>
          <w:tcPr>
            <w:tcW w:w="1417" w:type="dxa"/>
            <w:vAlign w:val="center"/>
          </w:tcPr>
          <w:p w14:paraId="08BDBD57" w14:textId="77777777" w:rsidR="0031401A" w:rsidRPr="00640B5D" w:rsidRDefault="0031401A" w:rsidP="00F35080">
            <w:pPr>
              <w:jc w:val="center"/>
              <w:rPr>
                <w:rFonts w:ascii="Arial" w:eastAsiaTheme="minorHAnsi" w:hAnsi="Arial" w:cs="Arial"/>
                <w:b/>
                <w:sz w:val="18"/>
                <w:szCs w:val="18"/>
                <w:lang w:eastAsia="en-US"/>
              </w:rPr>
            </w:pPr>
            <w:r w:rsidRPr="00640B5D">
              <w:rPr>
                <w:rFonts w:ascii="Arial" w:eastAsiaTheme="minorHAnsi" w:hAnsi="Arial" w:cs="Arial"/>
                <w:b/>
                <w:sz w:val="18"/>
                <w:szCs w:val="18"/>
                <w:lang w:eastAsia="en-US"/>
              </w:rPr>
              <w:t>Rate</w:t>
            </w:r>
          </w:p>
        </w:tc>
        <w:tc>
          <w:tcPr>
            <w:tcW w:w="1417" w:type="dxa"/>
            <w:tcBorders>
              <w:right w:val="single" w:sz="18" w:space="0" w:color="auto"/>
            </w:tcBorders>
            <w:vAlign w:val="center"/>
          </w:tcPr>
          <w:p w14:paraId="7215645B"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bCs/>
                <w:sz w:val="18"/>
                <w:szCs w:val="18"/>
                <w:lang w:eastAsia="en-US"/>
              </w:rPr>
              <w:t>HR (95%CI)</w:t>
            </w:r>
          </w:p>
        </w:tc>
        <w:tc>
          <w:tcPr>
            <w:tcW w:w="817" w:type="dxa"/>
            <w:tcBorders>
              <w:left w:val="single" w:sz="18" w:space="0" w:color="auto"/>
            </w:tcBorders>
            <w:vAlign w:val="center"/>
          </w:tcPr>
          <w:p w14:paraId="39B7E847"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b/>
                <w:bCs/>
                <w:sz w:val="18"/>
                <w:szCs w:val="18"/>
                <w:lang w:eastAsia="en-US"/>
              </w:rPr>
              <w:t>Interaction P value</w:t>
            </w:r>
          </w:p>
        </w:tc>
      </w:tr>
      <w:tr w:rsidR="0031401A" w:rsidRPr="00640B5D" w14:paraId="27E7C1BF" w14:textId="77777777" w:rsidTr="00F35080">
        <w:trPr>
          <w:trHeight w:val="453"/>
        </w:trPr>
        <w:tc>
          <w:tcPr>
            <w:tcW w:w="1253" w:type="dxa"/>
            <w:tcBorders>
              <w:right w:val="single" w:sz="18" w:space="0" w:color="auto"/>
            </w:tcBorders>
            <w:vAlign w:val="center"/>
          </w:tcPr>
          <w:p w14:paraId="1BCF4D38" w14:textId="77777777" w:rsidR="0031401A" w:rsidRPr="00640B5D" w:rsidRDefault="0031401A" w:rsidP="00F35080">
            <w:pPr>
              <w:rPr>
                <w:rFonts w:ascii="Arial" w:eastAsiaTheme="minorHAnsi" w:hAnsi="Arial" w:cs="Arial"/>
                <w:sz w:val="18"/>
                <w:szCs w:val="18"/>
                <w:lang w:val="en-GB" w:eastAsia="en-US"/>
              </w:rPr>
            </w:pPr>
            <w:r w:rsidRPr="00640B5D">
              <w:rPr>
                <w:rFonts w:ascii="Arial" w:eastAsiaTheme="minorHAnsi" w:hAnsi="Arial" w:cs="Arial"/>
                <w:sz w:val="18"/>
                <w:szCs w:val="18"/>
                <w:lang w:eastAsia="en-US"/>
              </w:rPr>
              <w:t>New onset of gout or initiation of anti-gout medication</w:t>
            </w:r>
            <w:r w:rsidRPr="005E6FC6">
              <w:rPr>
                <w:rFonts w:ascii="Arial" w:eastAsiaTheme="minorHAnsi" w:hAnsi="Arial" w:cs="Arial"/>
                <w:sz w:val="18"/>
                <w:szCs w:val="18"/>
                <w:vertAlign w:val="superscript"/>
                <w:lang w:eastAsia="en-US"/>
              </w:rPr>
              <w:t>†</w:t>
            </w:r>
            <w:r w:rsidRPr="00640B5D">
              <w:rPr>
                <w:rFonts w:ascii="Arial" w:eastAsiaTheme="minorHAnsi" w:hAnsi="Arial" w:cs="Arial"/>
                <w:sz w:val="18"/>
                <w:szCs w:val="18"/>
                <w:lang w:val="en-GB" w:eastAsia="en-US"/>
              </w:rPr>
              <w:t> </w:t>
            </w:r>
          </w:p>
        </w:tc>
        <w:tc>
          <w:tcPr>
            <w:tcW w:w="1022" w:type="dxa"/>
            <w:tcBorders>
              <w:left w:val="single" w:sz="18" w:space="0" w:color="auto"/>
            </w:tcBorders>
            <w:vAlign w:val="center"/>
          </w:tcPr>
          <w:p w14:paraId="7AD2293E"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16/1172 (1.4)</w:t>
            </w:r>
          </w:p>
        </w:tc>
        <w:tc>
          <w:tcPr>
            <w:tcW w:w="1022" w:type="dxa"/>
            <w:vAlign w:val="center"/>
          </w:tcPr>
          <w:p w14:paraId="6B852FCC"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5.5</w:t>
            </w:r>
          </w:p>
        </w:tc>
        <w:tc>
          <w:tcPr>
            <w:tcW w:w="1512" w:type="dxa"/>
            <w:vAlign w:val="center"/>
          </w:tcPr>
          <w:p w14:paraId="6F87A41C"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28/2440 (1.1)</w:t>
            </w:r>
          </w:p>
        </w:tc>
        <w:tc>
          <w:tcPr>
            <w:tcW w:w="1512" w:type="dxa"/>
            <w:vAlign w:val="center"/>
          </w:tcPr>
          <w:p w14:paraId="41AFC1E1"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4.4</w:t>
            </w:r>
          </w:p>
        </w:tc>
        <w:tc>
          <w:tcPr>
            <w:tcW w:w="1512" w:type="dxa"/>
            <w:tcBorders>
              <w:right w:val="single" w:sz="18" w:space="0" w:color="auto"/>
            </w:tcBorders>
            <w:vAlign w:val="center"/>
          </w:tcPr>
          <w:p w14:paraId="0EADAA62"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0.82 (0.44, 1.51)</w:t>
            </w:r>
          </w:p>
        </w:tc>
        <w:tc>
          <w:tcPr>
            <w:tcW w:w="921" w:type="dxa"/>
            <w:vAlign w:val="center"/>
          </w:tcPr>
          <w:p w14:paraId="376E3CAE"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98/1015 (9.7)</w:t>
            </w:r>
          </w:p>
        </w:tc>
        <w:tc>
          <w:tcPr>
            <w:tcW w:w="921" w:type="dxa"/>
            <w:vAlign w:val="center"/>
          </w:tcPr>
          <w:p w14:paraId="1B1AB934"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41.8</w:t>
            </w:r>
          </w:p>
        </w:tc>
        <w:tc>
          <w:tcPr>
            <w:tcW w:w="1416" w:type="dxa"/>
            <w:vAlign w:val="center"/>
          </w:tcPr>
          <w:p w14:paraId="6B3FB922"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129/1977 (6.5)</w:t>
            </w:r>
          </w:p>
        </w:tc>
        <w:tc>
          <w:tcPr>
            <w:tcW w:w="1417" w:type="dxa"/>
            <w:vAlign w:val="center"/>
          </w:tcPr>
          <w:p w14:paraId="06AE44DE"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26.9</w:t>
            </w:r>
          </w:p>
        </w:tc>
        <w:tc>
          <w:tcPr>
            <w:tcW w:w="1417" w:type="dxa"/>
            <w:tcBorders>
              <w:right w:val="single" w:sz="18" w:space="0" w:color="auto"/>
            </w:tcBorders>
            <w:vAlign w:val="center"/>
          </w:tcPr>
          <w:p w14:paraId="6694A155"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0.66 (0.51, 0.86)</w:t>
            </w:r>
          </w:p>
        </w:tc>
        <w:tc>
          <w:tcPr>
            <w:tcW w:w="817" w:type="dxa"/>
            <w:tcBorders>
              <w:left w:val="single" w:sz="18" w:space="0" w:color="auto"/>
            </w:tcBorders>
            <w:vAlign w:val="center"/>
          </w:tcPr>
          <w:p w14:paraId="6EFE2BEB"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0.5282</w:t>
            </w:r>
          </w:p>
        </w:tc>
      </w:tr>
      <w:tr w:rsidR="0031401A" w:rsidRPr="00640B5D" w14:paraId="2C66DBBD" w14:textId="77777777" w:rsidTr="00F35080">
        <w:trPr>
          <w:trHeight w:val="505"/>
        </w:trPr>
        <w:tc>
          <w:tcPr>
            <w:tcW w:w="1253" w:type="dxa"/>
            <w:tcBorders>
              <w:right w:val="single" w:sz="18" w:space="0" w:color="auto"/>
            </w:tcBorders>
            <w:vAlign w:val="center"/>
          </w:tcPr>
          <w:p w14:paraId="01007B1B" w14:textId="77777777" w:rsidR="0031401A" w:rsidRPr="00640B5D" w:rsidRDefault="0031401A" w:rsidP="00F35080">
            <w:pPr>
              <w:rPr>
                <w:rFonts w:ascii="Arial" w:eastAsiaTheme="minorHAnsi" w:hAnsi="Arial" w:cs="Arial"/>
                <w:sz w:val="18"/>
                <w:szCs w:val="18"/>
                <w:lang w:val="en-GB" w:eastAsia="en-US"/>
              </w:rPr>
            </w:pPr>
            <w:r w:rsidRPr="00640B5D">
              <w:rPr>
                <w:rFonts w:ascii="Arial" w:eastAsiaTheme="minorHAnsi" w:hAnsi="Arial" w:cs="Arial"/>
                <w:sz w:val="18"/>
                <w:szCs w:val="18"/>
                <w:lang w:val="it-IT" w:eastAsia="en-US"/>
              </w:rPr>
              <w:t>New onset of gout</w:t>
            </w:r>
            <w:r w:rsidRPr="005E6FC6">
              <w:rPr>
                <w:rFonts w:ascii="Arial" w:eastAsiaTheme="minorHAnsi" w:hAnsi="Arial" w:cs="Arial"/>
                <w:sz w:val="18"/>
                <w:szCs w:val="18"/>
                <w:vertAlign w:val="superscript"/>
                <w:lang w:val="it-IT" w:eastAsia="en-US"/>
              </w:rPr>
              <w:t>‡</w:t>
            </w:r>
            <w:r w:rsidRPr="005E6FC6">
              <w:rPr>
                <w:rFonts w:ascii="Arial" w:eastAsiaTheme="minorHAnsi" w:hAnsi="Arial" w:cs="Arial"/>
                <w:sz w:val="18"/>
                <w:szCs w:val="18"/>
                <w:vertAlign w:val="superscript"/>
                <w:lang w:val="en-GB" w:eastAsia="en-US"/>
              </w:rPr>
              <w:t> </w:t>
            </w:r>
          </w:p>
        </w:tc>
        <w:tc>
          <w:tcPr>
            <w:tcW w:w="1022" w:type="dxa"/>
            <w:tcBorders>
              <w:left w:val="single" w:sz="18" w:space="0" w:color="auto"/>
            </w:tcBorders>
            <w:vAlign w:val="center"/>
          </w:tcPr>
          <w:p w14:paraId="0A7F6F90"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1/1231 (0.1)</w:t>
            </w:r>
          </w:p>
        </w:tc>
        <w:tc>
          <w:tcPr>
            <w:tcW w:w="1022" w:type="dxa"/>
            <w:vAlign w:val="center"/>
          </w:tcPr>
          <w:p w14:paraId="55E795FE"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0.3</w:t>
            </w:r>
          </w:p>
        </w:tc>
        <w:tc>
          <w:tcPr>
            <w:tcW w:w="1512" w:type="dxa"/>
            <w:vAlign w:val="center"/>
          </w:tcPr>
          <w:p w14:paraId="30721CD6"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9/2565 (0.4)</w:t>
            </w:r>
          </w:p>
        </w:tc>
        <w:tc>
          <w:tcPr>
            <w:tcW w:w="1512" w:type="dxa"/>
            <w:vAlign w:val="center"/>
          </w:tcPr>
          <w:p w14:paraId="24C8FA96"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1.3</w:t>
            </w:r>
          </w:p>
        </w:tc>
        <w:tc>
          <w:tcPr>
            <w:tcW w:w="1512" w:type="dxa"/>
            <w:tcBorders>
              <w:right w:val="single" w:sz="18" w:space="0" w:color="auto"/>
            </w:tcBorders>
            <w:vAlign w:val="center"/>
          </w:tcPr>
          <w:p w14:paraId="4D4212D9"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NC</w:t>
            </w:r>
          </w:p>
        </w:tc>
        <w:tc>
          <w:tcPr>
            <w:tcW w:w="921" w:type="dxa"/>
            <w:vAlign w:val="center"/>
          </w:tcPr>
          <w:p w14:paraId="7AD9FE2C"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46/1100 (4.2)</w:t>
            </w:r>
          </w:p>
        </w:tc>
        <w:tc>
          <w:tcPr>
            <w:tcW w:w="921" w:type="dxa"/>
            <w:vAlign w:val="center"/>
          </w:tcPr>
          <w:p w14:paraId="17F8DB0B"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17.4</w:t>
            </w:r>
          </w:p>
        </w:tc>
        <w:tc>
          <w:tcPr>
            <w:tcW w:w="1416" w:type="dxa"/>
            <w:vAlign w:val="center"/>
          </w:tcPr>
          <w:p w14:paraId="40F7EE9E"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68/2121 (3.2)</w:t>
            </w:r>
          </w:p>
        </w:tc>
        <w:tc>
          <w:tcPr>
            <w:tcW w:w="1417" w:type="dxa"/>
            <w:vAlign w:val="center"/>
          </w:tcPr>
          <w:p w14:paraId="0289F107"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12.9</w:t>
            </w:r>
          </w:p>
        </w:tc>
        <w:tc>
          <w:tcPr>
            <w:tcW w:w="1417" w:type="dxa"/>
            <w:tcBorders>
              <w:right w:val="single" w:sz="18" w:space="0" w:color="auto"/>
            </w:tcBorders>
            <w:vAlign w:val="center"/>
          </w:tcPr>
          <w:p w14:paraId="00F053EB" w14:textId="77777777" w:rsidR="0031401A" w:rsidRPr="00640B5D" w:rsidRDefault="0031401A" w:rsidP="00F35080">
            <w:pPr>
              <w:jc w:val="center"/>
              <w:rPr>
                <w:rFonts w:ascii="Arial" w:eastAsiaTheme="minorHAnsi" w:hAnsi="Arial" w:cs="Arial"/>
                <w:sz w:val="18"/>
                <w:szCs w:val="18"/>
                <w:lang w:eastAsia="en-US"/>
              </w:rPr>
            </w:pPr>
            <w:r w:rsidRPr="00640B5D">
              <w:rPr>
                <w:rStyle w:val="Marquedecommentaire"/>
                <w:rFonts w:ascii="Arial" w:hAnsi="Arial" w:cs="Arial"/>
                <w:sz w:val="18"/>
                <w:szCs w:val="18"/>
              </w:rPr>
              <w:t>NC</w:t>
            </w:r>
          </w:p>
        </w:tc>
        <w:tc>
          <w:tcPr>
            <w:tcW w:w="817" w:type="dxa"/>
            <w:tcBorders>
              <w:left w:val="single" w:sz="18" w:space="0" w:color="auto"/>
            </w:tcBorders>
            <w:vAlign w:val="center"/>
          </w:tcPr>
          <w:p w14:paraId="1ECFFE98"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w:t>
            </w:r>
          </w:p>
        </w:tc>
      </w:tr>
      <w:tr w:rsidR="0031401A" w:rsidRPr="00640B5D" w14:paraId="546ABF7E" w14:textId="77777777" w:rsidTr="00F35080">
        <w:trPr>
          <w:trHeight w:val="663"/>
        </w:trPr>
        <w:tc>
          <w:tcPr>
            <w:tcW w:w="1253" w:type="dxa"/>
            <w:tcBorders>
              <w:bottom w:val="single" w:sz="18" w:space="0" w:color="auto"/>
              <w:right w:val="single" w:sz="18" w:space="0" w:color="auto"/>
            </w:tcBorders>
            <w:vAlign w:val="center"/>
          </w:tcPr>
          <w:p w14:paraId="0108B625" w14:textId="77777777" w:rsidR="0031401A" w:rsidRPr="00640B5D" w:rsidRDefault="0031401A" w:rsidP="00F35080">
            <w:pP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Initiation of anti-gout medication</w:t>
            </w:r>
            <w:r w:rsidRPr="005E6FC6">
              <w:rPr>
                <w:rFonts w:ascii="Arial" w:eastAsiaTheme="minorHAnsi" w:hAnsi="Arial" w:cs="Arial"/>
                <w:sz w:val="18"/>
                <w:szCs w:val="18"/>
                <w:vertAlign w:val="superscript"/>
                <w:lang w:eastAsia="en-US"/>
              </w:rPr>
              <w:t>†</w:t>
            </w:r>
          </w:p>
        </w:tc>
        <w:tc>
          <w:tcPr>
            <w:tcW w:w="1022" w:type="dxa"/>
            <w:tcBorders>
              <w:left w:val="single" w:sz="18" w:space="0" w:color="auto"/>
              <w:bottom w:val="single" w:sz="18" w:space="0" w:color="auto"/>
            </w:tcBorders>
            <w:vAlign w:val="center"/>
          </w:tcPr>
          <w:p w14:paraId="4640686B"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16/1172 (1.4)</w:t>
            </w:r>
          </w:p>
        </w:tc>
        <w:tc>
          <w:tcPr>
            <w:tcW w:w="1022" w:type="dxa"/>
            <w:tcBorders>
              <w:bottom w:val="single" w:sz="18" w:space="0" w:color="auto"/>
            </w:tcBorders>
            <w:vAlign w:val="center"/>
          </w:tcPr>
          <w:p w14:paraId="2FF2B132"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5.5</w:t>
            </w:r>
          </w:p>
        </w:tc>
        <w:tc>
          <w:tcPr>
            <w:tcW w:w="1512" w:type="dxa"/>
            <w:tcBorders>
              <w:bottom w:val="single" w:sz="18" w:space="0" w:color="auto"/>
            </w:tcBorders>
            <w:vAlign w:val="center"/>
          </w:tcPr>
          <w:p w14:paraId="0C848A1B"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26/2440 (1.1)</w:t>
            </w:r>
          </w:p>
        </w:tc>
        <w:tc>
          <w:tcPr>
            <w:tcW w:w="1512" w:type="dxa"/>
            <w:tcBorders>
              <w:bottom w:val="single" w:sz="18" w:space="0" w:color="auto"/>
            </w:tcBorders>
            <w:vAlign w:val="center"/>
          </w:tcPr>
          <w:p w14:paraId="53B2F776"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4.1</w:t>
            </w:r>
          </w:p>
        </w:tc>
        <w:tc>
          <w:tcPr>
            <w:tcW w:w="1512" w:type="dxa"/>
            <w:tcBorders>
              <w:bottom w:val="single" w:sz="18" w:space="0" w:color="auto"/>
              <w:right w:val="single" w:sz="18" w:space="0" w:color="auto"/>
            </w:tcBorders>
            <w:vAlign w:val="center"/>
          </w:tcPr>
          <w:p w14:paraId="13CC58EA"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0.76 (0.41, 1.41)</w:t>
            </w:r>
          </w:p>
        </w:tc>
        <w:tc>
          <w:tcPr>
            <w:tcW w:w="921" w:type="dxa"/>
            <w:tcBorders>
              <w:bottom w:val="single" w:sz="18" w:space="0" w:color="auto"/>
            </w:tcBorders>
            <w:vAlign w:val="center"/>
          </w:tcPr>
          <w:p w14:paraId="217BC3D4"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88/1015 (8.7)</w:t>
            </w:r>
          </w:p>
        </w:tc>
        <w:tc>
          <w:tcPr>
            <w:tcW w:w="921" w:type="dxa"/>
            <w:tcBorders>
              <w:bottom w:val="single" w:sz="18" w:space="0" w:color="auto"/>
            </w:tcBorders>
            <w:vAlign w:val="center"/>
          </w:tcPr>
          <w:p w14:paraId="2414660C"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37.3</w:t>
            </w:r>
          </w:p>
        </w:tc>
        <w:tc>
          <w:tcPr>
            <w:tcW w:w="1416" w:type="dxa"/>
            <w:tcBorders>
              <w:bottom w:val="single" w:sz="18" w:space="0" w:color="auto"/>
            </w:tcBorders>
            <w:vAlign w:val="center"/>
          </w:tcPr>
          <w:p w14:paraId="3D9B9F85"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109/1977 (5.5)</w:t>
            </w:r>
          </w:p>
        </w:tc>
        <w:tc>
          <w:tcPr>
            <w:tcW w:w="1417" w:type="dxa"/>
            <w:tcBorders>
              <w:bottom w:val="single" w:sz="18" w:space="0" w:color="auto"/>
            </w:tcBorders>
            <w:vAlign w:val="center"/>
          </w:tcPr>
          <w:p w14:paraId="16437DE5"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22.6</w:t>
            </w:r>
          </w:p>
        </w:tc>
        <w:tc>
          <w:tcPr>
            <w:tcW w:w="1417" w:type="dxa"/>
            <w:tcBorders>
              <w:bottom w:val="single" w:sz="18" w:space="0" w:color="auto"/>
              <w:right w:val="single" w:sz="18" w:space="0" w:color="auto"/>
            </w:tcBorders>
            <w:vAlign w:val="center"/>
          </w:tcPr>
          <w:p w14:paraId="36418618"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0.62 (0.47, 0.82)</w:t>
            </w:r>
          </w:p>
        </w:tc>
        <w:tc>
          <w:tcPr>
            <w:tcW w:w="817" w:type="dxa"/>
            <w:tcBorders>
              <w:left w:val="single" w:sz="18" w:space="0" w:color="auto"/>
              <w:bottom w:val="single" w:sz="18" w:space="0" w:color="auto"/>
            </w:tcBorders>
            <w:vAlign w:val="center"/>
          </w:tcPr>
          <w:p w14:paraId="0AC220A3"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0.5621</w:t>
            </w:r>
          </w:p>
        </w:tc>
      </w:tr>
      <w:tr w:rsidR="0031401A" w:rsidRPr="00640B5D" w14:paraId="4C9C265D" w14:textId="77777777" w:rsidTr="00F35080">
        <w:trPr>
          <w:trHeight w:val="467"/>
        </w:trPr>
        <w:tc>
          <w:tcPr>
            <w:tcW w:w="1253" w:type="dxa"/>
            <w:tcBorders>
              <w:top w:val="single" w:sz="18" w:space="0" w:color="auto"/>
              <w:right w:val="single" w:sz="18" w:space="0" w:color="auto"/>
            </w:tcBorders>
            <w:vAlign w:val="center"/>
          </w:tcPr>
          <w:p w14:paraId="1E411A0B" w14:textId="77777777" w:rsidR="0031401A" w:rsidRPr="00640B5D" w:rsidRDefault="0031401A" w:rsidP="00F35080">
            <w:pPr>
              <w:jc w:val="center"/>
              <w:rPr>
                <w:rFonts w:ascii="Arial" w:eastAsiaTheme="minorHAnsi" w:hAnsi="Arial" w:cs="Arial"/>
                <w:sz w:val="18"/>
                <w:szCs w:val="18"/>
                <w:lang w:val="en-GB" w:eastAsia="en-US"/>
              </w:rPr>
            </w:pPr>
          </w:p>
        </w:tc>
        <w:tc>
          <w:tcPr>
            <w:tcW w:w="6580" w:type="dxa"/>
            <w:gridSpan w:val="5"/>
            <w:tcBorders>
              <w:top w:val="single" w:sz="18" w:space="0" w:color="auto"/>
              <w:left w:val="single" w:sz="18" w:space="0" w:color="auto"/>
              <w:right w:val="single" w:sz="18" w:space="0" w:color="auto"/>
            </w:tcBorders>
            <w:shd w:val="clear" w:color="auto" w:fill="E7E6E6" w:themeFill="background2"/>
            <w:vAlign w:val="center"/>
          </w:tcPr>
          <w:p w14:paraId="4290E699"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val="da-DK" w:eastAsia="en-US"/>
              </w:rPr>
              <w:t>UA &lt;7.0 mg/dL at baseline</w:t>
            </w:r>
          </w:p>
        </w:tc>
        <w:tc>
          <w:tcPr>
            <w:tcW w:w="6092" w:type="dxa"/>
            <w:gridSpan w:val="5"/>
            <w:tcBorders>
              <w:top w:val="single" w:sz="18" w:space="0" w:color="auto"/>
              <w:right w:val="single" w:sz="18" w:space="0" w:color="auto"/>
            </w:tcBorders>
            <w:shd w:val="clear" w:color="auto" w:fill="E7E6E6" w:themeFill="background2"/>
            <w:vAlign w:val="center"/>
          </w:tcPr>
          <w:p w14:paraId="4BEB43D0"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val="da-DK" w:eastAsia="en-US"/>
              </w:rPr>
              <w:t>UA ≥7.0 mg/dL at baseline</w:t>
            </w:r>
          </w:p>
        </w:tc>
        <w:tc>
          <w:tcPr>
            <w:tcW w:w="817" w:type="dxa"/>
            <w:tcBorders>
              <w:top w:val="single" w:sz="18" w:space="0" w:color="auto"/>
              <w:left w:val="single" w:sz="18" w:space="0" w:color="auto"/>
            </w:tcBorders>
            <w:vAlign w:val="center"/>
          </w:tcPr>
          <w:p w14:paraId="1B95604D" w14:textId="77777777" w:rsidR="0031401A" w:rsidRPr="00640B5D" w:rsidRDefault="0031401A" w:rsidP="00F35080">
            <w:pPr>
              <w:jc w:val="center"/>
              <w:rPr>
                <w:rFonts w:ascii="Arial" w:eastAsiaTheme="minorHAnsi" w:hAnsi="Arial" w:cs="Arial"/>
                <w:sz w:val="18"/>
                <w:szCs w:val="18"/>
                <w:lang w:val="en-GB" w:eastAsia="en-US"/>
              </w:rPr>
            </w:pPr>
          </w:p>
        </w:tc>
      </w:tr>
      <w:tr w:rsidR="0031401A" w:rsidRPr="00640B5D" w14:paraId="352B4A79" w14:textId="77777777" w:rsidTr="00F35080">
        <w:trPr>
          <w:trHeight w:val="467"/>
        </w:trPr>
        <w:tc>
          <w:tcPr>
            <w:tcW w:w="1253" w:type="dxa"/>
            <w:vMerge w:val="restart"/>
            <w:tcBorders>
              <w:right w:val="single" w:sz="18" w:space="0" w:color="auto"/>
            </w:tcBorders>
            <w:vAlign w:val="center"/>
          </w:tcPr>
          <w:p w14:paraId="1D78A710" w14:textId="77777777" w:rsidR="0031401A" w:rsidRPr="00640B5D" w:rsidRDefault="0031401A" w:rsidP="00F35080">
            <w:pPr>
              <w:jc w:val="center"/>
              <w:rPr>
                <w:rFonts w:ascii="Arial" w:eastAsiaTheme="minorHAnsi" w:hAnsi="Arial" w:cs="Arial"/>
                <w:sz w:val="18"/>
                <w:szCs w:val="18"/>
                <w:lang w:val="en-GB" w:eastAsia="en-US"/>
              </w:rPr>
            </w:pPr>
          </w:p>
        </w:tc>
        <w:tc>
          <w:tcPr>
            <w:tcW w:w="2044" w:type="dxa"/>
            <w:gridSpan w:val="2"/>
            <w:tcBorders>
              <w:left w:val="single" w:sz="18" w:space="0" w:color="auto"/>
            </w:tcBorders>
            <w:shd w:val="clear" w:color="auto" w:fill="E7E6E6" w:themeFill="background2"/>
            <w:vAlign w:val="center"/>
          </w:tcPr>
          <w:p w14:paraId="38ADCC28" w14:textId="77777777" w:rsidR="0031401A" w:rsidRPr="00640B5D" w:rsidRDefault="0031401A" w:rsidP="00F35080">
            <w:pPr>
              <w:jc w:val="center"/>
              <w:rPr>
                <w:rFonts w:ascii="Arial" w:eastAsiaTheme="minorHAnsi" w:hAnsi="Arial" w:cs="Arial"/>
                <w:b/>
                <w:bCs/>
                <w:sz w:val="18"/>
                <w:szCs w:val="18"/>
                <w:lang w:val="da-DK" w:eastAsia="en-US"/>
              </w:rPr>
            </w:pPr>
            <w:r w:rsidRPr="00640B5D">
              <w:rPr>
                <w:rFonts w:ascii="Arial" w:eastAsiaTheme="minorHAnsi" w:hAnsi="Arial" w:cs="Arial"/>
                <w:b/>
                <w:bCs/>
                <w:sz w:val="18"/>
                <w:szCs w:val="18"/>
                <w:lang w:eastAsia="en-US"/>
              </w:rPr>
              <w:t>Placebo</w:t>
            </w:r>
          </w:p>
        </w:tc>
        <w:tc>
          <w:tcPr>
            <w:tcW w:w="4536" w:type="dxa"/>
            <w:gridSpan w:val="3"/>
            <w:tcBorders>
              <w:right w:val="single" w:sz="18" w:space="0" w:color="auto"/>
            </w:tcBorders>
            <w:shd w:val="clear" w:color="auto" w:fill="E7E6E6" w:themeFill="background2"/>
            <w:vAlign w:val="center"/>
          </w:tcPr>
          <w:p w14:paraId="7E7DEEF9"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eastAsia="en-US"/>
              </w:rPr>
              <w:t>Empagliflozin (10 and 25 mg pooled)</w:t>
            </w:r>
          </w:p>
        </w:tc>
        <w:tc>
          <w:tcPr>
            <w:tcW w:w="1842" w:type="dxa"/>
            <w:gridSpan w:val="2"/>
            <w:shd w:val="clear" w:color="auto" w:fill="E7E6E6" w:themeFill="background2"/>
            <w:vAlign w:val="center"/>
          </w:tcPr>
          <w:p w14:paraId="4045BB7F" w14:textId="77777777" w:rsidR="0031401A" w:rsidRPr="00640B5D" w:rsidRDefault="0031401A" w:rsidP="00F35080">
            <w:pPr>
              <w:jc w:val="center"/>
              <w:rPr>
                <w:rFonts w:ascii="Arial" w:hAnsi="Arial" w:cs="Arial"/>
                <w:bCs/>
                <w:color w:val="000000" w:themeColor="text1"/>
                <w:kern w:val="24"/>
                <w:sz w:val="18"/>
                <w:szCs w:val="18"/>
                <w:lang w:eastAsia="en-US"/>
              </w:rPr>
            </w:pPr>
            <w:r w:rsidRPr="00640B5D">
              <w:rPr>
                <w:rFonts w:ascii="Arial" w:eastAsiaTheme="minorHAnsi" w:hAnsi="Arial" w:cs="Arial"/>
                <w:b/>
                <w:bCs/>
                <w:sz w:val="18"/>
                <w:szCs w:val="18"/>
                <w:lang w:eastAsia="en-US"/>
              </w:rPr>
              <w:t>Placebo</w:t>
            </w:r>
          </w:p>
        </w:tc>
        <w:tc>
          <w:tcPr>
            <w:tcW w:w="4250" w:type="dxa"/>
            <w:gridSpan w:val="3"/>
            <w:tcBorders>
              <w:right w:val="single" w:sz="18" w:space="0" w:color="auto"/>
            </w:tcBorders>
            <w:shd w:val="clear" w:color="auto" w:fill="E7E6E6" w:themeFill="background2"/>
            <w:vAlign w:val="center"/>
          </w:tcPr>
          <w:p w14:paraId="4E36C67C"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eastAsia="en-US"/>
              </w:rPr>
              <w:t>Empagliflozin (10 and 25 mg pooled)</w:t>
            </w:r>
          </w:p>
        </w:tc>
        <w:tc>
          <w:tcPr>
            <w:tcW w:w="817" w:type="dxa"/>
            <w:tcBorders>
              <w:left w:val="single" w:sz="18" w:space="0" w:color="auto"/>
            </w:tcBorders>
            <w:vAlign w:val="center"/>
          </w:tcPr>
          <w:p w14:paraId="26696A9A" w14:textId="77777777" w:rsidR="0031401A" w:rsidRPr="00640B5D" w:rsidRDefault="0031401A" w:rsidP="00F35080">
            <w:pPr>
              <w:jc w:val="center"/>
              <w:rPr>
                <w:rFonts w:ascii="Arial" w:eastAsiaTheme="minorHAnsi" w:hAnsi="Arial" w:cs="Arial"/>
                <w:sz w:val="18"/>
                <w:szCs w:val="18"/>
                <w:lang w:val="en-GB" w:eastAsia="en-US"/>
              </w:rPr>
            </w:pPr>
          </w:p>
        </w:tc>
      </w:tr>
      <w:tr w:rsidR="0031401A" w:rsidRPr="00640B5D" w14:paraId="744FB865" w14:textId="77777777" w:rsidTr="00F35080">
        <w:trPr>
          <w:trHeight w:val="467"/>
        </w:trPr>
        <w:tc>
          <w:tcPr>
            <w:tcW w:w="1253" w:type="dxa"/>
            <w:vMerge/>
            <w:tcBorders>
              <w:right w:val="single" w:sz="18" w:space="0" w:color="auto"/>
            </w:tcBorders>
          </w:tcPr>
          <w:p w14:paraId="58D4C418" w14:textId="77777777" w:rsidR="0031401A" w:rsidRPr="00640B5D" w:rsidRDefault="0031401A" w:rsidP="00F35080">
            <w:pPr>
              <w:rPr>
                <w:rFonts w:ascii="Arial" w:eastAsiaTheme="minorHAnsi" w:hAnsi="Arial" w:cs="Arial"/>
                <w:sz w:val="18"/>
                <w:szCs w:val="18"/>
                <w:lang w:val="en-GB" w:eastAsia="en-US"/>
              </w:rPr>
            </w:pPr>
          </w:p>
        </w:tc>
        <w:tc>
          <w:tcPr>
            <w:tcW w:w="1022" w:type="dxa"/>
            <w:tcBorders>
              <w:left w:val="single" w:sz="18" w:space="0" w:color="auto"/>
            </w:tcBorders>
            <w:vAlign w:val="center"/>
          </w:tcPr>
          <w:p w14:paraId="7573B923" w14:textId="77777777" w:rsidR="0031401A" w:rsidRPr="00640B5D" w:rsidRDefault="0031401A" w:rsidP="00F35080">
            <w:pPr>
              <w:jc w:val="center"/>
              <w:rPr>
                <w:rFonts w:ascii="Arial" w:eastAsiaTheme="minorHAnsi" w:hAnsi="Arial" w:cs="Arial"/>
                <w:b/>
                <w:bCs/>
                <w:sz w:val="18"/>
                <w:szCs w:val="18"/>
                <w:lang w:eastAsia="en-US"/>
              </w:rPr>
            </w:pPr>
            <w:r w:rsidRPr="00640B5D">
              <w:rPr>
                <w:rFonts w:ascii="Arial" w:eastAsiaTheme="minorHAnsi" w:hAnsi="Arial" w:cs="Arial"/>
                <w:b/>
                <w:sz w:val="18"/>
                <w:szCs w:val="18"/>
                <w:lang w:val="en-GB" w:eastAsia="en-US"/>
              </w:rPr>
              <w:t>n/N (%)</w:t>
            </w:r>
          </w:p>
        </w:tc>
        <w:tc>
          <w:tcPr>
            <w:tcW w:w="1022" w:type="dxa"/>
            <w:vAlign w:val="center"/>
          </w:tcPr>
          <w:p w14:paraId="73926D8C" w14:textId="77777777" w:rsidR="0031401A" w:rsidRPr="00640B5D" w:rsidRDefault="0031401A" w:rsidP="00F35080">
            <w:pPr>
              <w:jc w:val="center"/>
              <w:rPr>
                <w:rFonts w:ascii="Arial" w:eastAsiaTheme="minorHAnsi" w:hAnsi="Arial" w:cs="Arial"/>
                <w:b/>
                <w:bCs/>
                <w:sz w:val="18"/>
                <w:szCs w:val="18"/>
                <w:lang w:eastAsia="en-US"/>
              </w:rPr>
            </w:pPr>
            <w:r w:rsidRPr="00640B5D">
              <w:rPr>
                <w:rFonts w:ascii="Arial" w:eastAsiaTheme="minorHAnsi" w:hAnsi="Arial" w:cs="Arial"/>
                <w:b/>
                <w:sz w:val="18"/>
                <w:szCs w:val="18"/>
                <w:lang w:eastAsia="en-US"/>
              </w:rPr>
              <w:t>Rate</w:t>
            </w:r>
          </w:p>
        </w:tc>
        <w:tc>
          <w:tcPr>
            <w:tcW w:w="1512" w:type="dxa"/>
            <w:vAlign w:val="center"/>
          </w:tcPr>
          <w:p w14:paraId="53817B2F" w14:textId="77777777" w:rsidR="0031401A" w:rsidRPr="00640B5D" w:rsidRDefault="0031401A" w:rsidP="00F35080">
            <w:pPr>
              <w:jc w:val="center"/>
              <w:rPr>
                <w:rFonts w:ascii="Arial" w:eastAsiaTheme="minorHAnsi" w:hAnsi="Arial" w:cs="Arial"/>
                <w:b/>
                <w:bCs/>
                <w:sz w:val="18"/>
                <w:szCs w:val="18"/>
                <w:lang w:eastAsia="en-US"/>
              </w:rPr>
            </w:pPr>
            <w:r w:rsidRPr="00640B5D">
              <w:rPr>
                <w:rFonts w:ascii="Arial" w:eastAsiaTheme="minorHAnsi" w:hAnsi="Arial" w:cs="Arial"/>
                <w:b/>
                <w:sz w:val="18"/>
                <w:szCs w:val="18"/>
                <w:lang w:val="en-GB" w:eastAsia="en-US"/>
              </w:rPr>
              <w:t>n/N (%)</w:t>
            </w:r>
          </w:p>
        </w:tc>
        <w:tc>
          <w:tcPr>
            <w:tcW w:w="1512" w:type="dxa"/>
            <w:vAlign w:val="center"/>
          </w:tcPr>
          <w:p w14:paraId="295FA67F" w14:textId="77777777" w:rsidR="0031401A" w:rsidRPr="00640B5D" w:rsidRDefault="0031401A" w:rsidP="00F35080">
            <w:pPr>
              <w:jc w:val="center"/>
              <w:rPr>
                <w:rFonts w:ascii="Arial" w:eastAsiaTheme="minorHAnsi" w:hAnsi="Arial" w:cs="Arial"/>
                <w:b/>
                <w:bCs/>
                <w:sz w:val="18"/>
                <w:szCs w:val="18"/>
                <w:lang w:eastAsia="en-US"/>
              </w:rPr>
            </w:pPr>
            <w:r w:rsidRPr="00640B5D">
              <w:rPr>
                <w:rFonts w:ascii="Arial" w:eastAsiaTheme="minorHAnsi" w:hAnsi="Arial" w:cs="Arial"/>
                <w:b/>
                <w:sz w:val="18"/>
                <w:szCs w:val="18"/>
                <w:lang w:eastAsia="en-US"/>
              </w:rPr>
              <w:t>Rate</w:t>
            </w:r>
          </w:p>
        </w:tc>
        <w:tc>
          <w:tcPr>
            <w:tcW w:w="1512" w:type="dxa"/>
            <w:tcBorders>
              <w:right w:val="single" w:sz="18" w:space="0" w:color="auto"/>
            </w:tcBorders>
            <w:vAlign w:val="center"/>
          </w:tcPr>
          <w:p w14:paraId="5583299B"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eastAsia="en-US"/>
              </w:rPr>
              <w:t>HR (95%CI)</w:t>
            </w:r>
          </w:p>
        </w:tc>
        <w:tc>
          <w:tcPr>
            <w:tcW w:w="921" w:type="dxa"/>
            <w:vAlign w:val="center"/>
          </w:tcPr>
          <w:p w14:paraId="23E0067D" w14:textId="77777777" w:rsidR="0031401A" w:rsidRPr="00640B5D" w:rsidRDefault="0031401A" w:rsidP="00F35080">
            <w:pPr>
              <w:jc w:val="center"/>
              <w:rPr>
                <w:rFonts w:ascii="Arial" w:hAnsi="Arial" w:cs="Arial"/>
                <w:bCs/>
                <w:color w:val="000000" w:themeColor="text1"/>
                <w:kern w:val="24"/>
                <w:sz w:val="18"/>
                <w:szCs w:val="18"/>
                <w:lang w:eastAsia="en-US"/>
              </w:rPr>
            </w:pPr>
            <w:r w:rsidRPr="00640B5D">
              <w:rPr>
                <w:rFonts w:ascii="Arial" w:eastAsiaTheme="minorHAnsi" w:hAnsi="Arial" w:cs="Arial"/>
                <w:b/>
                <w:sz w:val="18"/>
                <w:szCs w:val="18"/>
                <w:lang w:val="en-GB" w:eastAsia="en-US"/>
              </w:rPr>
              <w:t>n/N (%)</w:t>
            </w:r>
          </w:p>
        </w:tc>
        <w:tc>
          <w:tcPr>
            <w:tcW w:w="921" w:type="dxa"/>
            <w:vAlign w:val="center"/>
          </w:tcPr>
          <w:p w14:paraId="6465A174" w14:textId="77777777" w:rsidR="0031401A" w:rsidRPr="00640B5D" w:rsidRDefault="0031401A" w:rsidP="00F35080">
            <w:pPr>
              <w:jc w:val="center"/>
              <w:rPr>
                <w:rFonts w:ascii="Arial" w:hAnsi="Arial" w:cs="Arial"/>
                <w:bCs/>
                <w:color w:val="000000" w:themeColor="text1"/>
                <w:kern w:val="24"/>
                <w:sz w:val="18"/>
                <w:szCs w:val="18"/>
                <w:lang w:eastAsia="en-US"/>
              </w:rPr>
            </w:pPr>
            <w:r w:rsidRPr="00640B5D">
              <w:rPr>
                <w:rFonts w:ascii="Arial" w:eastAsiaTheme="minorHAnsi" w:hAnsi="Arial" w:cs="Arial"/>
                <w:b/>
                <w:sz w:val="18"/>
                <w:szCs w:val="18"/>
                <w:lang w:eastAsia="en-US"/>
              </w:rPr>
              <w:t>Rate</w:t>
            </w:r>
          </w:p>
        </w:tc>
        <w:tc>
          <w:tcPr>
            <w:tcW w:w="1416" w:type="dxa"/>
            <w:vAlign w:val="center"/>
          </w:tcPr>
          <w:p w14:paraId="29EFDA40" w14:textId="77777777" w:rsidR="0031401A" w:rsidRPr="00640B5D" w:rsidRDefault="0031401A" w:rsidP="00F35080">
            <w:pPr>
              <w:jc w:val="center"/>
              <w:rPr>
                <w:rFonts w:ascii="Arial" w:hAnsi="Arial" w:cs="Arial"/>
                <w:bCs/>
                <w:color w:val="000000" w:themeColor="text1"/>
                <w:kern w:val="24"/>
                <w:sz w:val="18"/>
                <w:szCs w:val="18"/>
                <w:lang w:eastAsia="en-US"/>
              </w:rPr>
            </w:pPr>
            <w:r w:rsidRPr="00640B5D">
              <w:rPr>
                <w:rFonts w:ascii="Arial" w:eastAsiaTheme="minorHAnsi" w:hAnsi="Arial" w:cs="Arial"/>
                <w:b/>
                <w:sz w:val="18"/>
                <w:szCs w:val="18"/>
                <w:lang w:val="en-GB" w:eastAsia="en-US"/>
              </w:rPr>
              <w:t>n/N (%)</w:t>
            </w:r>
          </w:p>
        </w:tc>
        <w:tc>
          <w:tcPr>
            <w:tcW w:w="1417" w:type="dxa"/>
            <w:vAlign w:val="center"/>
          </w:tcPr>
          <w:p w14:paraId="71948D6F" w14:textId="77777777" w:rsidR="0031401A" w:rsidRPr="00640B5D" w:rsidRDefault="0031401A" w:rsidP="00F35080">
            <w:pPr>
              <w:jc w:val="center"/>
              <w:rPr>
                <w:rFonts w:ascii="Arial" w:hAnsi="Arial" w:cs="Arial"/>
                <w:bCs/>
                <w:color w:val="000000" w:themeColor="text1"/>
                <w:kern w:val="24"/>
                <w:sz w:val="18"/>
                <w:szCs w:val="18"/>
                <w:lang w:eastAsia="en-US"/>
              </w:rPr>
            </w:pPr>
            <w:r w:rsidRPr="00640B5D">
              <w:rPr>
                <w:rFonts w:ascii="Arial" w:eastAsiaTheme="minorHAnsi" w:hAnsi="Arial" w:cs="Arial"/>
                <w:b/>
                <w:sz w:val="18"/>
                <w:szCs w:val="18"/>
                <w:lang w:eastAsia="en-US"/>
              </w:rPr>
              <w:t>Rate</w:t>
            </w:r>
          </w:p>
        </w:tc>
        <w:tc>
          <w:tcPr>
            <w:tcW w:w="1417" w:type="dxa"/>
            <w:tcBorders>
              <w:right w:val="single" w:sz="18" w:space="0" w:color="auto"/>
            </w:tcBorders>
            <w:vAlign w:val="center"/>
          </w:tcPr>
          <w:p w14:paraId="6B02C066"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eastAsia="en-US"/>
              </w:rPr>
              <w:t>HR (95%CI)</w:t>
            </w:r>
          </w:p>
        </w:tc>
        <w:tc>
          <w:tcPr>
            <w:tcW w:w="817" w:type="dxa"/>
            <w:tcBorders>
              <w:left w:val="single" w:sz="18" w:space="0" w:color="auto"/>
            </w:tcBorders>
            <w:vAlign w:val="center"/>
          </w:tcPr>
          <w:p w14:paraId="639C0A9B"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b/>
                <w:bCs/>
                <w:sz w:val="18"/>
                <w:szCs w:val="18"/>
                <w:lang w:eastAsia="en-US"/>
              </w:rPr>
              <w:t>Interaction P value</w:t>
            </w:r>
          </w:p>
        </w:tc>
      </w:tr>
      <w:tr w:rsidR="0031401A" w:rsidRPr="00640B5D" w14:paraId="1AE63042" w14:textId="77777777" w:rsidTr="00F35080">
        <w:trPr>
          <w:trHeight w:val="467"/>
        </w:trPr>
        <w:tc>
          <w:tcPr>
            <w:tcW w:w="1253" w:type="dxa"/>
            <w:tcBorders>
              <w:right w:val="single" w:sz="18" w:space="0" w:color="auto"/>
            </w:tcBorders>
            <w:vAlign w:val="center"/>
          </w:tcPr>
          <w:p w14:paraId="3161DD99" w14:textId="77777777" w:rsidR="0031401A" w:rsidRPr="00640B5D" w:rsidRDefault="0031401A" w:rsidP="00F35080">
            <w:pPr>
              <w:rPr>
                <w:rFonts w:ascii="Arial" w:eastAsiaTheme="minorHAnsi" w:hAnsi="Arial" w:cs="Arial"/>
                <w:sz w:val="18"/>
                <w:szCs w:val="18"/>
                <w:lang w:val="en-GB" w:eastAsia="en-US"/>
              </w:rPr>
            </w:pPr>
            <w:r w:rsidRPr="00640B5D">
              <w:rPr>
                <w:rFonts w:ascii="Arial" w:eastAsiaTheme="minorHAnsi" w:hAnsi="Arial" w:cs="Arial"/>
                <w:sz w:val="18"/>
                <w:szCs w:val="18"/>
                <w:lang w:eastAsia="en-US"/>
              </w:rPr>
              <w:t>New onset of gout or initiation of anti-gout medication</w:t>
            </w:r>
            <w:r w:rsidRPr="005E6FC6">
              <w:rPr>
                <w:rFonts w:ascii="Arial" w:eastAsiaTheme="minorHAnsi" w:hAnsi="Arial" w:cs="Arial"/>
                <w:sz w:val="18"/>
                <w:szCs w:val="18"/>
                <w:vertAlign w:val="superscript"/>
                <w:lang w:eastAsia="en-US"/>
              </w:rPr>
              <w:t>†</w:t>
            </w:r>
            <w:r w:rsidRPr="00640B5D">
              <w:rPr>
                <w:rFonts w:ascii="Arial" w:eastAsiaTheme="minorHAnsi" w:hAnsi="Arial" w:cs="Arial"/>
                <w:sz w:val="18"/>
                <w:szCs w:val="18"/>
                <w:lang w:val="en-GB" w:eastAsia="en-US"/>
              </w:rPr>
              <w:t> </w:t>
            </w:r>
          </w:p>
        </w:tc>
        <w:tc>
          <w:tcPr>
            <w:tcW w:w="1022" w:type="dxa"/>
            <w:tcBorders>
              <w:left w:val="single" w:sz="18" w:space="0" w:color="auto"/>
            </w:tcBorders>
            <w:vAlign w:val="center"/>
          </w:tcPr>
          <w:p w14:paraId="127F076F"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36/1678 (2.1)</w:t>
            </w:r>
          </w:p>
        </w:tc>
        <w:tc>
          <w:tcPr>
            <w:tcW w:w="1022" w:type="dxa"/>
            <w:vAlign w:val="center"/>
          </w:tcPr>
          <w:p w14:paraId="2E4CE06D"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8.7</w:t>
            </w:r>
          </w:p>
        </w:tc>
        <w:tc>
          <w:tcPr>
            <w:tcW w:w="1512" w:type="dxa"/>
            <w:vAlign w:val="center"/>
          </w:tcPr>
          <w:p w14:paraId="564A8ACA"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50/3444 (1.5)</w:t>
            </w:r>
          </w:p>
        </w:tc>
        <w:tc>
          <w:tcPr>
            <w:tcW w:w="1512" w:type="dxa"/>
            <w:vAlign w:val="center"/>
          </w:tcPr>
          <w:p w14:paraId="04BB5562"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5.6</w:t>
            </w:r>
          </w:p>
        </w:tc>
        <w:tc>
          <w:tcPr>
            <w:tcW w:w="1512" w:type="dxa"/>
            <w:tcBorders>
              <w:right w:val="single" w:sz="18" w:space="0" w:color="auto"/>
            </w:tcBorders>
            <w:vAlign w:val="center"/>
          </w:tcPr>
          <w:p w14:paraId="21C73698"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0.66 (0.43, 1.02)</w:t>
            </w:r>
          </w:p>
        </w:tc>
        <w:tc>
          <w:tcPr>
            <w:tcW w:w="921" w:type="dxa"/>
            <w:vAlign w:val="center"/>
          </w:tcPr>
          <w:p w14:paraId="72861C37"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78/509 (15.3)</w:t>
            </w:r>
          </w:p>
        </w:tc>
        <w:tc>
          <w:tcPr>
            <w:tcW w:w="921" w:type="dxa"/>
            <w:vAlign w:val="center"/>
          </w:tcPr>
          <w:p w14:paraId="1DF55043"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7.05</w:t>
            </w:r>
          </w:p>
        </w:tc>
        <w:tc>
          <w:tcPr>
            <w:tcW w:w="1416" w:type="dxa"/>
            <w:vAlign w:val="center"/>
          </w:tcPr>
          <w:p w14:paraId="6714CB91"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107/973 (11.0)</w:t>
            </w:r>
          </w:p>
        </w:tc>
        <w:tc>
          <w:tcPr>
            <w:tcW w:w="1417" w:type="dxa"/>
            <w:vAlign w:val="center"/>
          </w:tcPr>
          <w:p w14:paraId="23D2607B"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48.3</w:t>
            </w:r>
          </w:p>
        </w:tc>
        <w:tc>
          <w:tcPr>
            <w:tcW w:w="1417" w:type="dxa"/>
            <w:tcBorders>
              <w:right w:val="single" w:sz="18" w:space="0" w:color="auto"/>
            </w:tcBorders>
            <w:vAlign w:val="center"/>
          </w:tcPr>
          <w:p w14:paraId="58CC0A40"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0.68 (0.51, 0.91)</w:t>
            </w:r>
          </w:p>
        </w:tc>
        <w:tc>
          <w:tcPr>
            <w:tcW w:w="817" w:type="dxa"/>
            <w:tcBorders>
              <w:left w:val="single" w:sz="18" w:space="0" w:color="auto"/>
            </w:tcBorders>
            <w:vAlign w:val="center"/>
          </w:tcPr>
          <w:p w14:paraId="26B2229A"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0.9377</w:t>
            </w:r>
          </w:p>
        </w:tc>
      </w:tr>
      <w:tr w:rsidR="0031401A" w:rsidRPr="00640B5D" w14:paraId="4178D6BA" w14:textId="77777777" w:rsidTr="00F35080">
        <w:trPr>
          <w:trHeight w:val="467"/>
        </w:trPr>
        <w:tc>
          <w:tcPr>
            <w:tcW w:w="1253" w:type="dxa"/>
            <w:tcBorders>
              <w:right w:val="single" w:sz="18" w:space="0" w:color="auto"/>
            </w:tcBorders>
            <w:vAlign w:val="center"/>
          </w:tcPr>
          <w:p w14:paraId="0BD6244E" w14:textId="77777777" w:rsidR="0031401A" w:rsidRPr="00640B5D" w:rsidRDefault="0031401A" w:rsidP="00F35080">
            <w:pPr>
              <w:rPr>
                <w:rFonts w:ascii="Arial" w:eastAsiaTheme="minorHAnsi" w:hAnsi="Arial" w:cs="Arial"/>
                <w:sz w:val="18"/>
                <w:szCs w:val="18"/>
                <w:lang w:eastAsia="en-US"/>
              </w:rPr>
            </w:pPr>
            <w:r w:rsidRPr="00640B5D">
              <w:rPr>
                <w:rFonts w:ascii="Arial" w:eastAsiaTheme="minorHAnsi" w:hAnsi="Arial" w:cs="Arial"/>
                <w:sz w:val="18"/>
                <w:szCs w:val="18"/>
                <w:lang w:val="it-IT" w:eastAsia="en-US"/>
              </w:rPr>
              <w:t>New onset of gout</w:t>
            </w:r>
            <w:r w:rsidRPr="005E6FC6">
              <w:rPr>
                <w:rFonts w:ascii="Arial" w:eastAsiaTheme="minorHAnsi" w:hAnsi="Arial" w:cs="Arial"/>
                <w:sz w:val="18"/>
                <w:szCs w:val="18"/>
                <w:vertAlign w:val="superscript"/>
                <w:lang w:val="it-IT" w:eastAsia="en-US"/>
              </w:rPr>
              <w:t>‡</w:t>
            </w:r>
          </w:p>
        </w:tc>
        <w:tc>
          <w:tcPr>
            <w:tcW w:w="1022" w:type="dxa"/>
            <w:tcBorders>
              <w:left w:val="single" w:sz="18" w:space="0" w:color="auto"/>
            </w:tcBorders>
            <w:vAlign w:val="center"/>
          </w:tcPr>
          <w:p w14:paraId="313B6D06"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9/1768 (0.5)</w:t>
            </w:r>
          </w:p>
        </w:tc>
        <w:tc>
          <w:tcPr>
            <w:tcW w:w="1022" w:type="dxa"/>
            <w:vAlign w:val="center"/>
          </w:tcPr>
          <w:p w14:paraId="4FD24ADB"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2.0</w:t>
            </w:r>
          </w:p>
        </w:tc>
        <w:tc>
          <w:tcPr>
            <w:tcW w:w="1512" w:type="dxa"/>
            <w:vAlign w:val="center"/>
          </w:tcPr>
          <w:p w14:paraId="518E9EEE"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22/3630 (0.6)</w:t>
            </w:r>
          </w:p>
        </w:tc>
        <w:tc>
          <w:tcPr>
            <w:tcW w:w="1512" w:type="dxa"/>
            <w:vAlign w:val="center"/>
          </w:tcPr>
          <w:p w14:paraId="6773F576"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2.3</w:t>
            </w:r>
          </w:p>
        </w:tc>
        <w:tc>
          <w:tcPr>
            <w:tcW w:w="1512" w:type="dxa"/>
            <w:tcBorders>
              <w:right w:val="single" w:sz="18" w:space="0" w:color="auto"/>
            </w:tcBorders>
            <w:vAlign w:val="center"/>
          </w:tcPr>
          <w:p w14:paraId="669CAA5F" w14:textId="77777777" w:rsidR="0031401A" w:rsidRPr="00640B5D" w:rsidRDefault="0031401A" w:rsidP="00F35080">
            <w:pPr>
              <w:jc w:val="center"/>
              <w:rPr>
                <w:rFonts w:ascii="Arial" w:eastAsiaTheme="minorHAnsi" w:hAnsi="Arial" w:cs="Arial"/>
                <w:sz w:val="18"/>
                <w:szCs w:val="18"/>
                <w:lang w:val="it-IT" w:eastAsia="en-US"/>
              </w:rPr>
            </w:pPr>
            <w:r w:rsidRPr="00640B5D">
              <w:rPr>
                <w:rFonts w:ascii="Arial" w:eastAsiaTheme="minorHAnsi" w:hAnsi="Arial" w:cs="Arial"/>
                <w:sz w:val="18"/>
                <w:szCs w:val="18"/>
                <w:lang w:val="it-IT" w:eastAsia="en-US"/>
              </w:rPr>
              <w:t>1.18 (0.54, 2.56)</w:t>
            </w:r>
          </w:p>
        </w:tc>
        <w:tc>
          <w:tcPr>
            <w:tcW w:w="921" w:type="dxa"/>
            <w:vAlign w:val="center"/>
          </w:tcPr>
          <w:p w14:paraId="2340FE0B"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38 /563 (6.7)</w:t>
            </w:r>
          </w:p>
        </w:tc>
        <w:tc>
          <w:tcPr>
            <w:tcW w:w="921" w:type="dxa"/>
            <w:vAlign w:val="center"/>
          </w:tcPr>
          <w:p w14:paraId="0F5EA552"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29.1</w:t>
            </w:r>
          </w:p>
        </w:tc>
        <w:tc>
          <w:tcPr>
            <w:tcW w:w="1416" w:type="dxa"/>
            <w:vAlign w:val="center"/>
          </w:tcPr>
          <w:p w14:paraId="3CF8EC8B" w14:textId="77777777" w:rsidR="0031401A" w:rsidRPr="00640B5D" w:rsidRDefault="0031401A" w:rsidP="00F35080">
            <w:pPr>
              <w:jc w:val="center"/>
              <w:rPr>
                <w:rFonts w:ascii="Arial" w:eastAsiaTheme="minorHAnsi" w:hAnsi="Arial" w:cs="Arial"/>
                <w:color w:val="000000"/>
                <w:sz w:val="18"/>
                <w:szCs w:val="18"/>
                <w:lang w:val="de-DE" w:eastAsia="en-US"/>
              </w:rPr>
            </w:pPr>
            <w:r w:rsidRPr="00640B5D">
              <w:rPr>
                <w:rFonts w:ascii="Arial" w:eastAsiaTheme="minorHAnsi" w:hAnsi="Arial" w:cs="Arial"/>
                <w:color w:val="000000"/>
                <w:sz w:val="18"/>
                <w:szCs w:val="18"/>
                <w:lang w:val="de-DE" w:eastAsia="en-US"/>
              </w:rPr>
              <w:t>55/1056 (5.2)</w:t>
            </w:r>
          </w:p>
        </w:tc>
        <w:tc>
          <w:tcPr>
            <w:tcW w:w="1417" w:type="dxa"/>
            <w:vAlign w:val="center"/>
          </w:tcPr>
          <w:p w14:paraId="34975B5A" w14:textId="77777777" w:rsidR="0031401A" w:rsidRPr="00640B5D" w:rsidRDefault="0031401A" w:rsidP="00F35080">
            <w:pPr>
              <w:jc w:val="center"/>
              <w:rPr>
                <w:rFonts w:ascii="Arial" w:eastAsiaTheme="minorHAnsi" w:hAnsi="Arial" w:cs="Arial"/>
                <w:color w:val="000000"/>
                <w:sz w:val="18"/>
                <w:szCs w:val="18"/>
                <w:lang w:val="de-DE" w:eastAsia="en-US"/>
              </w:rPr>
            </w:pPr>
            <w:r w:rsidRPr="00640B5D">
              <w:rPr>
                <w:rFonts w:ascii="Arial" w:eastAsiaTheme="minorHAnsi" w:hAnsi="Arial" w:cs="Arial"/>
                <w:color w:val="000000"/>
                <w:sz w:val="18"/>
                <w:szCs w:val="18"/>
                <w:lang w:val="de-DE" w:eastAsia="en-US"/>
              </w:rPr>
              <w:t>21.8</w:t>
            </w:r>
          </w:p>
        </w:tc>
        <w:tc>
          <w:tcPr>
            <w:tcW w:w="1417" w:type="dxa"/>
            <w:tcBorders>
              <w:right w:val="single" w:sz="18" w:space="0" w:color="auto"/>
            </w:tcBorders>
            <w:vAlign w:val="center"/>
          </w:tcPr>
          <w:p w14:paraId="2D9850C8" w14:textId="77777777" w:rsidR="0031401A" w:rsidRPr="00640B5D" w:rsidRDefault="0031401A" w:rsidP="00F35080">
            <w:pPr>
              <w:jc w:val="center"/>
              <w:rPr>
                <w:rFonts w:ascii="Arial" w:eastAsiaTheme="minorHAnsi" w:hAnsi="Arial" w:cs="Arial"/>
                <w:sz w:val="18"/>
                <w:szCs w:val="18"/>
                <w:lang w:val="it-IT" w:eastAsia="en-US"/>
              </w:rPr>
            </w:pPr>
            <w:r w:rsidRPr="00640B5D">
              <w:rPr>
                <w:rFonts w:ascii="Arial" w:eastAsiaTheme="minorHAnsi" w:hAnsi="Arial" w:cs="Arial"/>
                <w:sz w:val="18"/>
                <w:szCs w:val="18"/>
                <w:lang w:val="it-IT" w:eastAsia="en-US"/>
              </w:rPr>
              <w:t>0.73 (0.48, 1.11)</w:t>
            </w:r>
          </w:p>
        </w:tc>
        <w:tc>
          <w:tcPr>
            <w:tcW w:w="817" w:type="dxa"/>
            <w:tcBorders>
              <w:left w:val="single" w:sz="18" w:space="0" w:color="auto"/>
            </w:tcBorders>
            <w:vAlign w:val="center"/>
          </w:tcPr>
          <w:p w14:paraId="475FCE44"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0.2905</w:t>
            </w:r>
          </w:p>
        </w:tc>
      </w:tr>
      <w:tr w:rsidR="0031401A" w:rsidRPr="00640B5D" w14:paraId="6434B89E" w14:textId="77777777" w:rsidTr="00F35080">
        <w:trPr>
          <w:trHeight w:val="467"/>
        </w:trPr>
        <w:tc>
          <w:tcPr>
            <w:tcW w:w="1253" w:type="dxa"/>
            <w:tcBorders>
              <w:right w:val="single" w:sz="18" w:space="0" w:color="auto"/>
            </w:tcBorders>
            <w:vAlign w:val="center"/>
          </w:tcPr>
          <w:p w14:paraId="53D2771C" w14:textId="77777777" w:rsidR="0031401A" w:rsidRPr="00640B5D" w:rsidRDefault="0031401A" w:rsidP="00F35080">
            <w:pPr>
              <w:rPr>
                <w:rFonts w:ascii="Arial" w:eastAsiaTheme="minorHAnsi" w:hAnsi="Arial" w:cs="Arial"/>
                <w:sz w:val="18"/>
                <w:szCs w:val="18"/>
                <w:lang w:eastAsia="en-US"/>
              </w:rPr>
            </w:pPr>
            <w:proofErr w:type="spellStart"/>
            <w:r w:rsidRPr="00640B5D">
              <w:rPr>
                <w:rFonts w:ascii="Arial" w:eastAsiaTheme="minorHAnsi" w:hAnsi="Arial" w:cs="Arial"/>
                <w:sz w:val="18"/>
                <w:szCs w:val="18"/>
                <w:lang w:val="en-GB" w:eastAsia="en-US"/>
              </w:rPr>
              <w:t>Initation</w:t>
            </w:r>
            <w:proofErr w:type="spellEnd"/>
            <w:r w:rsidRPr="00640B5D">
              <w:rPr>
                <w:rFonts w:ascii="Arial" w:eastAsiaTheme="minorHAnsi" w:hAnsi="Arial" w:cs="Arial"/>
                <w:sz w:val="18"/>
                <w:szCs w:val="18"/>
                <w:lang w:val="en-GB" w:eastAsia="en-US"/>
              </w:rPr>
              <w:t xml:space="preserve"> of anti-gout medication</w:t>
            </w:r>
            <w:r w:rsidRPr="005E6FC6">
              <w:rPr>
                <w:rFonts w:ascii="Arial" w:eastAsiaTheme="minorHAnsi" w:hAnsi="Arial" w:cs="Arial"/>
                <w:sz w:val="18"/>
                <w:szCs w:val="18"/>
                <w:vertAlign w:val="superscript"/>
                <w:lang w:eastAsia="en-US"/>
              </w:rPr>
              <w:t>†</w:t>
            </w:r>
            <w:r w:rsidRPr="00640B5D">
              <w:rPr>
                <w:rFonts w:ascii="Arial" w:eastAsiaTheme="minorHAnsi" w:hAnsi="Arial" w:cs="Arial"/>
                <w:sz w:val="18"/>
                <w:szCs w:val="18"/>
                <w:lang w:val="en-GB" w:eastAsia="en-US"/>
              </w:rPr>
              <w:t xml:space="preserve"> </w:t>
            </w:r>
          </w:p>
        </w:tc>
        <w:tc>
          <w:tcPr>
            <w:tcW w:w="1022" w:type="dxa"/>
            <w:tcBorders>
              <w:left w:val="single" w:sz="18" w:space="0" w:color="auto"/>
            </w:tcBorders>
            <w:vAlign w:val="center"/>
          </w:tcPr>
          <w:p w14:paraId="4C304955"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33/1678 (2.0)</w:t>
            </w:r>
          </w:p>
        </w:tc>
        <w:tc>
          <w:tcPr>
            <w:tcW w:w="1022" w:type="dxa"/>
            <w:vAlign w:val="center"/>
          </w:tcPr>
          <w:p w14:paraId="737A2BC0"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7.9</w:t>
            </w:r>
          </w:p>
        </w:tc>
        <w:tc>
          <w:tcPr>
            <w:tcW w:w="1512" w:type="dxa"/>
            <w:vAlign w:val="center"/>
          </w:tcPr>
          <w:p w14:paraId="30ED57D7"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43/3444 (1.2)</w:t>
            </w:r>
          </w:p>
        </w:tc>
        <w:tc>
          <w:tcPr>
            <w:tcW w:w="1512" w:type="dxa"/>
            <w:vAlign w:val="center"/>
          </w:tcPr>
          <w:p w14:paraId="1C4FACF2" w14:textId="77777777" w:rsidR="0031401A" w:rsidRPr="00640B5D" w:rsidRDefault="0031401A" w:rsidP="00F35080">
            <w:pPr>
              <w:jc w:val="center"/>
              <w:rPr>
                <w:rFonts w:ascii="Arial" w:eastAsiaTheme="minorHAnsi" w:hAnsi="Arial" w:cs="Arial"/>
                <w:sz w:val="18"/>
                <w:szCs w:val="18"/>
                <w:lang w:val="en-GB" w:eastAsia="en-US"/>
              </w:rPr>
            </w:pPr>
            <w:r w:rsidRPr="00640B5D">
              <w:rPr>
                <w:rFonts w:ascii="Arial" w:eastAsiaTheme="minorHAnsi" w:hAnsi="Arial" w:cs="Arial"/>
                <w:sz w:val="18"/>
                <w:szCs w:val="18"/>
                <w:lang w:val="en-GB" w:eastAsia="en-US"/>
              </w:rPr>
              <w:t>4.8</w:t>
            </w:r>
          </w:p>
        </w:tc>
        <w:tc>
          <w:tcPr>
            <w:tcW w:w="1512" w:type="dxa"/>
            <w:tcBorders>
              <w:right w:val="single" w:sz="18" w:space="0" w:color="auto"/>
            </w:tcBorders>
            <w:vAlign w:val="center"/>
          </w:tcPr>
          <w:p w14:paraId="37AA9196"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0.62 (0.40, 0.98)</w:t>
            </w:r>
          </w:p>
        </w:tc>
        <w:tc>
          <w:tcPr>
            <w:tcW w:w="921" w:type="dxa"/>
            <w:vAlign w:val="center"/>
          </w:tcPr>
          <w:p w14:paraId="25A000E2"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71/509 (13.9)</w:t>
            </w:r>
          </w:p>
        </w:tc>
        <w:tc>
          <w:tcPr>
            <w:tcW w:w="921" w:type="dxa"/>
            <w:vAlign w:val="center"/>
          </w:tcPr>
          <w:p w14:paraId="064EAC55" w14:textId="77777777" w:rsidR="0031401A" w:rsidRPr="00640B5D" w:rsidRDefault="0031401A" w:rsidP="00F35080">
            <w:pPr>
              <w:jc w:val="center"/>
              <w:rPr>
                <w:rFonts w:ascii="Arial" w:hAnsi="Arial" w:cs="Arial"/>
                <w:color w:val="000000" w:themeColor="text1"/>
                <w:kern w:val="24"/>
                <w:sz w:val="18"/>
                <w:szCs w:val="18"/>
                <w:lang w:eastAsia="en-US"/>
              </w:rPr>
            </w:pPr>
            <w:r w:rsidRPr="00640B5D">
              <w:rPr>
                <w:rFonts w:ascii="Arial" w:hAnsi="Arial" w:cs="Arial"/>
                <w:color w:val="000000" w:themeColor="text1"/>
                <w:kern w:val="24"/>
                <w:sz w:val="18"/>
                <w:szCs w:val="18"/>
                <w:lang w:eastAsia="en-US"/>
              </w:rPr>
              <w:t>63.6</w:t>
            </w:r>
          </w:p>
        </w:tc>
        <w:tc>
          <w:tcPr>
            <w:tcW w:w="1416" w:type="dxa"/>
            <w:vAlign w:val="center"/>
          </w:tcPr>
          <w:p w14:paraId="1335DE45" w14:textId="77777777" w:rsidR="0031401A" w:rsidRPr="00640B5D" w:rsidRDefault="0031401A" w:rsidP="00F35080">
            <w:pPr>
              <w:jc w:val="center"/>
              <w:rPr>
                <w:rFonts w:ascii="Arial" w:eastAsiaTheme="minorHAnsi" w:hAnsi="Arial" w:cs="Arial"/>
                <w:color w:val="000000"/>
                <w:sz w:val="18"/>
                <w:szCs w:val="18"/>
                <w:lang w:eastAsia="en-US"/>
              </w:rPr>
            </w:pPr>
            <w:r w:rsidRPr="00640B5D">
              <w:rPr>
                <w:rFonts w:ascii="Arial" w:eastAsiaTheme="minorHAnsi" w:hAnsi="Arial" w:cs="Arial"/>
                <w:color w:val="000000"/>
                <w:sz w:val="18"/>
                <w:szCs w:val="18"/>
                <w:lang w:eastAsia="en-US"/>
              </w:rPr>
              <w:t>92/973 (9.5)</w:t>
            </w:r>
          </w:p>
        </w:tc>
        <w:tc>
          <w:tcPr>
            <w:tcW w:w="1417" w:type="dxa"/>
            <w:vAlign w:val="center"/>
          </w:tcPr>
          <w:p w14:paraId="149CC90C" w14:textId="77777777" w:rsidR="0031401A" w:rsidRPr="00640B5D" w:rsidRDefault="0031401A" w:rsidP="00F35080">
            <w:pPr>
              <w:jc w:val="center"/>
              <w:rPr>
                <w:rFonts w:ascii="Arial" w:eastAsiaTheme="minorHAnsi" w:hAnsi="Arial" w:cs="Arial"/>
                <w:color w:val="000000"/>
                <w:sz w:val="18"/>
                <w:szCs w:val="18"/>
                <w:lang w:eastAsia="en-US"/>
              </w:rPr>
            </w:pPr>
            <w:r w:rsidRPr="00640B5D">
              <w:rPr>
                <w:rFonts w:ascii="Arial" w:eastAsiaTheme="minorHAnsi" w:hAnsi="Arial" w:cs="Arial"/>
                <w:color w:val="000000"/>
                <w:sz w:val="18"/>
                <w:szCs w:val="18"/>
                <w:lang w:eastAsia="en-US"/>
              </w:rPr>
              <w:t>41.1</w:t>
            </w:r>
          </w:p>
        </w:tc>
        <w:tc>
          <w:tcPr>
            <w:tcW w:w="1417" w:type="dxa"/>
            <w:tcBorders>
              <w:right w:val="single" w:sz="18" w:space="0" w:color="auto"/>
            </w:tcBorders>
            <w:vAlign w:val="center"/>
          </w:tcPr>
          <w:p w14:paraId="5DD98BE0"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0.64 (0.47, 0.88)</w:t>
            </w:r>
          </w:p>
        </w:tc>
        <w:tc>
          <w:tcPr>
            <w:tcW w:w="817" w:type="dxa"/>
            <w:tcBorders>
              <w:left w:val="single" w:sz="18" w:space="0" w:color="auto"/>
            </w:tcBorders>
            <w:vAlign w:val="center"/>
          </w:tcPr>
          <w:p w14:paraId="7DD80B41" w14:textId="77777777" w:rsidR="0031401A" w:rsidRPr="00640B5D" w:rsidRDefault="0031401A" w:rsidP="00F35080">
            <w:pPr>
              <w:jc w:val="center"/>
              <w:rPr>
                <w:rFonts w:ascii="Arial" w:eastAsiaTheme="minorHAnsi" w:hAnsi="Arial" w:cs="Arial"/>
                <w:sz w:val="18"/>
                <w:szCs w:val="18"/>
                <w:lang w:eastAsia="en-US"/>
              </w:rPr>
            </w:pPr>
            <w:r w:rsidRPr="00640B5D">
              <w:rPr>
                <w:rFonts w:ascii="Arial" w:eastAsiaTheme="minorHAnsi" w:hAnsi="Arial" w:cs="Arial"/>
                <w:sz w:val="18"/>
                <w:szCs w:val="18"/>
                <w:lang w:eastAsia="en-US"/>
              </w:rPr>
              <w:t>0.9127</w:t>
            </w:r>
          </w:p>
        </w:tc>
      </w:tr>
    </w:tbl>
    <w:p w14:paraId="559B76EA" w14:textId="77777777" w:rsidR="0031401A" w:rsidRDefault="0031401A" w:rsidP="0031401A">
      <w:pPr>
        <w:spacing w:after="0" w:line="240" w:lineRule="auto"/>
        <w:rPr>
          <w:rFonts w:ascii="Arial" w:hAnsi="Arial" w:cs="Arial"/>
          <w:bCs/>
          <w:sz w:val="18"/>
          <w:szCs w:val="18"/>
        </w:rPr>
      </w:pPr>
      <w:r w:rsidRPr="00730061">
        <w:rPr>
          <w:rFonts w:ascii="Arial" w:hAnsi="Arial" w:cs="Arial"/>
          <w:bCs/>
          <w:sz w:val="18"/>
          <w:szCs w:val="18"/>
        </w:rPr>
        <w:t>Rate is expressed in events per 1</w:t>
      </w:r>
      <w:r>
        <w:rPr>
          <w:rFonts w:ascii="Arial" w:hAnsi="Arial" w:cs="Arial"/>
          <w:bCs/>
          <w:sz w:val="18"/>
          <w:szCs w:val="18"/>
        </w:rPr>
        <w:t>0</w:t>
      </w:r>
      <w:r w:rsidRPr="00730061">
        <w:rPr>
          <w:rFonts w:ascii="Arial" w:hAnsi="Arial" w:cs="Arial"/>
          <w:bCs/>
          <w:sz w:val="18"/>
          <w:szCs w:val="18"/>
        </w:rPr>
        <w:t>00 person-years</w:t>
      </w:r>
      <w:r>
        <w:rPr>
          <w:rFonts w:ascii="Arial" w:hAnsi="Arial" w:cs="Arial"/>
          <w:bCs/>
          <w:sz w:val="18"/>
          <w:szCs w:val="18"/>
        </w:rPr>
        <w:t xml:space="preserve">.  </w:t>
      </w:r>
      <w:r w:rsidRPr="005E6FC6">
        <w:rPr>
          <w:rFonts w:ascii="Arial" w:hAnsi="Arial" w:cs="Arial"/>
          <w:sz w:val="18"/>
          <w:szCs w:val="18"/>
          <w:vertAlign w:val="superscript"/>
        </w:rPr>
        <w:t>†</w:t>
      </w:r>
      <w:r w:rsidRPr="00E900C8">
        <w:rPr>
          <w:rFonts w:ascii="Arial" w:hAnsi="Arial" w:cs="Arial"/>
          <w:bCs/>
          <w:sz w:val="18"/>
          <w:szCs w:val="18"/>
        </w:rPr>
        <w:t xml:space="preserve">Analysis performed in patients </w:t>
      </w:r>
      <w:r>
        <w:rPr>
          <w:rFonts w:ascii="Arial" w:hAnsi="Arial" w:cs="Arial"/>
          <w:bCs/>
          <w:sz w:val="18"/>
          <w:szCs w:val="18"/>
        </w:rPr>
        <w:t>not on anti-gout medication at baseline (n=6607)</w:t>
      </w:r>
      <w:r w:rsidRPr="00E900C8">
        <w:rPr>
          <w:rFonts w:ascii="Arial" w:hAnsi="Arial" w:cs="Arial"/>
          <w:bCs/>
          <w:sz w:val="18"/>
          <w:szCs w:val="18"/>
        </w:rPr>
        <w:t xml:space="preserve">; </w:t>
      </w:r>
      <w:r w:rsidRPr="005E6FC6">
        <w:rPr>
          <w:rFonts w:ascii="Arial" w:hAnsi="Arial" w:cs="Arial"/>
          <w:sz w:val="18"/>
          <w:szCs w:val="18"/>
          <w:vertAlign w:val="superscript"/>
          <w:lang w:val="it-IT"/>
        </w:rPr>
        <w:t>‡</w:t>
      </w:r>
      <w:r w:rsidRPr="00E900C8">
        <w:rPr>
          <w:rFonts w:ascii="Arial" w:hAnsi="Arial" w:cs="Arial"/>
          <w:bCs/>
          <w:sz w:val="18"/>
          <w:szCs w:val="18"/>
        </w:rPr>
        <w:t xml:space="preserve">Analysis performed in </w:t>
      </w:r>
      <w:r>
        <w:rPr>
          <w:rFonts w:ascii="Arial" w:hAnsi="Arial" w:cs="Arial"/>
          <w:bCs/>
          <w:sz w:val="18"/>
          <w:szCs w:val="18"/>
        </w:rPr>
        <w:t>all patients (n=7020). HR for pooled empagliflozin versus placebo based on Cox proportional hazards regression analysis adjusting for baseline age, HbA1c, eGFR, sex, BMI, geographic region, treatment group, subgroup and treatment-by-subgroup interaction.</w:t>
      </w:r>
    </w:p>
    <w:p w14:paraId="482DCFF7" w14:textId="77777777" w:rsidR="0031401A" w:rsidRPr="00E900C8" w:rsidRDefault="0031401A" w:rsidP="0031401A">
      <w:pPr>
        <w:spacing w:after="0" w:line="240" w:lineRule="auto"/>
        <w:rPr>
          <w:rFonts w:ascii="Arial" w:hAnsi="Arial" w:cs="Arial"/>
          <w:bCs/>
          <w:sz w:val="18"/>
          <w:szCs w:val="18"/>
        </w:rPr>
        <w:sectPr w:rsidR="0031401A" w:rsidRPr="00E900C8" w:rsidSect="007D57EA">
          <w:pgSz w:w="16838" w:h="11906" w:orient="landscape"/>
          <w:pgMar w:top="1440" w:right="1440" w:bottom="1440" w:left="1440" w:header="709" w:footer="709" w:gutter="0"/>
          <w:cols w:space="708"/>
          <w:docGrid w:linePitch="360"/>
        </w:sectPr>
      </w:pPr>
      <w:r>
        <w:rPr>
          <w:rFonts w:ascii="Arial" w:hAnsi="Arial" w:cs="Arial"/>
          <w:bCs/>
          <w:sz w:val="18"/>
          <w:szCs w:val="18"/>
        </w:rPr>
        <w:t>NC=not calculated due to &lt;14 number of patients with events in one subgroup; UA=uric acid; HR=Hazard Ratio, CI=Confidence Interval</w:t>
      </w:r>
    </w:p>
    <w:p w14:paraId="20901238" w14:textId="77777777" w:rsidR="0031401A" w:rsidRPr="0031401A" w:rsidRDefault="0031401A" w:rsidP="0031401A">
      <w:pPr>
        <w:ind w:right="1359"/>
        <w:rPr>
          <w:rFonts w:ascii="Arial" w:hAnsi="Arial" w:cs="Arial"/>
          <w:b/>
        </w:rPr>
      </w:pPr>
      <w:r>
        <w:rPr>
          <w:rFonts w:ascii="Arial" w:hAnsi="Arial" w:cs="Arial"/>
          <w:b/>
          <w:bCs/>
        </w:rPr>
        <w:t>Supplemental</w:t>
      </w:r>
      <w:r w:rsidRPr="00EA539F">
        <w:rPr>
          <w:rFonts w:ascii="Arial" w:hAnsi="Arial" w:cs="Arial"/>
          <w:b/>
          <w:sz w:val="20"/>
          <w:szCs w:val="20"/>
        </w:rPr>
        <w:t xml:space="preserve"> </w:t>
      </w:r>
      <w:r w:rsidRPr="0031401A">
        <w:rPr>
          <w:rFonts w:ascii="Arial" w:hAnsi="Arial" w:cs="Arial"/>
          <w:b/>
        </w:rPr>
        <w:t>Table 5.  Mediation analysis to study the influence of new initiation of diuretics on the treatment effect of empagliflozin on new onset of gout or initiation of anti-gout medication during follow-up (on-treatment)</w:t>
      </w:r>
    </w:p>
    <w:tbl>
      <w:tblPr>
        <w:tblStyle w:val="Grilledutableau"/>
        <w:tblW w:w="11340" w:type="dxa"/>
        <w:tblInd w:w="-5" w:type="dxa"/>
        <w:tblLayout w:type="fixed"/>
        <w:tblLook w:val="04A0" w:firstRow="1" w:lastRow="0" w:firstColumn="1" w:lastColumn="0" w:noHBand="0" w:noVBand="1"/>
      </w:tblPr>
      <w:tblGrid>
        <w:gridCol w:w="4838"/>
        <w:gridCol w:w="1346"/>
        <w:gridCol w:w="3030"/>
        <w:gridCol w:w="2126"/>
      </w:tblGrid>
      <w:tr w:rsidR="0031401A" w:rsidRPr="000B693E" w14:paraId="4B8A9DAF" w14:textId="77777777" w:rsidTr="00F35080">
        <w:trPr>
          <w:trHeight w:val="411"/>
        </w:trPr>
        <w:tc>
          <w:tcPr>
            <w:tcW w:w="4838" w:type="dxa"/>
            <w:shd w:val="clear" w:color="auto" w:fill="auto"/>
            <w:vAlign w:val="center"/>
          </w:tcPr>
          <w:p w14:paraId="5217BFDD" w14:textId="77777777" w:rsidR="0031401A" w:rsidRPr="00E900C8" w:rsidRDefault="0031401A" w:rsidP="00F35080">
            <w:pPr>
              <w:jc w:val="center"/>
              <w:rPr>
                <w:rFonts w:ascii="Arial" w:eastAsiaTheme="minorHAnsi" w:hAnsi="Arial" w:cs="Arial"/>
                <w:b/>
                <w:sz w:val="18"/>
                <w:szCs w:val="18"/>
                <w:lang w:val="en-GB" w:eastAsia="en-US"/>
              </w:rPr>
            </w:pPr>
          </w:p>
          <w:p w14:paraId="74287319" w14:textId="77777777" w:rsidR="0031401A" w:rsidRPr="00E900C8" w:rsidRDefault="0031401A" w:rsidP="00F35080">
            <w:pPr>
              <w:jc w:val="center"/>
              <w:rPr>
                <w:rFonts w:ascii="Arial" w:eastAsiaTheme="minorHAnsi" w:hAnsi="Arial" w:cs="Arial"/>
                <w:sz w:val="18"/>
                <w:szCs w:val="18"/>
                <w:lang w:eastAsia="en-US"/>
              </w:rPr>
            </w:pPr>
            <w:r>
              <w:rPr>
                <w:rFonts w:ascii="Arial" w:eastAsiaTheme="minorHAnsi" w:hAnsi="Arial" w:cs="Arial"/>
                <w:b/>
                <w:bCs/>
                <w:sz w:val="18"/>
                <w:szCs w:val="18"/>
                <w:lang w:eastAsia="en-US"/>
              </w:rPr>
              <w:t>T</w:t>
            </w:r>
            <w:r w:rsidRPr="00047229">
              <w:rPr>
                <w:rFonts w:ascii="Arial" w:hAnsi="Arial" w:cs="Arial"/>
                <w:b/>
                <w:bCs/>
                <w:sz w:val="18"/>
                <w:szCs w:val="18"/>
              </w:rPr>
              <w:t>ime to new onset of gout or initiation of anti-gout medication</w:t>
            </w:r>
          </w:p>
        </w:tc>
        <w:tc>
          <w:tcPr>
            <w:tcW w:w="1346" w:type="dxa"/>
          </w:tcPr>
          <w:p w14:paraId="4ED482E9" w14:textId="77777777" w:rsidR="0031401A" w:rsidRPr="00E900C8" w:rsidRDefault="0031401A" w:rsidP="00F35080">
            <w:pPr>
              <w:jc w:val="center"/>
              <w:rPr>
                <w:rFonts w:ascii="Arial" w:hAnsi="Arial" w:cs="Arial"/>
                <w:b/>
                <w:bCs/>
                <w:sz w:val="18"/>
                <w:szCs w:val="18"/>
              </w:rPr>
            </w:pPr>
            <w:r>
              <w:rPr>
                <w:rFonts w:ascii="Arial" w:hAnsi="Arial" w:cs="Arial"/>
                <w:b/>
                <w:bCs/>
                <w:sz w:val="18"/>
                <w:szCs w:val="18"/>
              </w:rPr>
              <w:t>HR (95% CI) for use of diuretics (yes vs. no)</w:t>
            </w:r>
          </w:p>
        </w:tc>
        <w:tc>
          <w:tcPr>
            <w:tcW w:w="3030" w:type="dxa"/>
            <w:tcBorders>
              <w:right w:val="single" w:sz="4" w:space="0" w:color="auto"/>
            </w:tcBorders>
            <w:vAlign w:val="center"/>
          </w:tcPr>
          <w:p w14:paraId="49AF1629" w14:textId="77777777" w:rsidR="0031401A" w:rsidRPr="00E900C8" w:rsidRDefault="0031401A" w:rsidP="00F35080">
            <w:pPr>
              <w:jc w:val="center"/>
              <w:rPr>
                <w:rFonts w:ascii="Arial" w:eastAsiaTheme="minorHAnsi" w:hAnsi="Arial" w:cs="Arial"/>
                <w:sz w:val="18"/>
                <w:szCs w:val="18"/>
                <w:lang w:eastAsia="en-US"/>
              </w:rPr>
            </w:pPr>
            <w:r w:rsidRPr="00E900C8">
              <w:rPr>
                <w:rFonts w:ascii="Arial" w:eastAsiaTheme="minorHAnsi" w:hAnsi="Arial" w:cs="Arial"/>
                <w:b/>
                <w:bCs/>
                <w:sz w:val="18"/>
                <w:szCs w:val="18"/>
                <w:lang w:eastAsia="en-US"/>
              </w:rPr>
              <w:t>HR (95%CI)</w:t>
            </w:r>
            <w:r>
              <w:rPr>
                <w:rFonts w:ascii="Arial" w:eastAsiaTheme="minorHAnsi" w:hAnsi="Arial" w:cs="Arial"/>
                <w:b/>
                <w:bCs/>
                <w:sz w:val="18"/>
                <w:szCs w:val="18"/>
                <w:lang w:eastAsia="en-US"/>
              </w:rPr>
              <w:t xml:space="preserve"> for empagliflozin (10 and 25 mg pooled) vs. placebo</w:t>
            </w:r>
          </w:p>
        </w:tc>
        <w:tc>
          <w:tcPr>
            <w:tcW w:w="2126" w:type="dxa"/>
            <w:tcBorders>
              <w:left w:val="single" w:sz="4" w:space="0" w:color="auto"/>
            </w:tcBorders>
            <w:vAlign w:val="center"/>
          </w:tcPr>
          <w:p w14:paraId="5CF203DA" w14:textId="77777777" w:rsidR="0031401A" w:rsidRPr="00E900C8" w:rsidRDefault="0031401A" w:rsidP="00F35080">
            <w:pPr>
              <w:jc w:val="center"/>
              <w:rPr>
                <w:rFonts w:ascii="Arial" w:eastAsiaTheme="minorHAnsi" w:hAnsi="Arial" w:cs="Arial"/>
                <w:sz w:val="18"/>
                <w:szCs w:val="18"/>
                <w:lang w:eastAsia="en-US"/>
              </w:rPr>
            </w:pPr>
            <w:r>
              <w:rPr>
                <w:rFonts w:ascii="Arial" w:eastAsiaTheme="minorHAnsi" w:hAnsi="Arial" w:cs="Arial"/>
                <w:b/>
                <w:bCs/>
                <w:sz w:val="18"/>
                <w:szCs w:val="18"/>
                <w:lang w:eastAsia="en-US"/>
              </w:rPr>
              <w:t>% of treatment effect mediated by diuretic use</w:t>
            </w:r>
          </w:p>
        </w:tc>
      </w:tr>
      <w:tr w:rsidR="0031401A" w:rsidRPr="000B693E" w14:paraId="272CC548" w14:textId="77777777" w:rsidTr="00F35080">
        <w:trPr>
          <w:trHeight w:val="413"/>
        </w:trPr>
        <w:tc>
          <w:tcPr>
            <w:tcW w:w="4838" w:type="dxa"/>
            <w:tcBorders>
              <w:bottom w:val="single" w:sz="4" w:space="0" w:color="auto"/>
            </w:tcBorders>
            <w:vAlign w:val="center"/>
          </w:tcPr>
          <w:p w14:paraId="1FD01419" w14:textId="77777777" w:rsidR="0031401A" w:rsidRPr="007E4EFE"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Cox regression model</w:t>
            </w:r>
          </w:p>
        </w:tc>
        <w:tc>
          <w:tcPr>
            <w:tcW w:w="1346" w:type="dxa"/>
            <w:tcBorders>
              <w:bottom w:val="single" w:sz="4" w:space="0" w:color="auto"/>
            </w:tcBorders>
          </w:tcPr>
          <w:p w14:paraId="0C9FCE8A" w14:textId="77777777" w:rsidR="0031401A" w:rsidRPr="00EA539F" w:rsidRDefault="0031401A" w:rsidP="00F35080">
            <w:pPr>
              <w:jc w:val="center"/>
              <w:rPr>
                <w:rFonts w:ascii="Arial" w:hAnsi="Arial" w:cs="Arial"/>
                <w:sz w:val="18"/>
                <w:szCs w:val="18"/>
              </w:rPr>
            </w:pPr>
          </w:p>
        </w:tc>
        <w:tc>
          <w:tcPr>
            <w:tcW w:w="3030" w:type="dxa"/>
            <w:tcBorders>
              <w:bottom w:val="single" w:sz="4" w:space="0" w:color="auto"/>
              <w:right w:val="single" w:sz="4" w:space="0" w:color="auto"/>
            </w:tcBorders>
            <w:vAlign w:val="center"/>
          </w:tcPr>
          <w:p w14:paraId="69C3343C" w14:textId="77777777" w:rsidR="0031401A" w:rsidRPr="007E4EFE" w:rsidRDefault="0031401A" w:rsidP="00F35080">
            <w:pPr>
              <w:jc w:val="center"/>
              <w:rPr>
                <w:rFonts w:ascii="Arial" w:eastAsiaTheme="minorHAnsi" w:hAnsi="Arial" w:cs="Arial"/>
                <w:sz w:val="18"/>
                <w:szCs w:val="18"/>
                <w:lang w:eastAsia="en-US"/>
              </w:rPr>
            </w:pPr>
            <w:r w:rsidRPr="00EA539F">
              <w:rPr>
                <w:rFonts w:ascii="Arial" w:eastAsiaTheme="minorHAnsi" w:hAnsi="Arial" w:cs="Arial"/>
                <w:sz w:val="18"/>
                <w:szCs w:val="18"/>
                <w:lang w:eastAsia="en-US"/>
              </w:rPr>
              <w:t>0.67</w:t>
            </w:r>
            <w:r w:rsidRPr="00EA539F" w:rsidDel="00EA539F">
              <w:rPr>
                <w:rFonts w:ascii="Arial" w:eastAsiaTheme="minorHAnsi" w:hAnsi="Arial" w:cs="Arial"/>
                <w:sz w:val="18"/>
                <w:szCs w:val="18"/>
                <w:lang w:eastAsia="en-US"/>
              </w:rPr>
              <w:t xml:space="preserve"> </w:t>
            </w:r>
            <w:r w:rsidRPr="00EA539F">
              <w:rPr>
                <w:rFonts w:ascii="Arial" w:eastAsiaTheme="minorHAnsi" w:hAnsi="Arial" w:cs="Arial"/>
                <w:sz w:val="18"/>
                <w:szCs w:val="18"/>
                <w:lang w:eastAsia="en-US"/>
              </w:rPr>
              <w:t>(0.53,0.85)</w:t>
            </w:r>
          </w:p>
        </w:tc>
        <w:tc>
          <w:tcPr>
            <w:tcW w:w="2126" w:type="dxa"/>
            <w:tcBorders>
              <w:left w:val="single" w:sz="4" w:space="0" w:color="auto"/>
              <w:bottom w:val="single" w:sz="4" w:space="0" w:color="auto"/>
            </w:tcBorders>
            <w:vAlign w:val="center"/>
          </w:tcPr>
          <w:p w14:paraId="00B7D32B" w14:textId="77777777" w:rsidR="0031401A" w:rsidRPr="007E4EFE"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w:t>
            </w:r>
          </w:p>
        </w:tc>
      </w:tr>
      <w:tr w:rsidR="0031401A" w:rsidRPr="000B693E" w14:paraId="4EC0C7BC" w14:textId="77777777" w:rsidTr="00F35080">
        <w:trPr>
          <w:trHeight w:val="413"/>
        </w:trPr>
        <w:tc>
          <w:tcPr>
            <w:tcW w:w="4838" w:type="dxa"/>
            <w:tcBorders>
              <w:bottom w:val="single" w:sz="4" w:space="0" w:color="auto"/>
            </w:tcBorders>
            <w:vAlign w:val="center"/>
          </w:tcPr>
          <w:p w14:paraId="7B991885" w14:textId="77777777" w:rsidR="0031401A"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Cox regression model with additional covariate for time-dependent use of loop diuretics</w:t>
            </w:r>
          </w:p>
        </w:tc>
        <w:tc>
          <w:tcPr>
            <w:tcW w:w="1346" w:type="dxa"/>
            <w:tcBorders>
              <w:bottom w:val="single" w:sz="4" w:space="0" w:color="auto"/>
            </w:tcBorders>
          </w:tcPr>
          <w:p w14:paraId="3B4EA8F4" w14:textId="77777777" w:rsidR="0031401A" w:rsidRPr="00CB0CB1" w:rsidRDefault="0031401A" w:rsidP="00F35080">
            <w:pPr>
              <w:jc w:val="center"/>
              <w:rPr>
                <w:rFonts w:ascii="Arial" w:hAnsi="Arial" w:cs="Arial"/>
                <w:sz w:val="18"/>
                <w:szCs w:val="18"/>
              </w:rPr>
            </w:pPr>
            <w:r w:rsidRPr="00E83AE8">
              <w:rPr>
                <w:rFonts w:ascii="Arial" w:hAnsi="Arial" w:cs="Arial"/>
                <w:sz w:val="18"/>
                <w:szCs w:val="18"/>
              </w:rPr>
              <w:t>2.52 (1.95,3.26)</w:t>
            </w:r>
          </w:p>
        </w:tc>
        <w:tc>
          <w:tcPr>
            <w:tcW w:w="3030" w:type="dxa"/>
            <w:tcBorders>
              <w:bottom w:val="single" w:sz="4" w:space="0" w:color="auto"/>
              <w:right w:val="single" w:sz="4" w:space="0" w:color="auto"/>
            </w:tcBorders>
            <w:vAlign w:val="center"/>
          </w:tcPr>
          <w:p w14:paraId="53B479D2" w14:textId="77777777" w:rsidR="0031401A" w:rsidRDefault="0031401A" w:rsidP="00F35080">
            <w:pPr>
              <w:jc w:val="center"/>
              <w:rPr>
                <w:rFonts w:ascii="Arial" w:eastAsiaTheme="minorHAnsi" w:hAnsi="Arial" w:cs="Arial"/>
                <w:sz w:val="18"/>
                <w:szCs w:val="18"/>
                <w:lang w:eastAsia="en-US"/>
              </w:rPr>
            </w:pPr>
            <w:r w:rsidRPr="00CB0CB1">
              <w:rPr>
                <w:rFonts w:ascii="Arial" w:eastAsiaTheme="minorHAnsi" w:hAnsi="Arial" w:cs="Arial"/>
                <w:sz w:val="18"/>
                <w:szCs w:val="18"/>
                <w:lang w:eastAsia="en-US"/>
              </w:rPr>
              <w:t>0.70 (0.55,0.89)</w:t>
            </w:r>
          </w:p>
        </w:tc>
        <w:tc>
          <w:tcPr>
            <w:tcW w:w="2126" w:type="dxa"/>
            <w:tcBorders>
              <w:left w:val="single" w:sz="4" w:space="0" w:color="auto"/>
              <w:bottom w:val="single" w:sz="4" w:space="0" w:color="auto"/>
            </w:tcBorders>
            <w:vAlign w:val="center"/>
          </w:tcPr>
          <w:p w14:paraId="4DB25DAE" w14:textId="77777777" w:rsidR="0031401A" w:rsidRPr="007E4EFE"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10.9%</w:t>
            </w:r>
          </w:p>
        </w:tc>
      </w:tr>
      <w:tr w:rsidR="0031401A" w:rsidRPr="000B693E" w14:paraId="1391B8F6" w14:textId="77777777" w:rsidTr="00F35080">
        <w:trPr>
          <w:trHeight w:val="413"/>
        </w:trPr>
        <w:tc>
          <w:tcPr>
            <w:tcW w:w="4838" w:type="dxa"/>
            <w:tcBorders>
              <w:top w:val="single" w:sz="4" w:space="0" w:color="auto"/>
              <w:left w:val="single" w:sz="4" w:space="0" w:color="auto"/>
              <w:bottom w:val="single" w:sz="4" w:space="0" w:color="auto"/>
              <w:right w:val="single" w:sz="4" w:space="0" w:color="auto"/>
            </w:tcBorders>
            <w:vAlign w:val="center"/>
          </w:tcPr>
          <w:p w14:paraId="54BB43DF" w14:textId="77777777" w:rsidR="0031401A"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Cox regression model with additional covariate for time-dependent use of thiazide diuretics</w:t>
            </w:r>
          </w:p>
        </w:tc>
        <w:tc>
          <w:tcPr>
            <w:tcW w:w="1346" w:type="dxa"/>
            <w:tcBorders>
              <w:top w:val="single" w:sz="4" w:space="0" w:color="auto"/>
              <w:left w:val="single" w:sz="4" w:space="0" w:color="auto"/>
              <w:bottom w:val="single" w:sz="4" w:space="0" w:color="auto"/>
              <w:right w:val="single" w:sz="4" w:space="0" w:color="auto"/>
            </w:tcBorders>
          </w:tcPr>
          <w:p w14:paraId="2F27B447" w14:textId="77777777" w:rsidR="0031401A" w:rsidRPr="00AB10BA" w:rsidRDefault="0031401A" w:rsidP="00F35080">
            <w:pPr>
              <w:jc w:val="center"/>
              <w:rPr>
                <w:rFonts w:ascii="Arial" w:hAnsi="Arial" w:cs="Arial"/>
                <w:sz w:val="18"/>
                <w:szCs w:val="18"/>
              </w:rPr>
            </w:pPr>
            <w:r w:rsidRPr="00E83AE8">
              <w:rPr>
                <w:rFonts w:ascii="Arial" w:hAnsi="Arial" w:cs="Arial"/>
                <w:sz w:val="18"/>
                <w:szCs w:val="18"/>
              </w:rPr>
              <w:t>1.27 (0.98,1.65)</w:t>
            </w:r>
          </w:p>
        </w:tc>
        <w:tc>
          <w:tcPr>
            <w:tcW w:w="3030" w:type="dxa"/>
            <w:tcBorders>
              <w:top w:val="single" w:sz="4" w:space="0" w:color="auto"/>
              <w:left w:val="single" w:sz="4" w:space="0" w:color="auto"/>
              <w:bottom w:val="single" w:sz="4" w:space="0" w:color="auto"/>
              <w:right w:val="single" w:sz="4" w:space="0" w:color="auto"/>
            </w:tcBorders>
            <w:vAlign w:val="center"/>
          </w:tcPr>
          <w:p w14:paraId="213BE1B6" w14:textId="77777777" w:rsidR="0031401A" w:rsidRDefault="0031401A" w:rsidP="00F35080">
            <w:pPr>
              <w:jc w:val="center"/>
              <w:rPr>
                <w:rFonts w:ascii="Arial" w:eastAsiaTheme="minorHAnsi" w:hAnsi="Arial" w:cs="Arial"/>
                <w:sz w:val="18"/>
                <w:szCs w:val="18"/>
                <w:lang w:eastAsia="en-US"/>
              </w:rPr>
            </w:pPr>
            <w:r w:rsidRPr="00AB10BA">
              <w:rPr>
                <w:rFonts w:ascii="Arial" w:eastAsiaTheme="minorHAnsi" w:hAnsi="Arial" w:cs="Arial"/>
                <w:sz w:val="18"/>
                <w:szCs w:val="18"/>
                <w:lang w:eastAsia="en-US"/>
              </w:rPr>
              <w:t>0.67 (0.53,0.86)</w:t>
            </w:r>
          </w:p>
        </w:tc>
        <w:tc>
          <w:tcPr>
            <w:tcW w:w="2126" w:type="dxa"/>
            <w:tcBorders>
              <w:top w:val="single" w:sz="4" w:space="0" w:color="auto"/>
              <w:left w:val="single" w:sz="4" w:space="0" w:color="auto"/>
              <w:bottom w:val="single" w:sz="4" w:space="0" w:color="auto"/>
            </w:tcBorders>
            <w:vAlign w:val="center"/>
          </w:tcPr>
          <w:p w14:paraId="114EB566" w14:textId="77777777" w:rsidR="0031401A" w:rsidRPr="007E4EFE"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0.0%</w:t>
            </w:r>
          </w:p>
        </w:tc>
      </w:tr>
      <w:tr w:rsidR="0031401A" w:rsidRPr="000B693E" w14:paraId="1C8A5A9F" w14:textId="77777777" w:rsidTr="00F35080">
        <w:trPr>
          <w:trHeight w:val="413"/>
        </w:trPr>
        <w:tc>
          <w:tcPr>
            <w:tcW w:w="4838" w:type="dxa"/>
            <w:tcBorders>
              <w:bottom w:val="single" w:sz="4" w:space="0" w:color="auto"/>
            </w:tcBorders>
            <w:vAlign w:val="center"/>
          </w:tcPr>
          <w:p w14:paraId="587183F7" w14:textId="77777777" w:rsidR="0031401A"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Cox regression model with additional covariate for time-dependent use of loop or thiazide diuretics</w:t>
            </w:r>
          </w:p>
        </w:tc>
        <w:tc>
          <w:tcPr>
            <w:tcW w:w="1346" w:type="dxa"/>
            <w:tcBorders>
              <w:bottom w:val="single" w:sz="4" w:space="0" w:color="auto"/>
            </w:tcBorders>
          </w:tcPr>
          <w:p w14:paraId="15E08954" w14:textId="77777777" w:rsidR="0031401A" w:rsidRPr="00AB10BA" w:rsidRDefault="0031401A" w:rsidP="00F35080">
            <w:pPr>
              <w:jc w:val="center"/>
              <w:rPr>
                <w:rFonts w:ascii="Arial" w:hAnsi="Arial" w:cs="Arial"/>
                <w:sz w:val="18"/>
                <w:szCs w:val="18"/>
              </w:rPr>
            </w:pPr>
            <w:r w:rsidRPr="00E83AE8">
              <w:rPr>
                <w:rFonts w:ascii="Arial" w:hAnsi="Arial" w:cs="Arial"/>
                <w:sz w:val="18"/>
                <w:szCs w:val="18"/>
              </w:rPr>
              <w:t>2.14 (1.66,2.76)</w:t>
            </w:r>
          </w:p>
        </w:tc>
        <w:tc>
          <w:tcPr>
            <w:tcW w:w="3030" w:type="dxa"/>
            <w:tcBorders>
              <w:bottom w:val="single" w:sz="4" w:space="0" w:color="auto"/>
              <w:right w:val="single" w:sz="4" w:space="0" w:color="auto"/>
            </w:tcBorders>
            <w:vAlign w:val="center"/>
          </w:tcPr>
          <w:p w14:paraId="620112E3" w14:textId="77777777" w:rsidR="0031401A" w:rsidRDefault="0031401A" w:rsidP="00F35080">
            <w:pPr>
              <w:jc w:val="center"/>
              <w:rPr>
                <w:rFonts w:ascii="Arial" w:eastAsiaTheme="minorHAnsi" w:hAnsi="Arial" w:cs="Arial"/>
                <w:sz w:val="18"/>
                <w:szCs w:val="18"/>
                <w:lang w:eastAsia="en-US"/>
              </w:rPr>
            </w:pPr>
            <w:r w:rsidRPr="00AB10BA">
              <w:rPr>
                <w:rFonts w:ascii="Arial" w:eastAsiaTheme="minorHAnsi" w:hAnsi="Arial" w:cs="Arial"/>
                <w:sz w:val="18"/>
                <w:szCs w:val="18"/>
                <w:lang w:eastAsia="en-US"/>
              </w:rPr>
              <w:t>0.69 (0.54,0.88)</w:t>
            </w:r>
          </w:p>
        </w:tc>
        <w:tc>
          <w:tcPr>
            <w:tcW w:w="2126" w:type="dxa"/>
            <w:tcBorders>
              <w:left w:val="single" w:sz="4" w:space="0" w:color="auto"/>
              <w:bottom w:val="single" w:sz="4" w:space="0" w:color="auto"/>
            </w:tcBorders>
            <w:vAlign w:val="center"/>
          </w:tcPr>
          <w:p w14:paraId="5E3E7138" w14:textId="77777777" w:rsidR="0031401A" w:rsidRPr="007E4EFE" w:rsidRDefault="0031401A" w:rsidP="00F35080">
            <w:pPr>
              <w:jc w:val="center"/>
              <w:rPr>
                <w:rFonts w:ascii="Arial" w:eastAsiaTheme="minorHAnsi" w:hAnsi="Arial" w:cs="Arial"/>
                <w:sz w:val="18"/>
                <w:szCs w:val="18"/>
                <w:lang w:eastAsia="en-US"/>
              </w:rPr>
            </w:pPr>
            <w:r>
              <w:rPr>
                <w:rFonts w:ascii="Arial" w:eastAsiaTheme="minorHAnsi" w:hAnsi="Arial" w:cs="Arial"/>
                <w:sz w:val="18"/>
                <w:szCs w:val="18"/>
                <w:lang w:eastAsia="en-US"/>
              </w:rPr>
              <w:t>7.3%</w:t>
            </w:r>
          </w:p>
        </w:tc>
      </w:tr>
    </w:tbl>
    <w:p w14:paraId="02C3411C" w14:textId="77777777" w:rsidR="0031401A" w:rsidRDefault="0031401A" w:rsidP="0031401A">
      <w:pPr>
        <w:spacing w:after="0" w:line="240" w:lineRule="auto"/>
        <w:ind w:right="1500"/>
        <w:rPr>
          <w:rFonts w:ascii="Arial" w:hAnsi="Arial" w:cs="Arial"/>
          <w:bCs/>
          <w:sz w:val="18"/>
          <w:szCs w:val="18"/>
        </w:rPr>
      </w:pPr>
      <w:r w:rsidRPr="00E900C8">
        <w:rPr>
          <w:rFonts w:ascii="Arial" w:hAnsi="Arial" w:cs="Arial"/>
          <w:bCs/>
          <w:sz w:val="18"/>
          <w:szCs w:val="18"/>
        </w:rPr>
        <w:t xml:space="preserve">Analysis performed in patients </w:t>
      </w:r>
      <w:r>
        <w:rPr>
          <w:rFonts w:ascii="Arial" w:hAnsi="Arial" w:cs="Arial"/>
          <w:bCs/>
          <w:sz w:val="18"/>
          <w:szCs w:val="18"/>
        </w:rPr>
        <w:t>not on anti-gout medication at baseline (n=6607).</w:t>
      </w:r>
      <w:r w:rsidRPr="00E900C8" w:rsidDel="00AB10BA">
        <w:rPr>
          <w:rFonts w:ascii="Arial" w:hAnsi="Arial" w:cs="Arial"/>
          <w:bCs/>
          <w:sz w:val="18"/>
          <w:szCs w:val="18"/>
        </w:rPr>
        <w:t xml:space="preserve"> </w:t>
      </w:r>
      <w:r>
        <w:rPr>
          <w:rFonts w:ascii="Arial" w:hAnsi="Arial" w:cs="Arial"/>
          <w:bCs/>
          <w:sz w:val="18"/>
          <w:szCs w:val="18"/>
        </w:rPr>
        <w:t xml:space="preserve">Hazard ratio (95 % CI) based on Cox proportional hazards regression analysis (primary model) adjusting for baseline age, HbA1c, eGFR, sex, BMI, geographic region and treatment group without and with time-dependent covariate for loop/thiazide diuretics use, respectively. </w:t>
      </w:r>
      <w:r>
        <w:rPr>
          <w:rFonts w:ascii="Arial" w:hAnsi="Arial" w:cs="Arial"/>
          <w:bCs/>
          <w:sz w:val="18"/>
          <w:szCs w:val="18"/>
        </w:rPr>
        <w:br/>
        <w:t>P</w:t>
      </w:r>
      <w:r w:rsidRPr="00D74EC4">
        <w:rPr>
          <w:rFonts w:ascii="Arial" w:hAnsi="Arial" w:cs="Arial"/>
          <w:bCs/>
          <w:sz w:val="18"/>
          <w:szCs w:val="18"/>
        </w:rPr>
        <w:t>ercentage mediation was</w:t>
      </w:r>
      <w:r>
        <w:rPr>
          <w:rFonts w:ascii="Arial" w:hAnsi="Arial" w:cs="Arial"/>
          <w:bCs/>
          <w:sz w:val="18"/>
          <w:szCs w:val="18"/>
        </w:rPr>
        <w:t xml:space="preserve"> </w:t>
      </w:r>
      <w:r w:rsidRPr="00D74EC4">
        <w:rPr>
          <w:rFonts w:ascii="Arial" w:hAnsi="Arial" w:cs="Arial"/>
          <w:bCs/>
          <w:sz w:val="18"/>
          <w:szCs w:val="18"/>
        </w:rPr>
        <w:t xml:space="preserve">estimated as </w:t>
      </w:r>
      <w:r>
        <w:rPr>
          <w:rFonts w:ascii="Arial" w:hAnsi="Arial" w:cs="Arial"/>
          <w:bCs/>
          <w:sz w:val="18"/>
          <w:szCs w:val="18"/>
        </w:rPr>
        <w:t>(ln(HR)-ln(</w:t>
      </w:r>
      <w:proofErr w:type="spellStart"/>
      <w:r>
        <w:rPr>
          <w:rFonts w:ascii="Arial" w:hAnsi="Arial" w:cs="Arial"/>
          <w:bCs/>
          <w:sz w:val="18"/>
          <w:szCs w:val="18"/>
        </w:rPr>
        <w:t>HRc</w:t>
      </w:r>
      <w:proofErr w:type="spellEnd"/>
      <w:r>
        <w:rPr>
          <w:rFonts w:ascii="Arial" w:hAnsi="Arial" w:cs="Arial"/>
          <w:bCs/>
          <w:sz w:val="18"/>
          <w:szCs w:val="18"/>
        </w:rPr>
        <w:t xml:space="preserve">))/ln(HR)*100%, where HR is the </w:t>
      </w:r>
      <w:r w:rsidRPr="00D74EC4">
        <w:rPr>
          <w:rFonts w:ascii="Arial" w:hAnsi="Arial" w:cs="Arial"/>
          <w:bCs/>
          <w:sz w:val="18"/>
          <w:szCs w:val="18"/>
        </w:rPr>
        <w:t>is the HR for the comparison of</w:t>
      </w:r>
      <w:r>
        <w:rPr>
          <w:rFonts w:ascii="Arial" w:hAnsi="Arial" w:cs="Arial"/>
          <w:bCs/>
          <w:sz w:val="18"/>
          <w:szCs w:val="18"/>
        </w:rPr>
        <w:t xml:space="preserve"> </w:t>
      </w:r>
      <w:r w:rsidRPr="00D74EC4">
        <w:rPr>
          <w:rFonts w:ascii="Arial" w:hAnsi="Arial" w:cs="Arial"/>
          <w:bCs/>
          <w:sz w:val="18"/>
          <w:szCs w:val="18"/>
        </w:rPr>
        <w:t xml:space="preserve">the treatment groups in the </w:t>
      </w:r>
      <w:r>
        <w:rPr>
          <w:rFonts w:ascii="Arial" w:hAnsi="Arial" w:cs="Arial"/>
          <w:bCs/>
          <w:sz w:val="18"/>
          <w:szCs w:val="18"/>
        </w:rPr>
        <w:t xml:space="preserve">primary </w:t>
      </w:r>
      <w:r w:rsidRPr="00D74EC4">
        <w:rPr>
          <w:rFonts w:ascii="Arial" w:hAnsi="Arial" w:cs="Arial"/>
          <w:bCs/>
          <w:sz w:val="18"/>
          <w:szCs w:val="18"/>
        </w:rPr>
        <w:t xml:space="preserve">model, and </w:t>
      </w:r>
      <w:proofErr w:type="spellStart"/>
      <w:r w:rsidRPr="00D74EC4">
        <w:rPr>
          <w:rFonts w:ascii="Arial" w:hAnsi="Arial" w:cs="Arial"/>
          <w:bCs/>
          <w:sz w:val="18"/>
          <w:szCs w:val="18"/>
        </w:rPr>
        <w:t>HR</w:t>
      </w:r>
      <w:r>
        <w:rPr>
          <w:rFonts w:ascii="Arial" w:hAnsi="Arial" w:cs="Arial"/>
          <w:bCs/>
          <w:sz w:val="18"/>
          <w:szCs w:val="18"/>
        </w:rPr>
        <w:t>c</w:t>
      </w:r>
      <w:proofErr w:type="spellEnd"/>
      <w:r w:rsidRPr="00D74EC4">
        <w:rPr>
          <w:rFonts w:ascii="Arial" w:hAnsi="Arial" w:cs="Arial"/>
          <w:bCs/>
          <w:sz w:val="18"/>
          <w:szCs w:val="18"/>
        </w:rPr>
        <w:t xml:space="preserve"> is the HR</w:t>
      </w:r>
      <w:r>
        <w:rPr>
          <w:rFonts w:ascii="Arial" w:hAnsi="Arial" w:cs="Arial"/>
          <w:bCs/>
          <w:sz w:val="18"/>
          <w:szCs w:val="18"/>
        </w:rPr>
        <w:t xml:space="preserve"> </w:t>
      </w:r>
      <w:r w:rsidRPr="00D74EC4">
        <w:rPr>
          <w:rFonts w:ascii="Arial" w:hAnsi="Arial" w:cs="Arial"/>
          <w:bCs/>
          <w:sz w:val="18"/>
          <w:szCs w:val="18"/>
        </w:rPr>
        <w:t>for the comparison of the treatment</w:t>
      </w:r>
      <w:r>
        <w:rPr>
          <w:rFonts w:ascii="Arial" w:hAnsi="Arial" w:cs="Arial"/>
          <w:bCs/>
          <w:sz w:val="18"/>
          <w:szCs w:val="18"/>
        </w:rPr>
        <w:t xml:space="preserve"> </w:t>
      </w:r>
      <w:r w:rsidRPr="00D74EC4">
        <w:rPr>
          <w:rFonts w:ascii="Arial" w:hAnsi="Arial" w:cs="Arial"/>
          <w:bCs/>
          <w:sz w:val="18"/>
          <w:szCs w:val="18"/>
        </w:rPr>
        <w:t>groups in the model adjusting for the</w:t>
      </w:r>
      <w:r>
        <w:rPr>
          <w:rFonts w:ascii="Arial" w:hAnsi="Arial" w:cs="Arial"/>
          <w:bCs/>
          <w:sz w:val="18"/>
          <w:szCs w:val="18"/>
        </w:rPr>
        <w:t xml:space="preserve"> </w:t>
      </w:r>
      <w:r w:rsidRPr="00D74EC4">
        <w:rPr>
          <w:rFonts w:ascii="Arial" w:hAnsi="Arial" w:cs="Arial"/>
          <w:bCs/>
          <w:sz w:val="18"/>
          <w:szCs w:val="18"/>
        </w:rPr>
        <w:t>time-dependent</w:t>
      </w:r>
      <w:r>
        <w:rPr>
          <w:rFonts w:ascii="Arial" w:hAnsi="Arial" w:cs="Arial"/>
          <w:bCs/>
          <w:sz w:val="18"/>
          <w:szCs w:val="18"/>
        </w:rPr>
        <w:t xml:space="preserve"> </w:t>
      </w:r>
      <w:r w:rsidRPr="00D74EC4">
        <w:rPr>
          <w:rFonts w:ascii="Arial" w:hAnsi="Arial" w:cs="Arial"/>
          <w:bCs/>
          <w:sz w:val="18"/>
          <w:szCs w:val="18"/>
        </w:rPr>
        <w:t>covariate</w:t>
      </w:r>
      <w:r>
        <w:rPr>
          <w:rFonts w:ascii="Arial" w:hAnsi="Arial" w:cs="Arial"/>
          <w:bCs/>
          <w:sz w:val="18"/>
          <w:szCs w:val="18"/>
        </w:rPr>
        <w:t xml:space="preserve"> of diuretics.</w:t>
      </w:r>
      <w:r>
        <w:rPr>
          <w:rFonts w:ascii="Arial" w:hAnsi="Arial" w:cs="Arial"/>
          <w:bCs/>
          <w:sz w:val="18"/>
          <w:szCs w:val="18"/>
        </w:rPr>
        <w:br/>
      </w:r>
      <w:r w:rsidRPr="00B66B76">
        <w:rPr>
          <w:rFonts w:ascii="Arial" w:hAnsi="Arial" w:cs="Arial"/>
          <w:bCs/>
          <w:sz w:val="18"/>
          <w:szCs w:val="18"/>
        </w:rPr>
        <w:t xml:space="preserve">Time to new onset of </w:t>
      </w:r>
      <w:r>
        <w:rPr>
          <w:rFonts w:ascii="Arial" w:hAnsi="Arial" w:cs="Arial"/>
          <w:bCs/>
          <w:sz w:val="18"/>
          <w:szCs w:val="18"/>
        </w:rPr>
        <w:t xml:space="preserve">loop </w:t>
      </w:r>
      <w:r w:rsidRPr="00B66B76">
        <w:rPr>
          <w:rFonts w:ascii="Arial" w:hAnsi="Arial" w:cs="Arial"/>
          <w:bCs/>
          <w:sz w:val="18"/>
          <w:szCs w:val="18"/>
        </w:rPr>
        <w:t xml:space="preserve">diuretics on-treatment in </w:t>
      </w:r>
      <w:proofErr w:type="spellStart"/>
      <w:r w:rsidRPr="00B66B76">
        <w:rPr>
          <w:rFonts w:ascii="Arial" w:hAnsi="Arial" w:cs="Arial"/>
          <w:bCs/>
          <w:sz w:val="18"/>
          <w:szCs w:val="18"/>
        </w:rPr>
        <w:t>empa</w:t>
      </w:r>
      <w:proofErr w:type="spellEnd"/>
      <w:r w:rsidRPr="00B66B76">
        <w:rPr>
          <w:rFonts w:ascii="Arial" w:hAnsi="Arial" w:cs="Arial"/>
          <w:bCs/>
          <w:sz w:val="18"/>
          <w:szCs w:val="18"/>
        </w:rPr>
        <w:t xml:space="preserve"> vs. placebo</w:t>
      </w:r>
      <w:r>
        <w:rPr>
          <w:rFonts w:ascii="Arial" w:hAnsi="Arial" w:cs="Arial"/>
          <w:bCs/>
          <w:sz w:val="18"/>
          <w:szCs w:val="18"/>
        </w:rPr>
        <w:t>:</w:t>
      </w:r>
      <w:r w:rsidRPr="00B66B76">
        <w:rPr>
          <w:rFonts w:ascii="Arial" w:hAnsi="Arial" w:cs="Arial"/>
          <w:bCs/>
          <w:sz w:val="18"/>
          <w:szCs w:val="18"/>
        </w:rPr>
        <w:t xml:space="preserve"> HR 0.56, 95% CI (0.46,0.67), Time to new onset of </w:t>
      </w:r>
      <w:r>
        <w:rPr>
          <w:rFonts w:ascii="Arial" w:hAnsi="Arial" w:cs="Arial"/>
          <w:bCs/>
          <w:sz w:val="18"/>
          <w:szCs w:val="18"/>
        </w:rPr>
        <w:t>thiazides</w:t>
      </w:r>
      <w:r w:rsidRPr="00B66B76">
        <w:rPr>
          <w:rFonts w:ascii="Arial" w:hAnsi="Arial" w:cs="Arial"/>
          <w:bCs/>
          <w:sz w:val="18"/>
          <w:szCs w:val="18"/>
        </w:rPr>
        <w:t xml:space="preserve"> on-treatment in </w:t>
      </w:r>
      <w:proofErr w:type="spellStart"/>
      <w:r w:rsidRPr="00B66B76">
        <w:rPr>
          <w:rFonts w:ascii="Arial" w:hAnsi="Arial" w:cs="Arial"/>
          <w:bCs/>
          <w:sz w:val="18"/>
          <w:szCs w:val="18"/>
        </w:rPr>
        <w:t>empa</w:t>
      </w:r>
      <w:proofErr w:type="spellEnd"/>
      <w:r w:rsidRPr="00B66B76">
        <w:rPr>
          <w:rFonts w:ascii="Arial" w:hAnsi="Arial" w:cs="Arial"/>
          <w:bCs/>
          <w:sz w:val="18"/>
          <w:szCs w:val="18"/>
        </w:rPr>
        <w:t xml:space="preserve"> vs. placebo</w:t>
      </w:r>
      <w:r>
        <w:rPr>
          <w:rFonts w:ascii="Arial" w:hAnsi="Arial" w:cs="Arial"/>
          <w:bCs/>
          <w:sz w:val="18"/>
          <w:szCs w:val="18"/>
        </w:rPr>
        <w:t>:</w:t>
      </w:r>
      <w:r w:rsidRPr="00B66B76">
        <w:rPr>
          <w:rFonts w:ascii="Arial" w:hAnsi="Arial" w:cs="Arial"/>
          <w:bCs/>
          <w:sz w:val="18"/>
          <w:szCs w:val="18"/>
        </w:rPr>
        <w:t xml:space="preserve"> HR 0.65, 95% CI (0.52,0.81)</w:t>
      </w:r>
      <w:r>
        <w:rPr>
          <w:rFonts w:ascii="Arial" w:hAnsi="Arial" w:cs="Arial"/>
          <w:bCs/>
          <w:sz w:val="18"/>
          <w:szCs w:val="18"/>
        </w:rPr>
        <w:t xml:space="preserve">, both </w:t>
      </w:r>
      <w:r w:rsidRPr="00B66B76">
        <w:rPr>
          <w:rFonts w:ascii="Arial" w:hAnsi="Arial" w:cs="Arial"/>
          <w:bCs/>
          <w:sz w:val="18"/>
          <w:szCs w:val="18"/>
        </w:rPr>
        <w:t xml:space="preserve">in patients </w:t>
      </w:r>
      <w:r w:rsidRPr="00094981">
        <w:rPr>
          <w:rFonts w:ascii="Arial" w:hAnsi="Arial" w:cs="Arial"/>
          <w:bCs/>
          <w:sz w:val="18"/>
          <w:szCs w:val="18"/>
        </w:rPr>
        <w:t>not on anti-gout medication at baseline</w:t>
      </w:r>
      <w:r>
        <w:rPr>
          <w:rFonts w:ascii="Arial" w:hAnsi="Arial" w:cs="Arial"/>
          <w:bCs/>
          <w:sz w:val="18"/>
          <w:szCs w:val="18"/>
        </w:rPr>
        <w:t xml:space="preserve"> and not on loop diuretics resp. thiazides at baseline</w:t>
      </w:r>
      <w:r w:rsidRPr="00B66B76">
        <w:rPr>
          <w:rFonts w:ascii="Arial" w:hAnsi="Arial" w:cs="Arial"/>
          <w:bCs/>
          <w:sz w:val="18"/>
          <w:szCs w:val="18"/>
        </w:rPr>
        <w:t>.</w:t>
      </w:r>
    </w:p>
    <w:p w14:paraId="17A57D41" w14:textId="77777777" w:rsidR="0031401A" w:rsidRDefault="0031401A" w:rsidP="0031401A">
      <w:pPr>
        <w:spacing w:after="0" w:line="240" w:lineRule="auto"/>
        <w:ind w:right="1500"/>
        <w:rPr>
          <w:rFonts w:ascii="Arial" w:hAnsi="Arial" w:cs="Arial"/>
          <w:bCs/>
          <w:sz w:val="18"/>
          <w:szCs w:val="18"/>
        </w:rPr>
      </w:pPr>
      <w:r>
        <w:rPr>
          <w:rFonts w:ascii="Arial" w:hAnsi="Arial" w:cs="Arial"/>
          <w:bCs/>
          <w:sz w:val="18"/>
          <w:szCs w:val="18"/>
        </w:rPr>
        <w:t>BMI=Body-mass-index; eGFR=estimated glomerular filtration rate; HR=Hazard Ratio, CI=Confidence Interval.</w:t>
      </w:r>
    </w:p>
    <w:p w14:paraId="42C2F54A" w14:textId="77777777" w:rsidR="0031401A" w:rsidRDefault="0031401A" w:rsidP="0031401A">
      <w:pPr>
        <w:spacing w:after="0" w:line="240" w:lineRule="auto"/>
        <w:ind w:right="2612"/>
        <w:jc w:val="both"/>
        <w:rPr>
          <w:rFonts w:ascii="Arial" w:hAnsi="Arial" w:cs="Arial"/>
          <w:b/>
          <w:bCs/>
          <w:sz w:val="20"/>
          <w:szCs w:val="20"/>
        </w:rPr>
      </w:pPr>
    </w:p>
    <w:p w14:paraId="4C48FE16" w14:textId="77777777" w:rsidR="0031401A" w:rsidRDefault="0031401A" w:rsidP="0031401A">
      <w:pPr>
        <w:rPr>
          <w:rFonts w:ascii="Arial" w:hAnsi="Arial" w:cs="Arial"/>
          <w:b/>
          <w:bCs/>
          <w:noProof/>
          <w:sz w:val="20"/>
          <w:szCs w:val="20"/>
        </w:rPr>
      </w:pPr>
      <w:r>
        <w:rPr>
          <w:rFonts w:ascii="Arial" w:hAnsi="Arial" w:cs="Arial"/>
          <w:b/>
          <w:bCs/>
          <w:noProof/>
          <w:sz w:val="20"/>
          <w:szCs w:val="20"/>
        </w:rPr>
        <w:br w:type="page"/>
      </w:r>
    </w:p>
    <w:p w14:paraId="2748628B" w14:textId="77777777" w:rsidR="0031401A" w:rsidRDefault="0031401A" w:rsidP="0031401A">
      <w:pPr>
        <w:spacing w:after="0" w:line="240" w:lineRule="auto"/>
        <w:ind w:right="2612"/>
        <w:jc w:val="both"/>
        <w:rPr>
          <w:rFonts w:ascii="Arial" w:hAnsi="Arial" w:cs="Arial"/>
          <w:b/>
          <w:bCs/>
          <w:sz w:val="20"/>
          <w:szCs w:val="20"/>
        </w:rPr>
      </w:pPr>
    </w:p>
    <w:p w14:paraId="1EF92C17" w14:textId="77777777" w:rsidR="0031401A" w:rsidRDefault="0031401A" w:rsidP="0031401A">
      <w:pPr>
        <w:spacing w:after="0" w:line="240" w:lineRule="auto"/>
        <w:ind w:right="2612"/>
        <w:jc w:val="both"/>
        <w:rPr>
          <w:rFonts w:ascii="Arial" w:hAnsi="Arial" w:cs="Arial"/>
          <w:b/>
          <w:bCs/>
          <w:sz w:val="20"/>
          <w:szCs w:val="20"/>
        </w:rPr>
      </w:pPr>
    </w:p>
    <w:p w14:paraId="581D2DAB" w14:textId="77777777" w:rsidR="0031401A" w:rsidRDefault="0031401A" w:rsidP="0031401A">
      <w:pPr>
        <w:spacing w:after="0" w:line="240" w:lineRule="auto"/>
        <w:ind w:right="2612"/>
        <w:jc w:val="both"/>
        <w:rPr>
          <w:rFonts w:ascii="Arial" w:hAnsi="Arial" w:cs="Arial"/>
          <w:b/>
          <w:bCs/>
          <w:sz w:val="20"/>
          <w:szCs w:val="20"/>
        </w:rPr>
      </w:pPr>
      <w:r>
        <w:rPr>
          <w:rFonts w:ascii="Arial" w:hAnsi="Arial" w:cs="Arial"/>
          <w:b/>
          <w:bCs/>
          <w:sz w:val="20"/>
          <w:szCs w:val="20"/>
        </w:rPr>
        <w:t xml:space="preserve">Supplemental </w:t>
      </w:r>
      <w:r w:rsidRPr="008559A9">
        <w:rPr>
          <w:rFonts w:ascii="Arial" w:hAnsi="Arial" w:cs="Arial"/>
          <w:b/>
          <w:bCs/>
          <w:sz w:val="20"/>
          <w:szCs w:val="20"/>
        </w:rPr>
        <w:t xml:space="preserve">Figure </w:t>
      </w:r>
      <w:r>
        <w:rPr>
          <w:rFonts w:ascii="Arial" w:hAnsi="Arial" w:cs="Arial"/>
          <w:b/>
          <w:bCs/>
          <w:sz w:val="20"/>
          <w:szCs w:val="20"/>
        </w:rPr>
        <w:t>1</w:t>
      </w:r>
      <w:r w:rsidRPr="008559A9">
        <w:rPr>
          <w:rFonts w:ascii="Arial" w:hAnsi="Arial" w:cs="Arial"/>
          <w:b/>
          <w:bCs/>
          <w:sz w:val="20"/>
          <w:szCs w:val="20"/>
        </w:rPr>
        <w:t>.</w:t>
      </w:r>
      <w:r>
        <w:rPr>
          <w:rFonts w:ascii="Arial" w:hAnsi="Arial" w:cs="Arial"/>
          <w:b/>
          <w:bCs/>
          <w:sz w:val="20"/>
          <w:szCs w:val="20"/>
        </w:rPr>
        <w:t xml:space="preserve"> E</w:t>
      </w:r>
      <w:r w:rsidRPr="008559A9">
        <w:rPr>
          <w:rFonts w:ascii="Arial" w:hAnsi="Arial" w:cs="Arial"/>
          <w:b/>
          <w:bCs/>
          <w:sz w:val="20"/>
          <w:szCs w:val="20"/>
        </w:rPr>
        <w:t xml:space="preserve">ffect of Empagliflozin </w:t>
      </w:r>
      <w:r>
        <w:rPr>
          <w:rFonts w:ascii="Arial" w:hAnsi="Arial" w:cs="Arial"/>
          <w:b/>
          <w:bCs/>
          <w:sz w:val="20"/>
          <w:szCs w:val="20"/>
        </w:rPr>
        <w:t>(10 and 25 mg) vs. placebo on uric acid levels (mg/dl) over time (on-treatment)</w:t>
      </w:r>
    </w:p>
    <w:p w14:paraId="726DE59D" w14:textId="77777777" w:rsidR="0031401A" w:rsidRDefault="0031401A" w:rsidP="0031401A"/>
    <w:p w14:paraId="7D0EB8D5" w14:textId="77777777" w:rsidR="0031401A" w:rsidRDefault="0031401A" w:rsidP="0031401A">
      <w:r>
        <w:rPr>
          <w:rFonts w:ascii="Arial" w:hAnsi="Arial" w:cs="Arial"/>
          <w:b/>
          <w:bCs/>
          <w:noProof/>
          <w:sz w:val="20"/>
          <w:szCs w:val="20"/>
          <w:lang w:val="fr-FR" w:eastAsia="fr-FR"/>
        </w:rPr>
        <w:drawing>
          <wp:inline distT="0" distB="0" distL="0" distR="0" wp14:anchorId="7DF08B92" wp14:editId="10275A8D">
            <wp:extent cx="8229600" cy="3815080"/>
            <wp:effectExtent l="0" t="0" r="0" b="0"/>
            <wp:docPr id="39" name="Picture 3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line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229600" cy="3815080"/>
                    </a:xfrm>
                    <a:prstGeom prst="rect">
                      <a:avLst/>
                    </a:prstGeom>
                  </pic:spPr>
                </pic:pic>
              </a:graphicData>
            </a:graphic>
          </wp:inline>
        </w:drawing>
      </w:r>
    </w:p>
    <w:p w14:paraId="38D5CCE0" w14:textId="77777777" w:rsidR="0031401A" w:rsidRPr="00AF2371" w:rsidRDefault="0031401A" w:rsidP="0031401A">
      <w:pPr>
        <w:spacing w:after="0" w:line="240" w:lineRule="auto"/>
        <w:ind w:right="2612"/>
        <w:jc w:val="both"/>
        <w:rPr>
          <w:rFonts w:ascii="Arial" w:hAnsi="Arial" w:cs="Arial"/>
          <w:b/>
          <w:bCs/>
          <w:sz w:val="20"/>
          <w:szCs w:val="20"/>
        </w:rPr>
      </w:pPr>
      <w:r w:rsidRPr="00AF2371">
        <w:rPr>
          <w:rFonts w:ascii="Arial" w:hAnsi="Arial" w:cs="Arial"/>
        </w:rPr>
        <w:t xml:space="preserve">Legend: </w:t>
      </w:r>
      <w:r w:rsidRPr="00AF2371">
        <w:rPr>
          <w:rFonts w:ascii="Arial" w:hAnsi="Arial" w:cs="Arial"/>
          <w:sz w:val="20"/>
          <w:szCs w:val="20"/>
        </w:rPr>
        <w:t xml:space="preserve">MMRM analyses, that included continuous fixed effects of baseline uric acid and baseline HbA1c at each visit and discrete fixed effects for treatment at each visit, region, baseline eGFR, baseline BMI and last projected visit. </w:t>
      </w:r>
      <w:r w:rsidRPr="00AF2371">
        <w:rPr>
          <w:rFonts w:ascii="Arial" w:hAnsi="Arial" w:cs="Arial"/>
        </w:rPr>
        <w:t>BMI=</w:t>
      </w:r>
      <w:r w:rsidRPr="00640B5D">
        <w:rPr>
          <w:rFonts w:ascii="Arial" w:hAnsi="Arial" w:cs="Arial"/>
        </w:rPr>
        <w:t>body-mass-index; eGFR=estimated glomerular filtration rate; HbA1c=glycated hemoglobin A1c; HR=hazard ratio; CI=confidence interval</w:t>
      </w:r>
      <w:r>
        <w:rPr>
          <w:rFonts w:ascii="Arial" w:hAnsi="Arial" w:cs="Arial"/>
        </w:rPr>
        <w:t>.</w:t>
      </w:r>
    </w:p>
    <w:p w14:paraId="7D216CD6" w14:textId="77777777" w:rsidR="0031401A" w:rsidRDefault="0031401A" w:rsidP="0031401A">
      <w:pPr>
        <w:sectPr w:rsidR="0031401A" w:rsidSect="007D57EA">
          <w:pgSz w:w="15840" w:h="12240" w:orient="landscape"/>
          <w:pgMar w:top="1440" w:right="1440" w:bottom="1440" w:left="1440" w:header="708" w:footer="708" w:gutter="0"/>
          <w:cols w:space="708"/>
          <w:docGrid w:linePitch="360"/>
        </w:sectPr>
      </w:pPr>
    </w:p>
    <w:p w14:paraId="0659482E" w14:textId="77777777" w:rsidR="0031401A" w:rsidRDefault="0031401A" w:rsidP="0031401A">
      <w:r w:rsidRPr="004002F5">
        <w:rPr>
          <w:noProof/>
        </w:rPr>
        <w:t xml:space="preserve"> </w:t>
      </w:r>
    </w:p>
    <w:p w14:paraId="2A32B8B2" w14:textId="77777777" w:rsidR="0031401A" w:rsidRDefault="0031401A" w:rsidP="0031401A">
      <w:pPr>
        <w:spacing w:after="0" w:line="240" w:lineRule="auto"/>
        <w:ind w:right="-81"/>
        <w:jc w:val="both"/>
        <w:rPr>
          <w:rFonts w:ascii="Arial" w:hAnsi="Arial" w:cs="Arial"/>
          <w:b/>
          <w:bCs/>
          <w:sz w:val="20"/>
          <w:szCs w:val="20"/>
        </w:rPr>
      </w:pPr>
      <w:r>
        <w:rPr>
          <w:rFonts w:ascii="Arial" w:hAnsi="Arial" w:cs="Arial"/>
          <w:b/>
          <w:bCs/>
          <w:sz w:val="20"/>
          <w:szCs w:val="20"/>
        </w:rPr>
        <w:t xml:space="preserve">Supplemental </w:t>
      </w:r>
      <w:r w:rsidRPr="008559A9">
        <w:rPr>
          <w:rFonts w:ascii="Arial" w:hAnsi="Arial" w:cs="Arial"/>
          <w:b/>
          <w:bCs/>
          <w:sz w:val="20"/>
          <w:szCs w:val="20"/>
        </w:rPr>
        <w:t xml:space="preserve">Figure </w:t>
      </w:r>
      <w:r>
        <w:rPr>
          <w:rFonts w:ascii="Arial" w:hAnsi="Arial" w:cs="Arial"/>
          <w:b/>
          <w:bCs/>
          <w:sz w:val="20"/>
          <w:szCs w:val="20"/>
        </w:rPr>
        <w:t>2</w:t>
      </w:r>
      <w:r w:rsidRPr="008559A9">
        <w:rPr>
          <w:rFonts w:ascii="Arial" w:hAnsi="Arial" w:cs="Arial"/>
          <w:b/>
          <w:bCs/>
          <w:sz w:val="20"/>
          <w:szCs w:val="20"/>
        </w:rPr>
        <w:t>.</w:t>
      </w:r>
      <w:r>
        <w:rPr>
          <w:rFonts w:ascii="Arial" w:hAnsi="Arial" w:cs="Arial"/>
          <w:b/>
          <w:bCs/>
          <w:sz w:val="20"/>
          <w:szCs w:val="20"/>
        </w:rPr>
        <w:t xml:space="preserve"> E</w:t>
      </w:r>
      <w:r w:rsidRPr="008559A9">
        <w:rPr>
          <w:rFonts w:ascii="Arial" w:hAnsi="Arial" w:cs="Arial"/>
          <w:b/>
          <w:bCs/>
          <w:sz w:val="20"/>
          <w:szCs w:val="20"/>
        </w:rPr>
        <w:t xml:space="preserve">ffect of Empagliflozin </w:t>
      </w:r>
      <w:r>
        <w:rPr>
          <w:rFonts w:ascii="Arial" w:hAnsi="Arial" w:cs="Arial"/>
          <w:b/>
          <w:bCs/>
          <w:sz w:val="20"/>
          <w:szCs w:val="20"/>
        </w:rPr>
        <w:t xml:space="preserve">(10 and 25 mg pooled) vs. placebo on uric acid levels (mg/dl) over time (on-treatment) in participants with baseline UA </w:t>
      </w:r>
      <w:r w:rsidRPr="009A088F">
        <w:rPr>
          <w:rFonts w:ascii="Arial" w:hAnsi="Arial" w:cs="Arial"/>
          <w:b/>
          <w:bCs/>
          <w:sz w:val="20"/>
          <w:szCs w:val="20"/>
        </w:rPr>
        <w:t>≥6.0 mg/dL</w:t>
      </w:r>
      <w:r>
        <w:rPr>
          <w:rFonts w:ascii="Arial" w:hAnsi="Arial" w:cs="Arial"/>
          <w:b/>
          <w:bCs/>
          <w:sz w:val="20"/>
          <w:szCs w:val="20"/>
        </w:rPr>
        <w:t xml:space="preserve"> vs. &lt;6.0 mg/dL</w:t>
      </w:r>
    </w:p>
    <w:p w14:paraId="76E4500A" w14:textId="77777777" w:rsidR="0031401A" w:rsidRDefault="0031401A" w:rsidP="0031401A">
      <w:pPr>
        <w:spacing w:after="0" w:line="240" w:lineRule="auto"/>
        <w:ind w:right="-81"/>
        <w:jc w:val="both"/>
        <w:rPr>
          <w:rFonts w:ascii="Arial" w:hAnsi="Arial" w:cs="Arial"/>
          <w:b/>
          <w:bCs/>
          <w:sz w:val="20"/>
          <w:szCs w:val="20"/>
        </w:rPr>
      </w:pPr>
    </w:p>
    <w:p w14:paraId="2FDF857F" w14:textId="77777777" w:rsidR="0031401A" w:rsidRDefault="0031401A" w:rsidP="0031401A">
      <w:pPr>
        <w:spacing w:after="0" w:line="240" w:lineRule="auto"/>
        <w:ind w:right="-81"/>
        <w:jc w:val="both"/>
      </w:pPr>
      <w:r>
        <w:rPr>
          <w:noProof/>
          <w:lang w:val="fr-FR" w:eastAsia="fr-FR"/>
        </w:rPr>
        <w:drawing>
          <wp:inline distT="0" distB="0" distL="0" distR="0" wp14:anchorId="50C98619" wp14:editId="5E2A53BB">
            <wp:extent cx="8229600" cy="3840480"/>
            <wp:effectExtent l="0" t="0" r="0" b="7620"/>
            <wp:docPr id="40" name="Picture 40"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229600" cy="3840480"/>
                    </a:xfrm>
                    <a:prstGeom prst="rect">
                      <a:avLst/>
                    </a:prstGeom>
                  </pic:spPr>
                </pic:pic>
              </a:graphicData>
            </a:graphic>
          </wp:inline>
        </w:drawing>
      </w:r>
    </w:p>
    <w:p w14:paraId="2D112856" w14:textId="77777777" w:rsidR="0031401A" w:rsidRDefault="0031401A" w:rsidP="0031401A">
      <w:pPr>
        <w:spacing w:after="0" w:line="240" w:lineRule="auto"/>
        <w:ind w:right="-81"/>
        <w:jc w:val="both"/>
      </w:pPr>
    </w:p>
    <w:p w14:paraId="064544DC" w14:textId="77777777" w:rsidR="0031401A" w:rsidRPr="00AF2371" w:rsidRDefault="0031401A" w:rsidP="0031401A">
      <w:pPr>
        <w:spacing w:after="0" w:line="240" w:lineRule="auto"/>
        <w:ind w:right="-81"/>
        <w:jc w:val="both"/>
        <w:rPr>
          <w:rFonts w:ascii="Arial" w:hAnsi="Arial" w:cs="Arial"/>
          <w:sz w:val="20"/>
          <w:szCs w:val="20"/>
        </w:rPr>
      </w:pPr>
      <w:r w:rsidRPr="00AF2371">
        <w:rPr>
          <w:rFonts w:ascii="Arial" w:hAnsi="Arial" w:cs="Arial"/>
          <w:sz w:val="20"/>
          <w:szCs w:val="20"/>
        </w:rPr>
        <w:t>Legend: MMRM analyses, that included continuous fixed effects of baseline HbA1c at each visit and discrete fixed effects for treatment at each visit, region, baseline eGFR, baseline BMI, last projected visit and subgroup-by-treatment-by visit interaction. BMI=body-mass-index; eGFR=estimated glomerular filtration rate; HbA1c=glycated hemoglobin A1c; HR=hazard ratio; CI=confidence interval</w:t>
      </w:r>
      <w:r>
        <w:rPr>
          <w:rFonts w:ascii="Arial" w:hAnsi="Arial" w:cs="Arial"/>
          <w:sz w:val="20"/>
          <w:szCs w:val="20"/>
        </w:rPr>
        <w:t>.</w:t>
      </w:r>
    </w:p>
    <w:p w14:paraId="2A6F68B1" w14:textId="77777777" w:rsidR="0031401A" w:rsidRDefault="0031401A" w:rsidP="0031401A">
      <w:pPr>
        <w:spacing w:after="0" w:line="240" w:lineRule="auto"/>
        <w:ind w:right="-81"/>
        <w:jc w:val="both"/>
        <w:sectPr w:rsidR="0031401A" w:rsidSect="007D57EA">
          <w:pgSz w:w="15840" w:h="12240" w:orient="landscape"/>
          <w:pgMar w:top="1440" w:right="1440" w:bottom="1440" w:left="1440" w:header="708" w:footer="708" w:gutter="0"/>
          <w:cols w:space="708"/>
          <w:docGrid w:linePitch="360"/>
        </w:sectPr>
      </w:pPr>
    </w:p>
    <w:p w14:paraId="0F100DB2" w14:textId="77777777" w:rsidR="0031401A" w:rsidRDefault="0031401A" w:rsidP="0031401A"/>
    <w:p w14:paraId="75EA0C66" w14:textId="3B5D81FB" w:rsidR="0031401A" w:rsidRDefault="0031401A" w:rsidP="0031401A">
      <w:pPr>
        <w:spacing w:after="0" w:line="240" w:lineRule="auto"/>
        <w:ind w:right="-81"/>
        <w:jc w:val="both"/>
        <w:rPr>
          <w:rFonts w:ascii="Arial" w:hAnsi="Arial" w:cs="Arial"/>
          <w:b/>
          <w:bCs/>
          <w:sz w:val="20"/>
          <w:szCs w:val="20"/>
        </w:rPr>
      </w:pPr>
      <w:r>
        <w:rPr>
          <w:rFonts w:ascii="Arial" w:hAnsi="Arial" w:cs="Arial"/>
          <w:b/>
          <w:bCs/>
          <w:sz w:val="20"/>
          <w:szCs w:val="20"/>
        </w:rPr>
        <w:t xml:space="preserve">Supplemental </w:t>
      </w:r>
      <w:r w:rsidRPr="008559A9">
        <w:rPr>
          <w:rFonts w:ascii="Arial" w:hAnsi="Arial" w:cs="Arial"/>
          <w:b/>
          <w:bCs/>
          <w:sz w:val="20"/>
          <w:szCs w:val="20"/>
        </w:rPr>
        <w:t xml:space="preserve">Figure </w:t>
      </w:r>
      <w:r>
        <w:rPr>
          <w:rFonts w:ascii="Arial" w:hAnsi="Arial" w:cs="Arial"/>
          <w:b/>
          <w:bCs/>
          <w:sz w:val="20"/>
          <w:szCs w:val="20"/>
        </w:rPr>
        <w:t>3</w:t>
      </w:r>
      <w:r w:rsidRPr="008559A9">
        <w:rPr>
          <w:rFonts w:ascii="Arial" w:hAnsi="Arial" w:cs="Arial"/>
          <w:b/>
          <w:bCs/>
          <w:sz w:val="20"/>
          <w:szCs w:val="20"/>
        </w:rPr>
        <w:t>.</w:t>
      </w:r>
      <w:r>
        <w:rPr>
          <w:rFonts w:ascii="Arial" w:hAnsi="Arial" w:cs="Arial"/>
          <w:b/>
          <w:bCs/>
          <w:sz w:val="20"/>
          <w:szCs w:val="20"/>
        </w:rPr>
        <w:t xml:space="preserve"> E</w:t>
      </w:r>
      <w:r w:rsidRPr="008559A9">
        <w:rPr>
          <w:rFonts w:ascii="Arial" w:hAnsi="Arial" w:cs="Arial"/>
          <w:b/>
          <w:bCs/>
          <w:sz w:val="20"/>
          <w:szCs w:val="20"/>
        </w:rPr>
        <w:t xml:space="preserve">ffect of Empagliflozin </w:t>
      </w:r>
      <w:r>
        <w:rPr>
          <w:rFonts w:ascii="Arial" w:hAnsi="Arial" w:cs="Arial"/>
          <w:b/>
          <w:bCs/>
          <w:sz w:val="20"/>
          <w:szCs w:val="20"/>
        </w:rPr>
        <w:t xml:space="preserve">(10 and 25 mg pooled) vs. placebo on uric acid levels (mg/dl) over time (on-treatment) in participants with baseline UA </w:t>
      </w:r>
      <w:r w:rsidRPr="009A088F">
        <w:rPr>
          <w:rFonts w:ascii="Arial" w:hAnsi="Arial" w:cs="Arial"/>
          <w:b/>
          <w:bCs/>
          <w:sz w:val="20"/>
          <w:szCs w:val="20"/>
        </w:rPr>
        <w:t>≥</w:t>
      </w:r>
      <w:r>
        <w:rPr>
          <w:rFonts w:ascii="Arial" w:hAnsi="Arial" w:cs="Arial"/>
          <w:b/>
          <w:bCs/>
          <w:sz w:val="20"/>
          <w:szCs w:val="20"/>
        </w:rPr>
        <w:t>7</w:t>
      </w:r>
      <w:r w:rsidRPr="009A088F">
        <w:rPr>
          <w:rFonts w:ascii="Arial" w:hAnsi="Arial" w:cs="Arial"/>
          <w:b/>
          <w:bCs/>
          <w:sz w:val="20"/>
          <w:szCs w:val="20"/>
        </w:rPr>
        <w:t>.0 mg/dL</w:t>
      </w:r>
      <w:r>
        <w:rPr>
          <w:rFonts w:ascii="Arial" w:hAnsi="Arial" w:cs="Arial"/>
          <w:b/>
          <w:bCs/>
          <w:sz w:val="20"/>
          <w:szCs w:val="20"/>
        </w:rPr>
        <w:t xml:space="preserve"> vs. &lt;7.0 mg/dL</w:t>
      </w:r>
    </w:p>
    <w:p w14:paraId="0D504A5C" w14:textId="0D6ACB00" w:rsidR="00D70401" w:rsidRDefault="00D70401" w:rsidP="0031401A">
      <w:pPr>
        <w:spacing w:after="0" w:line="240" w:lineRule="auto"/>
        <w:ind w:right="-81"/>
        <w:jc w:val="both"/>
        <w:rPr>
          <w:rFonts w:ascii="Arial" w:hAnsi="Arial" w:cs="Arial"/>
          <w:b/>
          <w:bCs/>
          <w:sz w:val="20"/>
          <w:szCs w:val="20"/>
        </w:rPr>
      </w:pPr>
      <w:r>
        <w:rPr>
          <w:rFonts w:ascii="Arial" w:hAnsi="Arial" w:cs="Arial"/>
          <w:b/>
          <w:bCs/>
          <w:noProof/>
          <w:sz w:val="20"/>
          <w:szCs w:val="20"/>
          <w:lang w:val="fr-FR" w:eastAsia="fr-FR"/>
        </w:rPr>
        <w:drawing>
          <wp:inline distT="0" distB="0" distL="0" distR="0" wp14:anchorId="54FA6FA1" wp14:editId="522326D8">
            <wp:extent cx="8223232" cy="3841200"/>
            <wp:effectExtent l="0" t="0" r="0" b="698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3232" cy="3841200"/>
                    </a:xfrm>
                    <a:prstGeom prst="rect">
                      <a:avLst/>
                    </a:prstGeom>
                  </pic:spPr>
                </pic:pic>
              </a:graphicData>
            </a:graphic>
          </wp:inline>
        </w:drawing>
      </w:r>
    </w:p>
    <w:p w14:paraId="2EEAA1BD" w14:textId="3E7B8C69" w:rsidR="0031401A" w:rsidRDefault="0031401A" w:rsidP="0031401A">
      <w:pPr>
        <w:rPr>
          <w:rFonts w:ascii="Arial" w:hAnsi="Arial" w:cs="Arial"/>
          <w:b/>
          <w:bCs/>
          <w:sz w:val="20"/>
          <w:szCs w:val="20"/>
        </w:rPr>
      </w:pPr>
    </w:p>
    <w:p w14:paraId="7A4B8CB9" w14:textId="77777777" w:rsidR="0031401A" w:rsidRPr="00AF2371" w:rsidRDefault="0031401A" w:rsidP="0031401A">
      <w:pPr>
        <w:spacing w:after="0" w:line="240" w:lineRule="auto"/>
        <w:ind w:right="-81"/>
        <w:jc w:val="both"/>
        <w:rPr>
          <w:rFonts w:ascii="Arial" w:hAnsi="Arial" w:cs="Arial"/>
          <w:sz w:val="20"/>
          <w:szCs w:val="20"/>
        </w:rPr>
      </w:pPr>
      <w:r w:rsidRPr="00AF2371">
        <w:rPr>
          <w:rFonts w:ascii="Arial" w:hAnsi="Arial" w:cs="Arial"/>
          <w:sz w:val="24"/>
          <w:szCs w:val="24"/>
        </w:rPr>
        <w:t xml:space="preserve">Legend: </w:t>
      </w:r>
      <w:r w:rsidRPr="00AF2371">
        <w:rPr>
          <w:rFonts w:ascii="Arial" w:hAnsi="Arial" w:cs="Arial"/>
          <w:sz w:val="20"/>
          <w:szCs w:val="20"/>
        </w:rPr>
        <w:t>MMRM analyses, that included continuous fixed effects of baseline HbA1c at each visit and discrete fixed effects for treatment at each visit, region, baseline eGFR, baseline BMI, last projected visit and subgroup-by-treatment-by visit interaction.</w:t>
      </w:r>
    </w:p>
    <w:p w14:paraId="3F6296D5" w14:textId="77777777" w:rsidR="0031401A" w:rsidRPr="00AF2371" w:rsidRDefault="0031401A" w:rsidP="0031401A">
      <w:pPr>
        <w:spacing w:after="0" w:line="240" w:lineRule="auto"/>
        <w:ind w:right="-81"/>
        <w:jc w:val="both"/>
        <w:rPr>
          <w:rFonts w:ascii="Arial" w:hAnsi="Arial" w:cs="Arial"/>
          <w:sz w:val="20"/>
          <w:szCs w:val="20"/>
        </w:rPr>
      </w:pPr>
      <w:r w:rsidRPr="00AF2371">
        <w:rPr>
          <w:rFonts w:ascii="Arial" w:hAnsi="Arial" w:cs="Arial"/>
          <w:sz w:val="20"/>
          <w:szCs w:val="20"/>
        </w:rPr>
        <w:t>BMI=body-mass-index; eGFR=estimated glomerular filtration rate; HbA1c=glycated hemoglobin A1c; HR=hazard ratio; CI=confidence interval</w:t>
      </w:r>
      <w:r>
        <w:rPr>
          <w:rFonts w:ascii="Arial" w:hAnsi="Arial" w:cs="Arial"/>
          <w:sz w:val="20"/>
          <w:szCs w:val="20"/>
        </w:rPr>
        <w:t>.</w:t>
      </w:r>
    </w:p>
    <w:p w14:paraId="44414C82" w14:textId="77777777" w:rsidR="0031401A" w:rsidRDefault="0031401A" w:rsidP="0031401A">
      <w:pPr>
        <w:rPr>
          <w:rFonts w:ascii="Arial" w:hAnsi="Arial" w:cs="Arial"/>
          <w:sz w:val="24"/>
          <w:szCs w:val="24"/>
        </w:rPr>
      </w:pPr>
    </w:p>
    <w:p w14:paraId="1820FCFB" w14:textId="77777777" w:rsidR="0031401A" w:rsidRDefault="0031401A" w:rsidP="0031401A">
      <w:pPr>
        <w:rPr>
          <w:rFonts w:ascii="Arial" w:hAnsi="Arial" w:cs="Arial"/>
          <w:sz w:val="24"/>
          <w:szCs w:val="24"/>
        </w:rPr>
      </w:pPr>
    </w:p>
    <w:p w14:paraId="4495F649" w14:textId="2BFAF46C" w:rsidR="0031401A" w:rsidRDefault="000C4988" w:rsidP="000C4988">
      <w:pPr>
        <w:tabs>
          <w:tab w:val="left" w:pos="1740"/>
        </w:tabs>
        <w:rPr>
          <w:rFonts w:ascii="Arial" w:hAnsi="Arial" w:cs="Arial"/>
          <w:sz w:val="24"/>
          <w:szCs w:val="24"/>
        </w:rPr>
      </w:pPr>
      <w:r>
        <w:rPr>
          <w:rFonts w:ascii="Arial" w:hAnsi="Arial" w:cs="Arial"/>
          <w:sz w:val="24"/>
          <w:szCs w:val="24"/>
        </w:rPr>
        <w:tab/>
      </w:r>
    </w:p>
    <w:p w14:paraId="557F916D" w14:textId="77777777" w:rsidR="000C4988" w:rsidRDefault="000C4988" w:rsidP="000C4988">
      <w:pPr>
        <w:tabs>
          <w:tab w:val="left" w:pos="1740"/>
        </w:tabs>
        <w:rPr>
          <w:rFonts w:ascii="Arial" w:hAnsi="Arial" w:cs="Arial"/>
          <w:sz w:val="24"/>
          <w:szCs w:val="24"/>
        </w:rPr>
      </w:pPr>
    </w:p>
    <w:p w14:paraId="481624D6" w14:textId="13175BE0" w:rsidR="0031401A" w:rsidRDefault="0031401A" w:rsidP="0031401A">
      <w:pPr>
        <w:rPr>
          <w:rFonts w:ascii="Arial" w:hAnsi="Arial" w:cs="Arial"/>
          <w:b/>
          <w:sz w:val="20"/>
          <w:szCs w:val="20"/>
        </w:rPr>
      </w:pPr>
      <w:r w:rsidRPr="0007244A">
        <w:rPr>
          <w:rFonts w:ascii="Arial" w:hAnsi="Arial" w:cs="Arial"/>
          <w:b/>
          <w:sz w:val="20"/>
          <w:szCs w:val="20"/>
        </w:rPr>
        <w:t>Supplemental</w:t>
      </w:r>
      <w:r>
        <w:rPr>
          <w:rFonts w:ascii="Arial" w:hAnsi="Arial" w:cs="Arial"/>
          <w:b/>
          <w:sz w:val="20"/>
          <w:szCs w:val="20"/>
        </w:rPr>
        <w:t xml:space="preserve"> Figure 4. Proportion of patients with serum uric acid levels &lt;6.0 mg/dl </w:t>
      </w:r>
      <w:r w:rsidR="000C4988">
        <w:rPr>
          <w:rFonts w:ascii="Arial" w:hAnsi="Arial" w:cs="Arial"/>
          <w:b/>
          <w:sz w:val="20"/>
          <w:szCs w:val="20"/>
        </w:rPr>
        <w:t xml:space="preserve">(left panel) </w:t>
      </w:r>
      <w:r>
        <w:rPr>
          <w:rFonts w:ascii="Arial" w:hAnsi="Arial" w:cs="Arial"/>
          <w:b/>
          <w:sz w:val="20"/>
          <w:szCs w:val="20"/>
        </w:rPr>
        <w:t xml:space="preserve">and &lt;7.0 mg/dl </w:t>
      </w:r>
      <w:r w:rsidR="000C4988">
        <w:rPr>
          <w:rFonts w:ascii="Arial" w:hAnsi="Arial" w:cs="Arial"/>
          <w:b/>
          <w:sz w:val="20"/>
          <w:szCs w:val="20"/>
        </w:rPr>
        <w:t xml:space="preserve">(right panel) </w:t>
      </w:r>
      <w:r>
        <w:rPr>
          <w:rFonts w:ascii="Arial" w:hAnsi="Arial" w:cs="Arial"/>
          <w:b/>
          <w:sz w:val="20"/>
          <w:szCs w:val="20"/>
        </w:rPr>
        <w:t>during on treatment phase</w:t>
      </w:r>
    </w:p>
    <w:p w14:paraId="1490092D" w14:textId="77777777" w:rsidR="0031401A" w:rsidRPr="00B83DDF" w:rsidRDefault="0031401A" w:rsidP="0031401A">
      <w:pPr>
        <w:rPr>
          <w:rFonts w:ascii="Arial" w:hAnsi="Arial" w:cs="Arial"/>
          <w:b/>
          <w:sz w:val="20"/>
          <w:szCs w:val="20"/>
        </w:rPr>
        <w:sectPr w:rsidR="0031401A" w:rsidRPr="00B83DDF" w:rsidSect="00B83DDF">
          <w:pgSz w:w="16838" w:h="11906" w:orient="landscape"/>
          <w:pgMar w:top="1440" w:right="1440" w:bottom="424" w:left="1440" w:header="708" w:footer="708" w:gutter="0"/>
          <w:cols w:space="708"/>
          <w:docGrid w:linePitch="360"/>
        </w:sectPr>
      </w:pPr>
      <w:r>
        <w:rPr>
          <w:rFonts w:ascii="Arial" w:hAnsi="Arial" w:cs="Arial"/>
          <w:noProof/>
          <w:sz w:val="24"/>
          <w:szCs w:val="24"/>
          <w:lang w:val="fr-FR" w:eastAsia="fr-FR"/>
        </w:rPr>
        <w:drawing>
          <wp:inline distT="0" distB="0" distL="0" distR="0" wp14:anchorId="6CE690E1" wp14:editId="64510577">
            <wp:extent cx="8164618" cy="3009900"/>
            <wp:effectExtent l="0" t="0" r="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8166" cy="3011208"/>
                    </a:xfrm>
                    <a:prstGeom prst="rect">
                      <a:avLst/>
                    </a:prstGeom>
                  </pic:spPr>
                </pic:pic>
              </a:graphicData>
            </a:graphic>
          </wp:inline>
        </w:drawing>
      </w:r>
      <w:r>
        <w:rPr>
          <w:rFonts w:ascii="Arial" w:hAnsi="Arial" w:cs="Arial"/>
          <w:b/>
          <w:sz w:val="20"/>
          <w:szCs w:val="20"/>
        </w:rPr>
        <w:br/>
      </w:r>
      <w:r w:rsidRPr="00AF2371">
        <w:rPr>
          <w:rFonts w:ascii="Arial" w:hAnsi="Arial" w:cs="Arial"/>
          <w:bCs/>
          <w:sz w:val="20"/>
          <w:szCs w:val="20"/>
        </w:rPr>
        <w:t>Legend: Data are presented up to week 94 visit, which could be reached by all patients. Patients with missing serum UA are considered not meeting the criterion. UA=uric acid</w:t>
      </w:r>
      <w:r>
        <w:rPr>
          <w:rFonts w:ascii="Arial" w:hAnsi="Arial" w:cs="Arial"/>
          <w:bCs/>
          <w:sz w:val="20"/>
          <w:szCs w:val="20"/>
        </w:rPr>
        <w:t>.</w:t>
      </w:r>
    </w:p>
    <w:p w14:paraId="74BCB83F" w14:textId="77777777" w:rsidR="0031401A" w:rsidRDefault="0031401A" w:rsidP="0031401A">
      <w:pPr>
        <w:spacing w:after="0" w:line="240" w:lineRule="auto"/>
        <w:ind w:right="-81"/>
        <w:jc w:val="both"/>
        <w:rPr>
          <w:noProof/>
          <w:lang w:val="en-US"/>
        </w:rPr>
      </w:pPr>
    </w:p>
    <w:p w14:paraId="06F52BDF" w14:textId="77777777" w:rsidR="0031401A" w:rsidRDefault="0031401A" w:rsidP="0031401A">
      <w:pPr>
        <w:spacing w:after="0" w:line="240" w:lineRule="auto"/>
        <w:ind w:right="-81"/>
        <w:jc w:val="both"/>
        <w:rPr>
          <w:rFonts w:ascii="Arial" w:hAnsi="Arial" w:cs="Arial"/>
          <w:b/>
          <w:bCs/>
          <w:sz w:val="20"/>
          <w:szCs w:val="20"/>
        </w:rPr>
      </w:pPr>
    </w:p>
    <w:p w14:paraId="06A0BB8B" w14:textId="0CEBFDB6" w:rsidR="0031401A" w:rsidRDefault="0031401A" w:rsidP="0031401A">
      <w:pPr>
        <w:spacing w:after="0" w:line="240" w:lineRule="auto"/>
        <w:ind w:right="-81"/>
        <w:jc w:val="both"/>
        <w:rPr>
          <w:rFonts w:ascii="Arial" w:hAnsi="Arial" w:cs="Arial"/>
          <w:b/>
          <w:bCs/>
          <w:sz w:val="20"/>
          <w:szCs w:val="20"/>
        </w:rPr>
      </w:pPr>
      <w:r>
        <w:rPr>
          <w:rFonts w:ascii="Arial" w:hAnsi="Arial" w:cs="Arial"/>
          <w:b/>
          <w:bCs/>
          <w:sz w:val="20"/>
          <w:szCs w:val="20"/>
        </w:rPr>
        <w:t xml:space="preserve">Supplemental </w:t>
      </w:r>
      <w:r w:rsidRPr="008559A9">
        <w:rPr>
          <w:rFonts w:ascii="Arial" w:hAnsi="Arial" w:cs="Arial"/>
          <w:b/>
          <w:bCs/>
          <w:sz w:val="20"/>
          <w:szCs w:val="20"/>
        </w:rPr>
        <w:t xml:space="preserve">Figure </w:t>
      </w:r>
      <w:r>
        <w:rPr>
          <w:rFonts w:ascii="Arial" w:hAnsi="Arial" w:cs="Arial"/>
          <w:b/>
          <w:bCs/>
          <w:sz w:val="20"/>
          <w:szCs w:val="20"/>
        </w:rPr>
        <w:t>5</w:t>
      </w:r>
      <w:r w:rsidRPr="008559A9">
        <w:rPr>
          <w:rFonts w:ascii="Arial" w:hAnsi="Arial" w:cs="Arial"/>
          <w:b/>
          <w:bCs/>
          <w:sz w:val="20"/>
          <w:szCs w:val="20"/>
        </w:rPr>
        <w:t>.</w:t>
      </w:r>
      <w:r>
        <w:rPr>
          <w:rFonts w:ascii="Arial" w:hAnsi="Arial" w:cs="Arial"/>
          <w:b/>
          <w:bCs/>
          <w:sz w:val="20"/>
          <w:szCs w:val="20"/>
        </w:rPr>
        <w:t xml:space="preserve"> </w:t>
      </w:r>
      <w:r w:rsidRPr="002B01C0">
        <w:rPr>
          <w:rFonts w:ascii="Arial" w:hAnsi="Arial" w:cs="Arial"/>
          <w:b/>
          <w:bCs/>
          <w:sz w:val="20"/>
          <w:szCs w:val="20"/>
        </w:rPr>
        <w:t>Time to new onset of gout or anti-gout medication during on-treatment phase (for patients not on anti-gout medication at baseline</w:t>
      </w:r>
      <w:r>
        <w:rPr>
          <w:rFonts w:ascii="Arial" w:hAnsi="Arial" w:cs="Arial"/>
          <w:b/>
          <w:bCs/>
          <w:sz w:val="20"/>
          <w:szCs w:val="20"/>
        </w:rPr>
        <w:t>)</w:t>
      </w:r>
      <w:r w:rsidR="00367BC8">
        <w:rPr>
          <w:rFonts w:ascii="Arial" w:hAnsi="Arial" w:cs="Arial"/>
          <w:b/>
          <w:bCs/>
          <w:sz w:val="20"/>
          <w:szCs w:val="20"/>
        </w:rPr>
        <w:t xml:space="preserve"> </w:t>
      </w:r>
      <w:r w:rsidR="00367BC8" w:rsidRPr="00367BC8">
        <w:rPr>
          <w:rFonts w:ascii="Arial" w:hAnsi="Arial" w:cs="Arial"/>
          <w:b/>
          <w:bCs/>
          <w:sz w:val="20"/>
          <w:szCs w:val="20"/>
        </w:rPr>
        <w:t>in patients with UA levels &lt; vs.  ≥6.0 mg/dL at baseline</w:t>
      </w:r>
    </w:p>
    <w:p w14:paraId="5F477971" w14:textId="77777777" w:rsidR="0031401A" w:rsidRDefault="0031401A" w:rsidP="0031401A">
      <w:pPr>
        <w:spacing w:after="0" w:line="240" w:lineRule="auto"/>
        <w:ind w:right="-81"/>
        <w:jc w:val="both"/>
        <w:rPr>
          <w:rFonts w:ascii="Arial" w:hAnsi="Arial" w:cs="Arial"/>
          <w:b/>
          <w:bCs/>
          <w:sz w:val="20"/>
          <w:szCs w:val="20"/>
        </w:rPr>
      </w:pPr>
      <w:r>
        <w:rPr>
          <w:noProof/>
          <w:lang w:val="fr-FR" w:eastAsia="fr-FR"/>
        </w:rPr>
        <w:drawing>
          <wp:inline distT="0" distB="0" distL="0" distR="0" wp14:anchorId="134B9EA5" wp14:editId="5711CF72">
            <wp:extent cx="8229600" cy="4043045"/>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4043045"/>
                    </a:xfrm>
                    <a:prstGeom prst="rect">
                      <a:avLst/>
                    </a:prstGeom>
                  </pic:spPr>
                </pic:pic>
              </a:graphicData>
            </a:graphic>
          </wp:inline>
        </w:drawing>
      </w:r>
    </w:p>
    <w:p w14:paraId="540ADBDC" w14:textId="77777777" w:rsidR="0031401A" w:rsidRPr="00AF2371" w:rsidRDefault="0031401A" w:rsidP="0031401A">
      <w:pPr>
        <w:spacing w:after="0" w:line="240" w:lineRule="auto"/>
        <w:ind w:right="-81"/>
        <w:jc w:val="both"/>
      </w:pPr>
      <w:r w:rsidRPr="00AF2371">
        <w:rPr>
          <w:rFonts w:ascii="Arial" w:hAnsi="Arial" w:cs="Arial"/>
          <w:sz w:val="20"/>
          <w:szCs w:val="20"/>
        </w:rPr>
        <w:t>Legend: Cox proportional hazards models with terms for age, sex, geographic region, baseline HbA1c, baseline eGFR, baseline BMI, treatment, subgroups of participants based on baseline UA level &lt; vs. ≥6 mg/dL and subgroup-by-treatment interaction (p=0.5282).</w:t>
      </w:r>
    </w:p>
    <w:p w14:paraId="3FA171C5" w14:textId="77777777" w:rsidR="0031401A" w:rsidRPr="00AF2371" w:rsidRDefault="0031401A" w:rsidP="0031401A">
      <w:pPr>
        <w:spacing w:after="0" w:line="240" w:lineRule="auto"/>
        <w:ind w:right="344"/>
        <w:jc w:val="both"/>
        <w:rPr>
          <w:rFonts w:ascii="Arial" w:hAnsi="Arial" w:cs="Arial"/>
          <w:sz w:val="20"/>
          <w:szCs w:val="20"/>
        </w:rPr>
      </w:pPr>
      <w:r w:rsidRPr="00AF2371">
        <w:rPr>
          <w:rFonts w:ascii="Arial" w:hAnsi="Arial" w:cs="Arial"/>
          <w:sz w:val="20"/>
          <w:szCs w:val="20"/>
        </w:rPr>
        <w:t>BMI=body-mass-index; eGFR=estimated glomerular filtration rate; HbA1c=glycated hemoglobin A1c, HR=hazard ratio, CI=confidence interval</w:t>
      </w:r>
      <w:r>
        <w:rPr>
          <w:rFonts w:ascii="Arial" w:hAnsi="Arial" w:cs="Arial"/>
          <w:sz w:val="20"/>
          <w:szCs w:val="20"/>
        </w:rPr>
        <w:t>.</w:t>
      </w:r>
    </w:p>
    <w:p w14:paraId="2F966D28" w14:textId="77777777" w:rsidR="0031401A" w:rsidRDefault="0031401A" w:rsidP="0031401A">
      <w:pPr>
        <w:spacing w:after="0" w:line="240" w:lineRule="auto"/>
        <w:ind w:right="-81"/>
        <w:jc w:val="both"/>
        <w:sectPr w:rsidR="0031401A" w:rsidSect="007D57EA">
          <w:pgSz w:w="15840" w:h="12240" w:orient="landscape"/>
          <w:pgMar w:top="1440" w:right="1440" w:bottom="1440" w:left="1440" w:header="708" w:footer="708" w:gutter="0"/>
          <w:cols w:space="708"/>
          <w:docGrid w:linePitch="360"/>
        </w:sectPr>
      </w:pPr>
    </w:p>
    <w:p w14:paraId="38E66229" w14:textId="77777777" w:rsidR="0031401A" w:rsidRDefault="0031401A" w:rsidP="0031401A">
      <w:pPr>
        <w:spacing w:after="0" w:line="240" w:lineRule="auto"/>
        <w:ind w:right="344"/>
        <w:jc w:val="both"/>
        <w:rPr>
          <w:rFonts w:ascii="Arial" w:hAnsi="Arial" w:cs="Arial"/>
          <w:b/>
          <w:bCs/>
          <w:sz w:val="20"/>
          <w:szCs w:val="20"/>
        </w:rPr>
      </w:pPr>
      <w:r w:rsidRPr="009D0AD3">
        <w:rPr>
          <w:rFonts w:ascii="Arial" w:hAnsi="Arial" w:cs="Arial"/>
          <w:b/>
          <w:bCs/>
          <w:sz w:val="20"/>
          <w:szCs w:val="20"/>
        </w:rPr>
        <w:t xml:space="preserve"> </w:t>
      </w:r>
    </w:p>
    <w:p w14:paraId="7950956F" w14:textId="77777777" w:rsidR="0031401A" w:rsidRDefault="0031401A" w:rsidP="0031401A">
      <w:pPr>
        <w:spacing w:after="0" w:line="240" w:lineRule="auto"/>
        <w:ind w:right="344"/>
        <w:jc w:val="both"/>
        <w:rPr>
          <w:rFonts w:ascii="Arial" w:hAnsi="Arial" w:cs="Arial"/>
          <w:b/>
          <w:bCs/>
          <w:sz w:val="20"/>
          <w:szCs w:val="20"/>
        </w:rPr>
      </w:pPr>
    </w:p>
    <w:p w14:paraId="2381BBA9" w14:textId="5470D568" w:rsidR="0031401A" w:rsidRDefault="0031401A" w:rsidP="0031401A">
      <w:pPr>
        <w:spacing w:after="0" w:line="240" w:lineRule="auto"/>
        <w:ind w:right="344"/>
        <w:jc w:val="both"/>
        <w:rPr>
          <w:rFonts w:ascii="Arial" w:hAnsi="Arial" w:cs="Arial"/>
          <w:b/>
          <w:bCs/>
          <w:sz w:val="20"/>
          <w:szCs w:val="20"/>
        </w:rPr>
      </w:pPr>
      <w:r>
        <w:rPr>
          <w:rFonts w:ascii="Arial" w:hAnsi="Arial" w:cs="Arial"/>
          <w:b/>
          <w:bCs/>
          <w:sz w:val="20"/>
          <w:szCs w:val="20"/>
        </w:rPr>
        <w:t xml:space="preserve">Supplemental </w:t>
      </w:r>
      <w:r w:rsidRPr="008559A9">
        <w:rPr>
          <w:rFonts w:ascii="Arial" w:hAnsi="Arial" w:cs="Arial"/>
          <w:b/>
          <w:bCs/>
          <w:sz w:val="20"/>
          <w:szCs w:val="20"/>
        </w:rPr>
        <w:t xml:space="preserve">Figure </w:t>
      </w:r>
      <w:r>
        <w:rPr>
          <w:rFonts w:ascii="Arial" w:hAnsi="Arial" w:cs="Arial"/>
          <w:b/>
          <w:bCs/>
          <w:sz w:val="20"/>
          <w:szCs w:val="20"/>
        </w:rPr>
        <w:t>6</w:t>
      </w:r>
      <w:r w:rsidRPr="008559A9">
        <w:rPr>
          <w:rFonts w:ascii="Arial" w:hAnsi="Arial" w:cs="Arial"/>
          <w:b/>
          <w:bCs/>
          <w:sz w:val="20"/>
          <w:szCs w:val="20"/>
        </w:rPr>
        <w:t>.</w:t>
      </w:r>
      <w:r>
        <w:rPr>
          <w:rFonts w:ascii="Arial" w:hAnsi="Arial" w:cs="Arial"/>
          <w:b/>
          <w:bCs/>
          <w:sz w:val="20"/>
          <w:szCs w:val="20"/>
        </w:rPr>
        <w:t xml:space="preserve"> </w:t>
      </w:r>
      <w:r w:rsidRPr="002B01C0">
        <w:rPr>
          <w:rFonts w:ascii="Arial" w:hAnsi="Arial" w:cs="Arial"/>
          <w:b/>
          <w:bCs/>
          <w:sz w:val="20"/>
          <w:szCs w:val="20"/>
        </w:rPr>
        <w:t>Time to new onset of gout or anti-gout medication during on-treatment phase (for patients not on anti-gout medication at baseline</w:t>
      </w:r>
      <w:r>
        <w:rPr>
          <w:rFonts w:ascii="Arial" w:hAnsi="Arial" w:cs="Arial"/>
          <w:b/>
          <w:bCs/>
          <w:sz w:val="20"/>
          <w:szCs w:val="20"/>
        </w:rPr>
        <w:t>)</w:t>
      </w:r>
      <w:r w:rsidR="00367BC8">
        <w:rPr>
          <w:rFonts w:ascii="Arial" w:hAnsi="Arial" w:cs="Arial"/>
          <w:b/>
          <w:bCs/>
          <w:sz w:val="20"/>
          <w:szCs w:val="20"/>
        </w:rPr>
        <w:t xml:space="preserve"> </w:t>
      </w:r>
      <w:r w:rsidR="00367BC8" w:rsidRPr="00367BC8">
        <w:rPr>
          <w:rFonts w:ascii="Arial" w:hAnsi="Arial" w:cs="Arial"/>
          <w:b/>
          <w:bCs/>
          <w:sz w:val="20"/>
          <w:szCs w:val="20"/>
        </w:rPr>
        <w:t>in patients with UA levels &lt; vs. ≥7.0 mg/dL at baseline</w:t>
      </w:r>
    </w:p>
    <w:p w14:paraId="43091172" w14:textId="77777777" w:rsidR="0031401A" w:rsidRDefault="0031401A" w:rsidP="0031401A">
      <w:pPr>
        <w:spacing w:after="0" w:line="240" w:lineRule="auto"/>
        <w:ind w:right="344"/>
        <w:jc w:val="both"/>
        <w:rPr>
          <w:rFonts w:ascii="Arial" w:hAnsi="Arial" w:cs="Arial"/>
          <w:b/>
          <w:bCs/>
          <w:sz w:val="20"/>
          <w:szCs w:val="20"/>
        </w:rPr>
      </w:pPr>
      <w:r>
        <w:rPr>
          <w:rFonts w:ascii="Arial" w:hAnsi="Arial" w:cs="Arial"/>
          <w:b/>
          <w:bCs/>
          <w:noProof/>
          <w:sz w:val="20"/>
          <w:szCs w:val="20"/>
          <w:lang w:val="fr-FR" w:eastAsia="fr-FR"/>
        </w:rPr>
        <w:drawing>
          <wp:inline distT="0" distB="0" distL="0" distR="0" wp14:anchorId="61502865" wp14:editId="5B2A9EAE">
            <wp:extent cx="8863330" cy="4354195"/>
            <wp:effectExtent l="0" t="0" r="0" b="825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3330" cy="4354195"/>
                    </a:xfrm>
                    <a:prstGeom prst="rect">
                      <a:avLst/>
                    </a:prstGeom>
                  </pic:spPr>
                </pic:pic>
              </a:graphicData>
            </a:graphic>
          </wp:inline>
        </w:drawing>
      </w:r>
    </w:p>
    <w:p w14:paraId="4DEF0E17" w14:textId="77777777" w:rsidR="0031401A" w:rsidRPr="00AF2371" w:rsidRDefault="0031401A" w:rsidP="0031401A">
      <w:pPr>
        <w:spacing w:after="0" w:line="240" w:lineRule="auto"/>
        <w:ind w:right="344"/>
        <w:jc w:val="both"/>
        <w:rPr>
          <w:rFonts w:ascii="Arial" w:hAnsi="Arial" w:cs="Arial"/>
          <w:sz w:val="20"/>
          <w:szCs w:val="20"/>
        </w:rPr>
      </w:pPr>
      <w:r w:rsidRPr="00AF2371">
        <w:rPr>
          <w:rFonts w:ascii="Arial" w:hAnsi="Arial" w:cs="Arial"/>
          <w:sz w:val="20"/>
          <w:szCs w:val="20"/>
        </w:rPr>
        <w:t>Legend: Cox proportional hazards models with terms for age, sex, geographic region, baseline HbA1c, baseline eGFR, baseline BMI, treatment, subgroups of participants based on baseline UA level &lt; vs. ≥7 mg/dL and subgroup-by-treatment interaction (p=0.9377).</w:t>
      </w:r>
    </w:p>
    <w:p w14:paraId="66FC73BA" w14:textId="77777777" w:rsidR="0031401A" w:rsidRPr="00BE5F0E" w:rsidRDefault="0031401A" w:rsidP="0031401A">
      <w:pPr>
        <w:spacing w:after="0" w:line="240" w:lineRule="auto"/>
        <w:ind w:right="344"/>
        <w:jc w:val="both"/>
        <w:rPr>
          <w:rFonts w:ascii="Arial" w:hAnsi="Arial" w:cs="Arial"/>
          <w:sz w:val="24"/>
          <w:szCs w:val="24"/>
        </w:rPr>
      </w:pPr>
      <w:r w:rsidRPr="00AF2371">
        <w:rPr>
          <w:rFonts w:ascii="Arial" w:hAnsi="Arial" w:cs="Arial"/>
          <w:sz w:val="20"/>
          <w:szCs w:val="20"/>
        </w:rPr>
        <w:t>BMI=body-mass-index; eGFR=estimated glomerular filtration rate; HbA1c=glycated hemoglobin A1c; HR=Hazard Ratio, CI=Confidence Interval</w:t>
      </w:r>
      <w:r>
        <w:rPr>
          <w:rFonts w:ascii="Arial" w:hAnsi="Arial" w:cs="Arial"/>
          <w:sz w:val="20"/>
          <w:szCs w:val="20"/>
        </w:rPr>
        <w:t>.</w:t>
      </w:r>
    </w:p>
    <w:p w14:paraId="74B6A9B2" w14:textId="77777777" w:rsidR="00102844" w:rsidRDefault="00102844"/>
    <w:sectPr w:rsidR="00102844" w:rsidSect="00221538">
      <w:pgSz w:w="16838" w:h="11906" w:orient="landscape"/>
      <w:pgMar w:top="1440" w:right="1440" w:bottom="4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A"/>
    <w:rsid w:val="000C4988"/>
    <w:rsid w:val="00102844"/>
    <w:rsid w:val="00112872"/>
    <w:rsid w:val="00245110"/>
    <w:rsid w:val="0031401A"/>
    <w:rsid w:val="00367BC8"/>
    <w:rsid w:val="005B36E7"/>
    <w:rsid w:val="006D091B"/>
    <w:rsid w:val="00882C4B"/>
    <w:rsid w:val="00D70401"/>
    <w:rsid w:val="00F2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0327"/>
  <w15:chartTrackingRefBased/>
  <w15:docId w15:val="{397A718F-0DE5-4454-80FE-F86BF61E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401A"/>
    <w:rPr>
      <w:sz w:val="16"/>
      <w:szCs w:val="16"/>
    </w:rPr>
  </w:style>
  <w:style w:type="table" w:styleId="Grilledutableau">
    <w:name w:val="Table Grid"/>
    <w:basedOn w:val="TableauNormal"/>
    <w:uiPriority w:val="59"/>
    <w:rsid w:val="0031401A"/>
    <w:pPr>
      <w:spacing w:after="0" w:line="240" w:lineRule="auto"/>
    </w:pPr>
    <w:rPr>
      <w:rFonts w:eastAsiaTheme="minorEastAsia"/>
      <w:szCs w:val="28"/>
      <w:lang w:val="en-US"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112872"/>
    <w:pPr>
      <w:spacing w:line="240" w:lineRule="auto"/>
    </w:pPr>
    <w:rPr>
      <w:sz w:val="20"/>
      <w:szCs w:val="20"/>
    </w:rPr>
  </w:style>
  <w:style w:type="character" w:customStyle="1" w:styleId="CommentaireCar">
    <w:name w:val="Commentaire Car"/>
    <w:basedOn w:val="Policepardfaut"/>
    <w:link w:val="Commentaire"/>
    <w:uiPriority w:val="99"/>
    <w:semiHidden/>
    <w:rsid w:val="00112872"/>
    <w:rPr>
      <w:sz w:val="20"/>
      <w:szCs w:val="20"/>
    </w:rPr>
  </w:style>
  <w:style w:type="paragraph" w:styleId="Objetducommentaire">
    <w:name w:val="annotation subject"/>
    <w:basedOn w:val="Commentaire"/>
    <w:next w:val="Commentaire"/>
    <w:link w:val="ObjetducommentaireCar"/>
    <w:uiPriority w:val="99"/>
    <w:semiHidden/>
    <w:unhideWhenUsed/>
    <w:rsid w:val="00112872"/>
    <w:rPr>
      <w:b/>
      <w:bCs/>
    </w:rPr>
  </w:style>
  <w:style w:type="character" w:customStyle="1" w:styleId="ObjetducommentaireCar">
    <w:name w:val="Objet du commentaire Car"/>
    <w:basedOn w:val="CommentaireCar"/>
    <w:link w:val="Objetducommentaire"/>
    <w:uiPriority w:val="99"/>
    <w:semiHidden/>
    <w:rsid w:val="00112872"/>
    <w:rPr>
      <w:b/>
      <w:bCs/>
      <w:sz w:val="20"/>
      <w:szCs w:val="20"/>
    </w:rPr>
  </w:style>
  <w:style w:type="paragraph" w:styleId="Textedebulles">
    <w:name w:val="Balloon Text"/>
    <w:basedOn w:val="Normal"/>
    <w:link w:val="TextedebullesCar"/>
    <w:uiPriority w:val="99"/>
    <w:semiHidden/>
    <w:unhideWhenUsed/>
    <w:rsid w:val="001128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2309</Words>
  <Characters>12703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Jonathon</dc:creator>
  <cp:keywords/>
  <dc:description/>
  <cp:lastModifiedBy>BOZEC Erwan</cp:lastModifiedBy>
  <cp:revision>2</cp:revision>
  <dcterms:created xsi:type="dcterms:W3CDTF">2022-01-11T16:02:00Z</dcterms:created>
  <dcterms:modified xsi:type="dcterms:W3CDTF">2022-01-11T16:02:00Z</dcterms:modified>
</cp:coreProperties>
</file>