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8BF6" w14:textId="77777777" w:rsidR="00B31A2E" w:rsidRPr="00C47BE6" w:rsidRDefault="00B31A2E" w:rsidP="00B31A2E">
      <w:pPr>
        <w:spacing w:line="480" w:lineRule="auto"/>
        <w:rPr>
          <w:rFonts w:ascii="Times New Roman" w:hAnsi="Times New Roman" w:cs="Times New Roman"/>
          <w:b/>
          <w:bCs/>
          <w:sz w:val="24"/>
          <w:szCs w:val="24"/>
        </w:rPr>
      </w:pPr>
      <w:bookmarkStart w:id="0" w:name="_GoBack"/>
      <w:bookmarkEnd w:id="0"/>
      <w:r w:rsidRPr="00C47BE6">
        <w:rPr>
          <w:rFonts w:ascii="Times New Roman" w:hAnsi="Times New Roman" w:cs="Times New Roman"/>
          <w:b/>
          <w:bCs/>
          <w:sz w:val="24"/>
          <w:szCs w:val="24"/>
        </w:rPr>
        <w:t xml:space="preserve">Supplemental Material </w:t>
      </w:r>
    </w:p>
    <w:p w14:paraId="6E40270F" w14:textId="77777777" w:rsidR="00B31A2E" w:rsidRPr="00C47BE6" w:rsidRDefault="00B31A2E" w:rsidP="00B31A2E">
      <w:pPr>
        <w:rPr>
          <w:rFonts w:ascii="Times New Roman" w:hAnsi="Times New Roman" w:cs="Times New Roman"/>
          <w:sz w:val="24"/>
          <w:szCs w:val="24"/>
        </w:rPr>
      </w:pPr>
      <w:r w:rsidRPr="00C47BE6">
        <w:rPr>
          <w:rFonts w:ascii="Times New Roman" w:hAnsi="Times New Roman" w:cs="Times New Roman"/>
          <w:sz w:val="24"/>
          <w:szCs w:val="24"/>
        </w:rPr>
        <w:br w:type="page"/>
      </w:r>
    </w:p>
    <w:p w14:paraId="2E275F14" w14:textId="77777777" w:rsidR="00B31A2E" w:rsidRPr="00C47BE6" w:rsidRDefault="00B31A2E" w:rsidP="00B31A2E">
      <w:pPr>
        <w:rPr>
          <w:rFonts w:ascii="Times New Roman" w:hAnsi="Times New Roman" w:cs="Times New Roman"/>
          <w:sz w:val="24"/>
          <w:szCs w:val="24"/>
        </w:rPr>
      </w:pPr>
    </w:p>
    <w:p w14:paraId="37773E6F" w14:textId="77777777" w:rsidR="00B31A2E" w:rsidRPr="00C47BE6" w:rsidRDefault="00B31A2E" w:rsidP="00B31A2E">
      <w:pPr>
        <w:ind w:left="-851" w:right="491"/>
        <w:rPr>
          <w:rFonts w:ascii="Times New Roman" w:hAnsi="Times New Roman" w:cs="Times New Roman"/>
          <w:sz w:val="24"/>
          <w:szCs w:val="24"/>
        </w:rPr>
      </w:pPr>
      <w:r w:rsidRPr="00C47BE6">
        <w:rPr>
          <w:rFonts w:ascii="Times New Roman" w:hAnsi="Times New Roman" w:cs="Times New Roman"/>
          <w:sz w:val="24"/>
          <w:szCs w:val="24"/>
        </w:rPr>
        <w:t>Supplemental Table 1. Effect of empagliflozin on pre-specified measures of efficacy, by MRA use at baseline within subgroups of LVEF</w:t>
      </w:r>
    </w:p>
    <w:tbl>
      <w:tblPr>
        <w:tblStyle w:val="Grilledutableau"/>
        <w:tblW w:w="0" w:type="auto"/>
        <w:tblInd w:w="-856" w:type="dxa"/>
        <w:tblLayout w:type="fixed"/>
        <w:tblLook w:val="04A0" w:firstRow="1" w:lastRow="0" w:firstColumn="1" w:lastColumn="0" w:noHBand="0" w:noVBand="1"/>
      </w:tblPr>
      <w:tblGrid>
        <w:gridCol w:w="2269"/>
        <w:gridCol w:w="1724"/>
        <w:gridCol w:w="1725"/>
        <w:gridCol w:w="1725"/>
        <w:gridCol w:w="1724"/>
        <w:gridCol w:w="1725"/>
        <w:gridCol w:w="1725"/>
        <w:gridCol w:w="1559"/>
      </w:tblGrid>
      <w:tr w:rsidR="00B31A2E" w:rsidRPr="00C47BE6" w14:paraId="43F0F8F1" w14:textId="77777777" w:rsidTr="009D7A7D">
        <w:tc>
          <w:tcPr>
            <w:tcW w:w="2269" w:type="dxa"/>
          </w:tcPr>
          <w:p w14:paraId="74A2FCB1"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Outcome events, n (%)</w:t>
            </w:r>
          </w:p>
        </w:tc>
        <w:tc>
          <w:tcPr>
            <w:tcW w:w="5174" w:type="dxa"/>
            <w:gridSpan w:val="3"/>
          </w:tcPr>
          <w:p w14:paraId="2BC5005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No MRA</w:t>
            </w:r>
          </w:p>
        </w:tc>
        <w:tc>
          <w:tcPr>
            <w:tcW w:w="5174" w:type="dxa"/>
            <w:gridSpan w:val="3"/>
          </w:tcPr>
          <w:p w14:paraId="3FAC0FE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MRA</w:t>
            </w:r>
          </w:p>
        </w:tc>
        <w:tc>
          <w:tcPr>
            <w:tcW w:w="1559" w:type="dxa"/>
          </w:tcPr>
          <w:p w14:paraId="46EB177D" w14:textId="77777777" w:rsidR="00B31A2E" w:rsidRPr="00C47BE6" w:rsidRDefault="00B31A2E" w:rsidP="009D7A7D">
            <w:pPr>
              <w:spacing w:line="480" w:lineRule="auto"/>
              <w:rPr>
                <w:rFonts w:ascii="Times New Roman" w:hAnsi="Times New Roman" w:cs="Times New Roman"/>
                <w:sz w:val="24"/>
                <w:szCs w:val="24"/>
              </w:rPr>
            </w:pPr>
          </w:p>
        </w:tc>
      </w:tr>
      <w:tr w:rsidR="00B31A2E" w:rsidRPr="00C47BE6" w14:paraId="07086A72" w14:textId="77777777" w:rsidTr="009D7A7D">
        <w:tc>
          <w:tcPr>
            <w:tcW w:w="14176" w:type="dxa"/>
            <w:gridSpan w:val="8"/>
          </w:tcPr>
          <w:p w14:paraId="0E8B09EC"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LVEF 41-49%</w:t>
            </w:r>
          </w:p>
        </w:tc>
      </w:tr>
      <w:tr w:rsidR="00B31A2E" w:rsidRPr="00C47BE6" w14:paraId="137E6D58" w14:textId="77777777" w:rsidTr="009D7A7D">
        <w:tc>
          <w:tcPr>
            <w:tcW w:w="2269" w:type="dxa"/>
          </w:tcPr>
          <w:p w14:paraId="68E8445E" w14:textId="77777777" w:rsidR="00B31A2E" w:rsidRPr="00C47BE6" w:rsidRDefault="00B31A2E" w:rsidP="009D7A7D">
            <w:pPr>
              <w:spacing w:line="480" w:lineRule="auto"/>
              <w:rPr>
                <w:rFonts w:ascii="Times New Roman" w:hAnsi="Times New Roman" w:cs="Times New Roman"/>
                <w:sz w:val="24"/>
                <w:szCs w:val="24"/>
              </w:rPr>
            </w:pPr>
          </w:p>
        </w:tc>
        <w:tc>
          <w:tcPr>
            <w:tcW w:w="1724" w:type="dxa"/>
          </w:tcPr>
          <w:p w14:paraId="3193C9C1"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p w14:paraId="0DAFB16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=520</w:t>
            </w:r>
          </w:p>
        </w:tc>
        <w:tc>
          <w:tcPr>
            <w:tcW w:w="1725" w:type="dxa"/>
          </w:tcPr>
          <w:p w14:paraId="2835906A"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p w14:paraId="29F1FDB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=539</w:t>
            </w:r>
          </w:p>
        </w:tc>
        <w:tc>
          <w:tcPr>
            <w:tcW w:w="1725" w:type="dxa"/>
          </w:tcPr>
          <w:p w14:paraId="439FFD3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Treatment effect</w:t>
            </w:r>
          </w:p>
        </w:tc>
        <w:tc>
          <w:tcPr>
            <w:tcW w:w="1724" w:type="dxa"/>
          </w:tcPr>
          <w:p w14:paraId="6BC24B1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p w14:paraId="17C6E9C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=468</w:t>
            </w:r>
          </w:p>
        </w:tc>
        <w:tc>
          <w:tcPr>
            <w:tcW w:w="1725" w:type="dxa"/>
          </w:tcPr>
          <w:p w14:paraId="4504257B"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p w14:paraId="4B1EA88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=456</w:t>
            </w:r>
          </w:p>
        </w:tc>
        <w:tc>
          <w:tcPr>
            <w:tcW w:w="1725" w:type="dxa"/>
          </w:tcPr>
          <w:p w14:paraId="723398B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Treatment effect</w:t>
            </w:r>
          </w:p>
        </w:tc>
        <w:tc>
          <w:tcPr>
            <w:tcW w:w="1559" w:type="dxa"/>
          </w:tcPr>
          <w:p w14:paraId="40763FE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Interaction P-value</w:t>
            </w:r>
          </w:p>
        </w:tc>
      </w:tr>
      <w:tr w:rsidR="00B31A2E" w:rsidRPr="00C47BE6" w14:paraId="197B5C4B" w14:textId="77777777" w:rsidTr="009D7A7D">
        <w:tc>
          <w:tcPr>
            <w:tcW w:w="2269" w:type="dxa"/>
          </w:tcPr>
          <w:p w14:paraId="74357613"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CV death or HF hosp.</w:t>
            </w:r>
          </w:p>
        </w:tc>
        <w:tc>
          <w:tcPr>
            <w:tcW w:w="1724" w:type="dxa"/>
          </w:tcPr>
          <w:p w14:paraId="41FF9E1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92 (17.7)</w:t>
            </w:r>
          </w:p>
          <w:p w14:paraId="066043C1"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=8.9</w:t>
            </w:r>
          </w:p>
        </w:tc>
        <w:tc>
          <w:tcPr>
            <w:tcW w:w="1725" w:type="dxa"/>
          </w:tcPr>
          <w:p w14:paraId="3613F87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68 (12.6)</w:t>
            </w:r>
          </w:p>
          <w:p w14:paraId="372FAD4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=6.1</w:t>
            </w:r>
          </w:p>
        </w:tc>
        <w:tc>
          <w:tcPr>
            <w:tcW w:w="1725" w:type="dxa"/>
          </w:tcPr>
          <w:p w14:paraId="3B17FBB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0.69 (0.50, 0.94)</w:t>
            </w:r>
          </w:p>
        </w:tc>
        <w:tc>
          <w:tcPr>
            <w:tcW w:w="1724" w:type="dxa"/>
          </w:tcPr>
          <w:p w14:paraId="221FD99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101 (21.6)</w:t>
            </w:r>
          </w:p>
          <w:p w14:paraId="3AEC693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=11.3</w:t>
            </w:r>
          </w:p>
        </w:tc>
        <w:tc>
          <w:tcPr>
            <w:tcW w:w="1725" w:type="dxa"/>
          </w:tcPr>
          <w:p w14:paraId="1A8CAB7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77 (16.9)</w:t>
            </w:r>
          </w:p>
          <w:p w14:paraId="219A90D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=8.6</w:t>
            </w:r>
          </w:p>
        </w:tc>
        <w:tc>
          <w:tcPr>
            <w:tcW w:w="1725" w:type="dxa"/>
          </w:tcPr>
          <w:p w14:paraId="41B3E3D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0.74 (0.55, 1.00)</w:t>
            </w:r>
          </w:p>
        </w:tc>
        <w:tc>
          <w:tcPr>
            <w:tcW w:w="1559" w:type="dxa"/>
          </w:tcPr>
          <w:p w14:paraId="2D39B25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0.73</w:t>
            </w:r>
          </w:p>
        </w:tc>
      </w:tr>
      <w:tr w:rsidR="00B31A2E" w:rsidRPr="00C47BE6" w14:paraId="23981D79" w14:textId="77777777" w:rsidTr="009D7A7D">
        <w:tc>
          <w:tcPr>
            <w:tcW w:w="2269" w:type="dxa"/>
          </w:tcPr>
          <w:p w14:paraId="2C9074ED"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Total (first and recurrent) HF hosp.</w:t>
            </w:r>
          </w:p>
        </w:tc>
        <w:tc>
          <w:tcPr>
            <w:tcW w:w="1724" w:type="dxa"/>
          </w:tcPr>
          <w:p w14:paraId="3CE26D1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93</w:t>
            </w:r>
          </w:p>
        </w:tc>
        <w:tc>
          <w:tcPr>
            <w:tcW w:w="1725" w:type="dxa"/>
          </w:tcPr>
          <w:p w14:paraId="558089D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49</w:t>
            </w:r>
          </w:p>
        </w:tc>
        <w:tc>
          <w:tcPr>
            <w:tcW w:w="1725" w:type="dxa"/>
          </w:tcPr>
          <w:p w14:paraId="3F33C4B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0.50 (0.31, 0.82)</w:t>
            </w:r>
          </w:p>
        </w:tc>
        <w:tc>
          <w:tcPr>
            <w:tcW w:w="1724" w:type="dxa"/>
          </w:tcPr>
          <w:p w14:paraId="400E2CE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116</w:t>
            </w:r>
          </w:p>
        </w:tc>
        <w:tc>
          <w:tcPr>
            <w:tcW w:w="1725" w:type="dxa"/>
          </w:tcPr>
          <w:p w14:paraId="7ADE130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73</w:t>
            </w:r>
          </w:p>
        </w:tc>
        <w:tc>
          <w:tcPr>
            <w:tcW w:w="1725" w:type="dxa"/>
          </w:tcPr>
          <w:p w14:paraId="348DD83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0.60 (0.38, 0.96)</w:t>
            </w:r>
          </w:p>
        </w:tc>
        <w:tc>
          <w:tcPr>
            <w:tcW w:w="1559" w:type="dxa"/>
          </w:tcPr>
          <w:p w14:paraId="40AC0DB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0.60</w:t>
            </w:r>
          </w:p>
        </w:tc>
      </w:tr>
      <w:tr w:rsidR="00B31A2E" w:rsidRPr="00C47BE6" w14:paraId="65279C23" w14:textId="77777777" w:rsidTr="009D7A7D">
        <w:tc>
          <w:tcPr>
            <w:tcW w:w="2269" w:type="dxa"/>
          </w:tcPr>
          <w:p w14:paraId="1DAF7091"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First HF hosp.</w:t>
            </w:r>
          </w:p>
        </w:tc>
        <w:tc>
          <w:tcPr>
            <w:tcW w:w="1724" w:type="dxa"/>
          </w:tcPr>
          <w:p w14:paraId="6E7E3AB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62 (11.9)</w:t>
            </w:r>
          </w:p>
          <w:p w14:paraId="7B9EBE9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=6.0</w:t>
            </w:r>
          </w:p>
        </w:tc>
        <w:tc>
          <w:tcPr>
            <w:tcW w:w="1725" w:type="dxa"/>
          </w:tcPr>
          <w:p w14:paraId="14019CE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29 (5.4)</w:t>
            </w:r>
          </w:p>
          <w:p w14:paraId="1CED879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=2.6</w:t>
            </w:r>
          </w:p>
        </w:tc>
        <w:tc>
          <w:tcPr>
            <w:tcW w:w="1725" w:type="dxa"/>
          </w:tcPr>
          <w:p w14:paraId="5F766EE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0.44 (0.28, 0.69)</w:t>
            </w:r>
          </w:p>
        </w:tc>
        <w:tc>
          <w:tcPr>
            <w:tcW w:w="1724" w:type="dxa"/>
          </w:tcPr>
          <w:p w14:paraId="5D88D08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64 (13.7)</w:t>
            </w:r>
          </w:p>
          <w:p w14:paraId="64B5CC7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=7.1</w:t>
            </w:r>
          </w:p>
        </w:tc>
        <w:tc>
          <w:tcPr>
            <w:tcW w:w="1725" w:type="dxa"/>
          </w:tcPr>
          <w:p w14:paraId="2D72259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48 (10.5)</w:t>
            </w:r>
          </w:p>
          <w:p w14:paraId="0F18A6F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=5.3</w:t>
            </w:r>
          </w:p>
        </w:tc>
        <w:tc>
          <w:tcPr>
            <w:tcW w:w="1725" w:type="dxa"/>
          </w:tcPr>
          <w:p w14:paraId="3FCAF3E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0.72 (0.42, 1.05)</w:t>
            </w:r>
          </w:p>
        </w:tc>
        <w:tc>
          <w:tcPr>
            <w:tcW w:w="1559" w:type="dxa"/>
          </w:tcPr>
          <w:p w14:paraId="67FCB7E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0.10</w:t>
            </w:r>
          </w:p>
        </w:tc>
      </w:tr>
      <w:tr w:rsidR="00B31A2E" w:rsidRPr="00C47BE6" w14:paraId="33333797" w14:textId="77777777" w:rsidTr="009D7A7D">
        <w:tc>
          <w:tcPr>
            <w:tcW w:w="14176" w:type="dxa"/>
            <w:gridSpan w:val="8"/>
          </w:tcPr>
          <w:p w14:paraId="3B9DE3A6"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LVEF ≥50%</w:t>
            </w:r>
          </w:p>
        </w:tc>
      </w:tr>
      <w:tr w:rsidR="00B31A2E" w:rsidRPr="00C47BE6" w14:paraId="45189616" w14:textId="77777777" w:rsidTr="009D7A7D">
        <w:tc>
          <w:tcPr>
            <w:tcW w:w="2269" w:type="dxa"/>
          </w:tcPr>
          <w:p w14:paraId="4EE85EFE" w14:textId="77777777" w:rsidR="00B31A2E" w:rsidRPr="00C47BE6" w:rsidRDefault="00B31A2E" w:rsidP="009D7A7D">
            <w:pPr>
              <w:spacing w:line="480" w:lineRule="auto"/>
              <w:rPr>
                <w:rFonts w:ascii="Times New Roman" w:hAnsi="Times New Roman" w:cs="Times New Roman"/>
                <w:sz w:val="24"/>
                <w:szCs w:val="24"/>
              </w:rPr>
            </w:pPr>
          </w:p>
        </w:tc>
        <w:tc>
          <w:tcPr>
            <w:tcW w:w="1724" w:type="dxa"/>
          </w:tcPr>
          <w:p w14:paraId="4391068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p w14:paraId="2DB40AC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=1346</w:t>
            </w:r>
          </w:p>
        </w:tc>
        <w:tc>
          <w:tcPr>
            <w:tcW w:w="1725" w:type="dxa"/>
          </w:tcPr>
          <w:p w14:paraId="6F0DAAA3"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p w14:paraId="7A581A3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=1339</w:t>
            </w:r>
          </w:p>
        </w:tc>
        <w:tc>
          <w:tcPr>
            <w:tcW w:w="1725" w:type="dxa"/>
          </w:tcPr>
          <w:p w14:paraId="20F2722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Treatment effect</w:t>
            </w:r>
          </w:p>
        </w:tc>
        <w:tc>
          <w:tcPr>
            <w:tcW w:w="1724" w:type="dxa"/>
          </w:tcPr>
          <w:p w14:paraId="1011B7E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p w14:paraId="12C8F72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=657</w:t>
            </w:r>
          </w:p>
        </w:tc>
        <w:tc>
          <w:tcPr>
            <w:tcW w:w="1725" w:type="dxa"/>
          </w:tcPr>
          <w:p w14:paraId="42BF6685"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p w14:paraId="43CCC8B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 =663</w:t>
            </w:r>
          </w:p>
        </w:tc>
        <w:tc>
          <w:tcPr>
            <w:tcW w:w="1725" w:type="dxa"/>
          </w:tcPr>
          <w:p w14:paraId="223E055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Treatment effect</w:t>
            </w:r>
          </w:p>
        </w:tc>
        <w:tc>
          <w:tcPr>
            <w:tcW w:w="1559" w:type="dxa"/>
          </w:tcPr>
          <w:p w14:paraId="40602FDA"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InteractionP</w:t>
            </w:r>
            <w:proofErr w:type="spellEnd"/>
          </w:p>
        </w:tc>
      </w:tr>
      <w:tr w:rsidR="00B31A2E" w:rsidRPr="00C47BE6" w14:paraId="1C17DCB1" w14:textId="77777777" w:rsidTr="009D7A7D">
        <w:tc>
          <w:tcPr>
            <w:tcW w:w="2269" w:type="dxa"/>
          </w:tcPr>
          <w:p w14:paraId="5B42A64D"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lastRenderedPageBreak/>
              <w:t>CV death or HF hosp.</w:t>
            </w:r>
          </w:p>
        </w:tc>
        <w:tc>
          <w:tcPr>
            <w:tcW w:w="1724" w:type="dxa"/>
          </w:tcPr>
          <w:p w14:paraId="26F2CFC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214 (15.9)</w:t>
            </w:r>
          </w:p>
          <w:p w14:paraId="4C1A1681"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=8.0</w:t>
            </w:r>
          </w:p>
        </w:tc>
        <w:tc>
          <w:tcPr>
            <w:tcW w:w="1725" w:type="dxa"/>
          </w:tcPr>
          <w:p w14:paraId="1FDE2D7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165 (12.3)</w:t>
            </w:r>
          </w:p>
          <w:p w14:paraId="298285C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=6.1</w:t>
            </w:r>
          </w:p>
        </w:tc>
        <w:tc>
          <w:tcPr>
            <w:tcW w:w="1725" w:type="dxa"/>
          </w:tcPr>
          <w:p w14:paraId="0F52AD1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0.75 (0.61, 0.92)</w:t>
            </w:r>
          </w:p>
        </w:tc>
        <w:tc>
          <w:tcPr>
            <w:tcW w:w="1724" w:type="dxa"/>
          </w:tcPr>
          <w:p w14:paraId="71C7DD2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104 (15.8)</w:t>
            </w:r>
          </w:p>
          <w:p w14:paraId="1B7BA35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=8.2</w:t>
            </w:r>
          </w:p>
        </w:tc>
        <w:tc>
          <w:tcPr>
            <w:tcW w:w="1725" w:type="dxa"/>
          </w:tcPr>
          <w:p w14:paraId="713624C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105 (15.8)</w:t>
            </w:r>
          </w:p>
          <w:p w14:paraId="452E073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=8.1</w:t>
            </w:r>
          </w:p>
        </w:tc>
        <w:tc>
          <w:tcPr>
            <w:tcW w:w="1725" w:type="dxa"/>
          </w:tcPr>
          <w:p w14:paraId="11D88F4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0.99 (0.75, 1.29)</w:t>
            </w:r>
          </w:p>
        </w:tc>
        <w:tc>
          <w:tcPr>
            <w:tcW w:w="1559" w:type="dxa"/>
          </w:tcPr>
          <w:p w14:paraId="3BFE0BC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0.12</w:t>
            </w:r>
          </w:p>
        </w:tc>
      </w:tr>
      <w:tr w:rsidR="00B31A2E" w:rsidRPr="00C47BE6" w14:paraId="581B0EBE" w14:textId="77777777" w:rsidTr="009D7A7D">
        <w:tc>
          <w:tcPr>
            <w:tcW w:w="2269" w:type="dxa"/>
          </w:tcPr>
          <w:p w14:paraId="5A7A39A2"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Total (first and recurrent) HF hosp.</w:t>
            </w:r>
          </w:p>
        </w:tc>
        <w:tc>
          <w:tcPr>
            <w:tcW w:w="1724" w:type="dxa"/>
          </w:tcPr>
          <w:p w14:paraId="1E01D2B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215</w:t>
            </w:r>
          </w:p>
        </w:tc>
        <w:tc>
          <w:tcPr>
            <w:tcW w:w="1725" w:type="dxa"/>
          </w:tcPr>
          <w:p w14:paraId="46FCBE2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152</w:t>
            </w:r>
          </w:p>
        </w:tc>
        <w:tc>
          <w:tcPr>
            <w:tcW w:w="1725" w:type="dxa"/>
          </w:tcPr>
          <w:p w14:paraId="6917763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0.64 (0.48, 0.85)</w:t>
            </w:r>
          </w:p>
        </w:tc>
        <w:tc>
          <w:tcPr>
            <w:tcW w:w="1724" w:type="dxa"/>
          </w:tcPr>
          <w:p w14:paraId="441F27F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117</w:t>
            </w:r>
          </w:p>
        </w:tc>
        <w:tc>
          <w:tcPr>
            <w:tcW w:w="1725" w:type="dxa"/>
          </w:tcPr>
          <w:p w14:paraId="7A4C547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133</w:t>
            </w:r>
          </w:p>
        </w:tc>
        <w:tc>
          <w:tcPr>
            <w:tcW w:w="1725" w:type="dxa"/>
          </w:tcPr>
          <w:p w14:paraId="5D50519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1.19 (0.83, 1.71)</w:t>
            </w:r>
          </w:p>
        </w:tc>
        <w:tc>
          <w:tcPr>
            <w:tcW w:w="1559" w:type="dxa"/>
          </w:tcPr>
          <w:p w14:paraId="6D57B08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0.009</w:t>
            </w:r>
          </w:p>
        </w:tc>
      </w:tr>
      <w:tr w:rsidR="00B31A2E" w:rsidRPr="00C47BE6" w14:paraId="6119233F" w14:textId="77777777" w:rsidTr="009D7A7D">
        <w:tc>
          <w:tcPr>
            <w:tcW w:w="2269" w:type="dxa"/>
          </w:tcPr>
          <w:p w14:paraId="21116CC3"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First HF hosp.</w:t>
            </w:r>
          </w:p>
        </w:tc>
        <w:tc>
          <w:tcPr>
            <w:tcW w:w="1724" w:type="dxa"/>
          </w:tcPr>
          <w:p w14:paraId="3486313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146 (10.8)</w:t>
            </w:r>
          </w:p>
          <w:p w14:paraId="1B1B8DB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=5.5</w:t>
            </w:r>
          </w:p>
        </w:tc>
        <w:tc>
          <w:tcPr>
            <w:tcW w:w="1725" w:type="dxa"/>
          </w:tcPr>
          <w:p w14:paraId="0B183A7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102 (7.6)</w:t>
            </w:r>
          </w:p>
          <w:p w14:paraId="3B87955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=3.7</w:t>
            </w:r>
          </w:p>
        </w:tc>
        <w:tc>
          <w:tcPr>
            <w:tcW w:w="1725" w:type="dxa"/>
          </w:tcPr>
          <w:p w14:paraId="5B77ECB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0.67 (0.52, 0.87)</w:t>
            </w:r>
          </w:p>
        </w:tc>
        <w:tc>
          <w:tcPr>
            <w:tcW w:w="1724" w:type="dxa"/>
          </w:tcPr>
          <w:p w14:paraId="22C1DDD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80 (12.2)</w:t>
            </w:r>
          </w:p>
          <w:p w14:paraId="02691A8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=6.3</w:t>
            </w:r>
          </w:p>
        </w:tc>
        <w:tc>
          <w:tcPr>
            <w:tcW w:w="1725" w:type="dxa"/>
          </w:tcPr>
          <w:p w14:paraId="152BDCE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80 (12.1)</w:t>
            </w:r>
          </w:p>
          <w:p w14:paraId="4EC6494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 =6.2</w:t>
            </w:r>
          </w:p>
        </w:tc>
        <w:tc>
          <w:tcPr>
            <w:tcW w:w="1725" w:type="dxa"/>
          </w:tcPr>
          <w:p w14:paraId="27F73FC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0.98 (0.72, 1.33)</w:t>
            </w:r>
          </w:p>
        </w:tc>
        <w:tc>
          <w:tcPr>
            <w:tcW w:w="1559" w:type="dxa"/>
          </w:tcPr>
          <w:p w14:paraId="53578F1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0.069</w:t>
            </w:r>
          </w:p>
        </w:tc>
      </w:tr>
    </w:tbl>
    <w:p w14:paraId="1C6A0314" w14:textId="77777777" w:rsidR="00B31A2E" w:rsidRPr="00C47BE6" w:rsidRDefault="00B31A2E" w:rsidP="00B31A2E">
      <w:pPr>
        <w:spacing w:after="0" w:line="240" w:lineRule="auto"/>
        <w:ind w:left="-851" w:right="775"/>
        <w:rPr>
          <w:rFonts w:ascii="Times New Roman" w:hAnsi="Times New Roman" w:cs="Times New Roman"/>
          <w:sz w:val="24"/>
          <w:szCs w:val="24"/>
        </w:rPr>
      </w:pPr>
      <w:r w:rsidRPr="00C47BE6">
        <w:rPr>
          <w:rFonts w:ascii="Times New Roman" w:hAnsi="Times New Roman" w:cs="Times New Roman"/>
          <w:sz w:val="24"/>
          <w:szCs w:val="24"/>
        </w:rPr>
        <w:t>Values are n (%), hazard ratio (95% confidence interval). IR, incidence rate per 100 person-years (displayed whenever applicable).</w:t>
      </w:r>
    </w:p>
    <w:p w14:paraId="2A04CBEA" w14:textId="77777777" w:rsidR="00B31A2E" w:rsidRPr="00C47BE6" w:rsidRDefault="00B31A2E" w:rsidP="00B31A2E">
      <w:pPr>
        <w:spacing w:line="240" w:lineRule="auto"/>
        <w:ind w:left="-851" w:right="775"/>
        <w:rPr>
          <w:rFonts w:ascii="Times New Roman" w:hAnsi="Times New Roman" w:cs="Times New Roman"/>
          <w:sz w:val="24"/>
          <w:szCs w:val="24"/>
        </w:rPr>
      </w:pPr>
      <w:r w:rsidRPr="00C47BE6">
        <w:rPr>
          <w:rFonts w:ascii="Times New Roman" w:hAnsi="Times New Roman" w:cs="Times New Roman"/>
          <w:sz w:val="24"/>
          <w:szCs w:val="24"/>
        </w:rPr>
        <w:t xml:space="preserve">Models included terms for age, baseline eGFR, baseline left ventricular ejection fraction, region, baseline diabetes status, sex, treatment arm, baseline use of MRA, and treatment by baseline use of MRA interaction, analyses were performed within each LVEF subgroup. </w:t>
      </w:r>
    </w:p>
    <w:p w14:paraId="150FABF3" w14:textId="77777777" w:rsidR="00B31A2E" w:rsidRPr="00C47BE6" w:rsidRDefault="00B31A2E" w:rsidP="00B31A2E">
      <w:pPr>
        <w:rPr>
          <w:rFonts w:ascii="Times New Roman" w:hAnsi="Times New Roman" w:cs="Times New Roman"/>
          <w:sz w:val="24"/>
          <w:szCs w:val="24"/>
        </w:rPr>
        <w:sectPr w:rsidR="00B31A2E" w:rsidRPr="00C47BE6" w:rsidSect="003A28AE">
          <w:pgSz w:w="16838" w:h="11906" w:orient="landscape"/>
          <w:pgMar w:top="1440" w:right="1440" w:bottom="1440" w:left="1440" w:header="709" w:footer="709" w:gutter="0"/>
          <w:cols w:space="708"/>
          <w:docGrid w:linePitch="360"/>
        </w:sectPr>
      </w:pPr>
    </w:p>
    <w:p w14:paraId="154437E3" w14:textId="77777777" w:rsidR="00B31A2E" w:rsidRPr="00C47BE6" w:rsidRDefault="00B31A2E" w:rsidP="00B31A2E">
      <w:pPr>
        <w:ind w:left="-851" w:right="491"/>
        <w:rPr>
          <w:rFonts w:ascii="Times New Roman" w:hAnsi="Times New Roman" w:cs="Times New Roman"/>
          <w:sz w:val="24"/>
          <w:szCs w:val="24"/>
        </w:rPr>
      </w:pPr>
      <w:r w:rsidRPr="00C47BE6">
        <w:rPr>
          <w:rFonts w:ascii="Times New Roman" w:hAnsi="Times New Roman" w:cs="Times New Roman"/>
          <w:sz w:val="24"/>
          <w:szCs w:val="24"/>
        </w:rPr>
        <w:lastRenderedPageBreak/>
        <w:t xml:space="preserve">Supplemental Table </w:t>
      </w:r>
      <w:r>
        <w:rPr>
          <w:rFonts w:ascii="Times New Roman" w:hAnsi="Times New Roman" w:cs="Times New Roman"/>
          <w:sz w:val="24"/>
          <w:szCs w:val="24"/>
        </w:rPr>
        <w:t>2</w:t>
      </w:r>
      <w:r w:rsidRPr="00C47BE6">
        <w:rPr>
          <w:rFonts w:ascii="Times New Roman" w:hAnsi="Times New Roman" w:cs="Times New Roman"/>
          <w:sz w:val="24"/>
          <w:szCs w:val="24"/>
        </w:rPr>
        <w:t xml:space="preserve">. Effect of empagliflozin on pre-specified measures of efficacy, by MRA use at baseline within subgroups of </w:t>
      </w:r>
      <w:r>
        <w:rPr>
          <w:rFonts w:ascii="Times New Roman" w:hAnsi="Times New Roman" w:cs="Times New Roman"/>
          <w:sz w:val="24"/>
          <w:szCs w:val="24"/>
        </w:rPr>
        <w:t>Volume Overload</w:t>
      </w:r>
    </w:p>
    <w:tbl>
      <w:tblPr>
        <w:tblStyle w:val="Grilledutableau"/>
        <w:tblW w:w="0" w:type="auto"/>
        <w:tblInd w:w="-856" w:type="dxa"/>
        <w:tblLayout w:type="fixed"/>
        <w:tblLook w:val="04A0" w:firstRow="1" w:lastRow="0" w:firstColumn="1" w:lastColumn="0" w:noHBand="0" w:noVBand="1"/>
      </w:tblPr>
      <w:tblGrid>
        <w:gridCol w:w="2269"/>
        <w:gridCol w:w="1724"/>
        <w:gridCol w:w="1725"/>
        <w:gridCol w:w="1725"/>
        <w:gridCol w:w="1724"/>
        <w:gridCol w:w="1725"/>
        <w:gridCol w:w="1725"/>
        <w:gridCol w:w="1559"/>
      </w:tblGrid>
      <w:tr w:rsidR="00B31A2E" w:rsidRPr="00C47BE6" w14:paraId="145D09C5" w14:textId="77777777" w:rsidTr="009D7A7D">
        <w:tc>
          <w:tcPr>
            <w:tcW w:w="2269" w:type="dxa"/>
          </w:tcPr>
          <w:p w14:paraId="7520B230"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Outcome events, n (%)</w:t>
            </w:r>
          </w:p>
        </w:tc>
        <w:tc>
          <w:tcPr>
            <w:tcW w:w="5174" w:type="dxa"/>
            <w:gridSpan w:val="3"/>
          </w:tcPr>
          <w:p w14:paraId="0260DA8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No MRA</w:t>
            </w:r>
          </w:p>
        </w:tc>
        <w:tc>
          <w:tcPr>
            <w:tcW w:w="5174" w:type="dxa"/>
            <w:gridSpan w:val="3"/>
          </w:tcPr>
          <w:p w14:paraId="58ABD63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MRA</w:t>
            </w:r>
          </w:p>
        </w:tc>
        <w:tc>
          <w:tcPr>
            <w:tcW w:w="1559" w:type="dxa"/>
          </w:tcPr>
          <w:p w14:paraId="5344E048" w14:textId="77777777" w:rsidR="00B31A2E" w:rsidRPr="00C47BE6" w:rsidRDefault="00B31A2E" w:rsidP="009D7A7D">
            <w:pPr>
              <w:spacing w:line="480" w:lineRule="auto"/>
              <w:rPr>
                <w:rFonts w:ascii="Times New Roman" w:hAnsi="Times New Roman" w:cs="Times New Roman"/>
                <w:sz w:val="24"/>
                <w:szCs w:val="24"/>
              </w:rPr>
            </w:pPr>
          </w:p>
        </w:tc>
      </w:tr>
      <w:tr w:rsidR="00B31A2E" w:rsidRPr="00C47BE6" w14:paraId="203ECCAC" w14:textId="77777777" w:rsidTr="009D7A7D">
        <w:tc>
          <w:tcPr>
            <w:tcW w:w="14176" w:type="dxa"/>
            <w:gridSpan w:val="8"/>
          </w:tcPr>
          <w:p w14:paraId="504C755A" w14:textId="77777777" w:rsidR="00B31A2E" w:rsidRPr="00C47BE6" w:rsidRDefault="00B31A2E" w:rsidP="009D7A7D">
            <w:pPr>
              <w:spacing w:line="480" w:lineRule="auto"/>
              <w:rPr>
                <w:rFonts w:ascii="Times New Roman" w:hAnsi="Times New Roman" w:cs="Times New Roman"/>
                <w:sz w:val="24"/>
                <w:szCs w:val="24"/>
              </w:rPr>
            </w:pPr>
            <w:r>
              <w:rPr>
                <w:rFonts w:ascii="Times New Roman" w:hAnsi="Times New Roman" w:cs="Times New Roman"/>
                <w:sz w:val="24"/>
                <w:szCs w:val="24"/>
              </w:rPr>
              <w:t>No Volume Overload</w:t>
            </w:r>
          </w:p>
        </w:tc>
      </w:tr>
      <w:tr w:rsidR="00B31A2E" w:rsidRPr="00C47BE6" w14:paraId="2EC5FFF3" w14:textId="77777777" w:rsidTr="009D7A7D">
        <w:tc>
          <w:tcPr>
            <w:tcW w:w="2269" w:type="dxa"/>
          </w:tcPr>
          <w:p w14:paraId="243EA732" w14:textId="77777777" w:rsidR="00B31A2E" w:rsidRPr="00C47BE6" w:rsidRDefault="00B31A2E" w:rsidP="009D7A7D">
            <w:pPr>
              <w:spacing w:line="480" w:lineRule="auto"/>
              <w:rPr>
                <w:rFonts w:ascii="Times New Roman" w:hAnsi="Times New Roman" w:cs="Times New Roman"/>
                <w:sz w:val="24"/>
                <w:szCs w:val="24"/>
              </w:rPr>
            </w:pPr>
          </w:p>
        </w:tc>
        <w:tc>
          <w:tcPr>
            <w:tcW w:w="1724" w:type="dxa"/>
          </w:tcPr>
          <w:p w14:paraId="12A0F24C"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Placebo</w:t>
            </w:r>
          </w:p>
          <w:p w14:paraId="437C0BE0"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N =1105</w:t>
            </w:r>
          </w:p>
        </w:tc>
        <w:tc>
          <w:tcPr>
            <w:tcW w:w="1725" w:type="dxa"/>
          </w:tcPr>
          <w:p w14:paraId="08E0680B" w14:textId="77777777" w:rsidR="00B31A2E" w:rsidRPr="007E276E" w:rsidRDefault="00B31A2E" w:rsidP="009D7A7D">
            <w:pPr>
              <w:spacing w:line="480" w:lineRule="auto"/>
              <w:jc w:val="center"/>
              <w:rPr>
                <w:rFonts w:ascii="Times New Roman" w:hAnsi="Times New Roman" w:cs="Times New Roman"/>
                <w:sz w:val="24"/>
                <w:szCs w:val="24"/>
              </w:rPr>
            </w:pPr>
            <w:proofErr w:type="spellStart"/>
            <w:r w:rsidRPr="007E276E">
              <w:rPr>
                <w:rFonts w:ascii="Times New Roman" w:hAnsi="Times New Roman" w:cs="Times New Roman"/>
                <w:sz w:val="24"/>
                <w:szCs w:val="24"/>
              </w:rPr>
              <w:t>Empa</w:t>
            </w:r>
            <w:proofErr w:type="spellEnd"/>
            <w:r w:rsidRPr="007E276E">
              <w:rPr>
                <w:rFonts w:ascii="Times New Roman" w:hAnsi="Times New Roman" w:cs="Times New Roman"/>
                <w:sz w:val="24"/>
                <w:szCs w:val="24"/>
              </w:rPr>
              <w:t>.</w:t>
            </w:r>
          </w:p>
          <w:p w14:paraId="24043568"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N =1121</w:t>
            </w:r>
          </w:p>
        </w:tc>
        <w:tc>
          <w:tcPr>
            <w:tcW w:w="1725" w:type="dxa"/>
          </w:tcPr>
          <w:p w14:paraId="50818E3A"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Treatment effect</w:t>
            </w:r>
          </w:p>
        </w:tc>
        <w:tc>
          <w:tcPr>
            <w:tcW w:w="1724" w:type="dxa"/>
          </w:tcPr>
          <w:p w14:paraId="153A30CC"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Placebo</w:t>
            </w:r>
          </w:p>
          <w:p w14:paraId="746EC0E5"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N =645</w:t>
            </w:r>
          </w:p>
        </w:tc>
        <w:tc>
          <w:tcPr>
            <w:tcW w:w="1725" w:type="dxa"/>
          </w:tcPr>
          <w:p w14:paraId="57EB19A2" w14:textId="77777777" w:rsidR="00B31A2E" w:rsidRPr="007E276E" w:rsidRDefault="00B31A2E" w:rsidP="009D7A7D">
            <w:pPr>
              <w:spacing w:line="480" w:lineRule="auto"/>
              <w:jc w:val="center"/>
              <w:rPr>
                <w:rFonts w:ascii="Times New Roman" w:hAnsi="Times New Roman" w:cs="Times New Roman"/>
                <w:sz w:val="24"/>
                <w:szCs w:val="24"/>
              </w:rPr>
            </w:pPr>
            <w:proofErr w:type="spellStart"/>
            <w:r w:rsidRPr="007E276E">
              <w:rPr>
                <w:rFonts w:ascii="Times New Roman" w:hAnsi="Times New Roman" w:cs="Times New Roman"/>
                <w:sz w:val="24"/>
                <w:szCs w:val="24"/>
              </w:rPr>
              <w:t>Empa</w:t>
            </w:r>
            <w:proofErr w:type="spellEnd"/>
            <w:r w:rsidRPr="007E276E">
              <w:rPr>
                <w:rFonts w:ascii="Times New Roman" w:hAnsi="Times New Roman" w:cs="Times New Roman"/>
                <w:sz w:val="24"/>
                <w:szCs w:val="24"/>
              </w:rPr>
              <w:t>.</w:t>
            </w:r>
          </w:p>
          <w:p w14:paraId="71435336"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N =627</w:t>
            </w:r>
          </w:p>
        </w:tc>
        <w:tc>
          <w:tcPr>
            <w:tcW w:w="1725" w:type="dxa"/>
          </w:tcPr>
          <w:p w14:paraId="3EDC2605"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Treatment effect</w:t>
            </w:r>
          </w:p>
        </w:tc>
        <w:tc>
          <w:tcPr>
            <w:tcW w:w="1559" w:type="dxa"/>
          </w:tcPr>
          <w:p w14:paraId="1EAB5AC5"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Interaction P</w:t>
            </w:r>
            <w:r>
              <w:rPr>
                <w:rFonts w:ascii="Times New Roman" w:hAnsi="Times New Roman" w:cs="Times New Roman"/>
                <w:sz w:val="24"/>
                <w:szCs w:val="24"/>
              </w:rPr>
              <w:noBreakHyphen/>
            </w:r>
            <w:r w:rsidRPr="007E276E">
              <w:rPr>
                <w:rFonts w:ascii="Times New Roman" w:hAnsi="Times New Roman" w:cs="Times New Roman"/>
                <w:sz w:val="24"/>
                <w:szCs w:val="24"/>
              </w:rPr>
              <w:t>value</w:t>
            </w:r>
          </w:p>
        </w:tc>
      </w:tr>
      <w:tr w:rsidR="00B31A2E" w:rsidRPr="00C47BE6" w14:paraId="048C5FD9" w14:textId="77777777" w:rsidTr="009D7A7D">
        <w:tc>
          <w:tcPr>
            <w:tcW w:w="2269" w:type="dxa"/>
          </w:tcPr>
          <w:p w14:paraId="7CF8D295"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CV death or HF hosp.</w:t>
            </w:r>
          </w:p>
        </w:tc>
        <w:tc>
          <w:tcPr>
            <w:tcW w:w="1724" w:type="dxa"/>
          </w:tcPr>
          <w:p w14:paraId="70B39F01"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147 (13.3)</w:t>
            </w:r>
          </w:p>
          <w:p w14:paraId="35E7D363"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IR =6.7</w:t>
            </w:r>
          </w:p>
        </w:tc>
        <w:tc>
          <w:tcPr>
            <w:tcW w:w="1725" w:type="dxa"/>
          </w:tcPr>
          <w:p w14:paraId="19A557B5"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118 (10.5)</w:t>
            </w:r>
          </w:p>
          <w:p w14:paraId="77226CF4"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IR =5.2</w:t>
            </w:r>
          </w:p>
        </w:tc>
        <w:tc>
          <w:tcPr>
            <w:tcW w:w="1725" w:type="dxa"/>
          </w:tcPr>
          <w:p w14:paraId="7EBAC14D" w14:textId="77777777" w:rsidR="00B31A2E" w:rsidRPr="007E276E" w:rsidRDefault="00B31A2E" w:rsidP="009D7A7D">
            <w:pPr>
              <w:spacing w:line="480" w:lineRule="auto"/>
              <w:jc w:val="center"/>
              <w:rPr>
                <w:rFonts w:ascii="Times New Roman" w:hAnsi="Times New Roman" w:cs="Times New Roman"/>
                <w:sz w:val="24"/>
                <w:szCs w:val="24"/>
              </w:rPr>
            </w:pPr>
            <w:r w:rsidRPr="007E276E">
              <w:rPr>
                <w:rFonts w:ascii="Times New Roman" w:hAnsi="Times New Roman" w:cs="Times New Roman"/>
                <w:sz w:val="24"/>
                <w:szCs w:val="24"/>
              </w:rPr>
              <w:t>0.78 (0.61, 0.99)</w:t>
            </w:r>
          </w:p>
        </w:tc>
        <w:tc>
          <w:tcPr>
            <w:tcW w:w="1724" w:type="dxa"/>
          </w:tcPr>
          <w:p w14:paraId="5D96A021"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105 (16.3)</w:t>
            </w:r>
          </w:p>
          <w:p w14:paraId="768A0740"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IR =8.5</w:t>
            </w:r>
          </w:p>
        </w:tc>
        <w:tc>
          <w:tcPr>
            <w:tcW w:w="1725" w:type="dxa"/>
          </w:tcPr>
          <w:p w14:paraId="2845065B"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99 (15.8)</w:t>
            </w:r>
          </w:p>
          <w:p w14:paraId="7B119E4E"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IR =8.0</w:t>
            </w:r>
          </w:p>
        </w:tc>
        <w:tc>
          <w:tcPr>
            <w:tcW w:w="1725" w:type="dxa"/>
          </w:tcPr>
          <w:p w14:paraId="6DF320F3"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0.95 (0.72, 1.25)</w:t>
            </w:r>
          </w:p>
        </w:tc>
        <w:tc>
          <w:tcPr>
            <w:tcW w:w="1559" w:type="dxa"/>
          </w:tcPr>
          <w:p w14:paraId="23440BFB" w14:textId="77777777" w:rsidR="00B31A2E" w:rsidRPr="007E276E" w:rsidRDefault="00B31A2E" w:rsidP="009D7A7D">
            <w:pPr>
              <w:spacing w:line="480" w:lineRule="auto"/>
              <w:jc w:val="center"/>
              <w:rPr>
                <w:rFonts w:ascii="Times New Roman" w:hAnsi="Times New Roman" w:cs="Times New Roman"/>
                <w:sz w:val="24"/>
                <w:szCs w:val="24"/>
                <w:highlight w:val="yellow"/>
              </w:rPr>
            </w:pPr>
            <w:r w:rsidRPr="00956192">
              <w:rPr>
                <w:rFonts w:ascii="Times New Roman" w:hAnsi="Times New Roman" w:cs="Times New Roman"/>
                <w:sz w:val="24"/>
                <w:szCs w:val="24"/>
              </w:rPr>
              <w:t>0.28</w:t>
            </w:r>
          </w:p>
        </w:tc>
      </w:tr>
      <w:tr w:rsidR="00B31A2E" w:rsidRPr="00C47BE6" w14:paraId="436518E2" w14:textId="77777777" w:rsidTr="009D7A7D">
        <w:tc>
          <w:tcPr>
            <w:tcW w:w="2269" w:type="dxa"/>
          </w:tcPr>
          <w:p w14:paraId="1845BC22"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Total (first and recurrent) HF hosp.</w:t>
            </w:r>
          </w:p>
        </w:tc>
        <w:tc>
          <w:tcPr>
            <w:tcW w:w="1724" w:type="dxa"/>
          </w:tcPr>
          <w:p w14:paraId="464F35F3"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134</w:t>
            </w:r>
          </w:p>
        </w:tc>
        <w:tc>
          <w:tcPr>
            <w:tcW w:w="1725" w:type="dxa"/>
          </w:tcPr>
          <w:p w14:paraId="67D57DB2"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88</w:t>
            </w:r>
          </w:p>
        </w:tc>
        <w:tc>
          <w:tcPr>
            <w:tcW w:w="1725" w:type="dxa"/>
          </w:tcPr>
          <w:p w14:paraId="04440E61"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0.62 (0.44, 0.88)</w:t>
            </w:r>
          </w:p>
        </w:tc>
        <w:tc>
          <w:tcPr>
            <w:tcW w:w="1724" w:type="dxa"/>
          </w:tcPr>
          <w:p w14:paraId="41E84441"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130</w:t>
            </w:r>
          </w:p>
        </w:tc>
        <w:tc>
          <w:tcPr>
            <w:tcW w:w="1725" w:type="dxa"/>
          </w:tcPr>
          <w:p w14:paraId="068F411E"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87</w:t>
            </w:r>
          </w:p>
        </w:tc>
        <w:tc>
          <w:tcPr>
            <w:tcW w:w="1725" w:type="dxa"/>
          </w:tcPr>
          <w:p w14:paraId="40C1C4A9"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0.75 (0.50, 1.11)</w:t>
            </w:r>
          </w:p>
        </w:tc>
        <w:tc>
          <w:tcPr>
            <w:tcW w:w="1559" w:type="dxa"/>
          </w:tcPr>
          <w:p w14:paraId="64A25A0A"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w:t>
            </w:r>
            <w:r>
              <w:rPr>
                <w:rFonts w:ascii="Times New Roman" w:hAnsi="Times New Roman" w:cs="Times New Roman"/>
                <w:sz w:val="24"/>
                <w:szCs w:val="24"/>
              </w:rPr>
              <w:t>51</w:t>
            </w:r>
          </w:p>
        </w:tc>
      </w:tr>
      <w:tr w:rsidR="00B31A2E" w:rsidRPr="00C47BE6" w14:paraId="27A5069E" w14:textId="77777777" w:rsidTr="009D7A7D">
        <w:tc>
          <w:tcPr>
            <w:tcW w:w="2269" w:type="dxa"/>
          </w:tcPr>
          <w:p w14:paraId="18787B7B"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First HF hosp.</w:t>
            </w:r>
          </w:p>
        </w:tc>
        <w:tc>
          <w:tcPr>
            <w:tcW w:w="1724" w:type="dxa"/>
          </w:tcPr>
          <w:p w14:paraId="6125EE4E"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94 (8.5)</w:t>
            </w:r>
          </w:p>
          <w:p w14:paraId="07341143"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=4.3</w:t>
            </w:r>
          </w:p>
        </w:tc>
        <w:tc>
          <w:tcPr>
            <w:tcW w:w="1725" w:type="dxa"/>
          </w:tcPr>
          <w:p w14:paraId="7386F288"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61 (5.4)</w:t>
            </w:r>
          </w:p>
          <w:p w14:paraId="1B133848"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=2.7</w:t>
            </w:r>
          </w:p>
        </w:tc>
        <w:tc>
          <w:tcPr>
            <w:tcW w:w="1725" w:type="dxa"/>
          </w:tcPr>
          <w:p w14:paraId="4B62D2C9"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0.62 (0.45, 0.86)</w:t>
            </w:r>
          </w:p>
        </w:tc>
        <w:tc>
          <w:tcPr>
            <w:tcW w:w="1724" w:type="dxa"/>
          </w:tcPr>
          <w:p w14:paraId="293D3E71"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76 (11.8)</w:t>
            </w:r>
          </w:p>
          <w:p w14:paraId="2D912B3A"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=6.1</w:t>
            </w:r>
          </w:p>
        </w:tc>
        <w:tc>
          <w:tcPr>
            <w:tcW w:w="1725" w:type="dxa"/>
          </w:tcPr>
          <w:p w14:paraId="3534100F"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65 (10.4)</w:t>
            </w:r>
          </w:p>
          <w:p w14:paraId="2958EDEF"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=5.3</w:t>
            </w:r>
          </w:p>
        </w:tc>
        <w:tc>
          <w:tcPr>
            <w:tcW w:w="1725" w:type="dxa"/>
          </w:tcPr>
          <w:p w14:paraId="53ACC589"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0.86 (0.62, 1.20)</w:t>
            </w:r>
          </w:p>
        </w:tc>
        <w:tc>
          <w:tcPr>
            <w:tcW w:w="1559" w:type="dxa"/>
          </w:tcPr>
          <w:p w14:paraId="2622FF33"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0.1</w:t>
            </w:r>
            <w:r>
              <w:rPr>
                <w:rFonts w:ascii="Times New Roman" w:hAnsi="Times New Roman" w:cs="Times New Roman"/>
                <w:sz w:val="24"/>
                <w:szCs w:val="24"/>
              </w:rPr>
              <w:t>7</w:t>
            </w:r>
          </w:p>
        </w:tc>
      </w:tr>
      <w:tr w:rsidR="00B31A2E" w:rsidRPr="00C47BE6" w14:paraId="530E7AB6" w14:textId="77777777" w:rsidTr="009D7A7D">
        <w:tc>
          <w:tcPr>
            <w:tcW w:w="14176" w:type="dxa"/>
            <w:gridSpan w:val="8"/>
          </w:tcPr>
          <w:p w14:paraId="00FBB2FE" w14:textId="77777777" w:rsidR="00B31A2E" w:rsidRPr="00C47BE6" w:rsidRDefault="00B31A2E" w:rsidP="009D7A7D">
            <w:pPr>
              <w:spacing w:line="480" w:lineRule="auto"/>
              <w:rPr>
                <w:rFonts w:ascii="Times New Roman" w:hAnsi="Times New Roman" w:cs="Times New Roman"/>
                <w:sz w:val="24"/>
                <w:szCs w:val="24"/>
              </w:rPr>
            </w:pPr>
            <w:r>
              <w:rPr>
                <w:rFonts w:ascii="Times New Roman" w:hAnsi="Times New Roman" w:cs="Times New Roman"/>
                <w:sz w:val="24"/>
                <w:szCs w:val="24"/>
              </w:rPr>
              <w:t>Volume Overload</w:t>
            </w:r>
          </w:p>
        </w:tc>
      </w:tr>
      <w:tr w:rsidR="00B31A2E" w:rsidRPr="00C47BE6" w14:paraId="0B15AA6A" w14:textId="77777777" w:rsidTr="009D7A7D">
        <w:tc>
          <w:tcPr>
            <w:tcW w:w="2269" w:type="dxa"/>
          </w:tcPr>
          <w:p w14:paraId="6D867A0C" w14:textId="77777777" w:rsidR="00B31A2E" w:rsidRPr="00C47BE6" w:rsidRDefault="00B31A2E" w:rsidP="009D7A7D">
            <w:pPr>
              <w:spacing w:line="480" w:lineRule="auto"/>
              <w:rPr>
                <w:rFonts w:ascii="Times New Roman" w:hAnsi="Times New Roman" w:cs="Times New Roman"/>
                <w:sz w:val="24"/>
                <w:szCs w:val="24"/>
              </w:rPr>
            </w:pPr>
          </w:p>
        </w:tc>
        <w:tc>
          <w:tcPr>
            <w:tcW w:w="1724" w:type="dxa"/>
          </w:tcPr>
          <w:p w14:paraId="5B05132C"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Placebo</w:t>
            </w:r>
          </w:p>
          <w:p w14:paraId="6CBD5FB7"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N =759</w:t>
            </w:r>
          </w:p>
        </w:tc>
        <w:tc>
          <w:tcPr>
            <w:tcW w:w="1725" w:type="dxa"/>
          </w:tcPr>
          <w:p w14:paraId="380DDC6D" w14:textId="77777777" w:rsidR="00B31A2E" w:rsidRPr="00956192" w:rsidRDefault="00B31A2E" w:rsidP="009D7A7D">
            <w:pPr>
              <w:spacing w:line="480" w:lineRule="auto"/>
              <w:jc w:val="center"/>
              <w:rPr>
                <w:rFonts w:ascii="Times New Roman" w:hAnsi="Times New Roman" w:cs="Times New Roman"/>
                <w:sz w:val="24"/>
                <w:szCs w:val="24"/>
              </w:rPr>
            </w:pPr>
            <w:proofErr w:type="spellStart"/>
            <w:r w:rsidRPr="00956192">
              <w:rPr>
                <w:rFonts w:ascii="Times New Roman" w:hAnsi="Times New Roman" w:cs="Times New Roman"/>
                <w:sz w:val="24"/>
                <w:szCs w:val="24"/>
              </w:rPr>
              <w:t>Empa</w:t>
            </w:r>
            <w:proofErr w:type="spellEnd"/>
            <w:r w:rsidRPr="00956192">
              <w:rPr>
                <w:rFonts w:ascii="Times New Roman" w:hAnsi="Times New Roman" w:cs="Times New Roman"/>
                <w:sz w:val="24"/>
                <w:szCs w:val="24"/>
              </w:rPr>
              <w:t>.</w:t>
            </w:r>
          </w:p>
          <w:p w14:paraId="06CE1FA3"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N =757</w:t>
            </w:r>
          </w:p>
        </w:tc>
        <w:tc>
          <w:tcPr>
            <w:tcW w:w="1725" w:type="dxa"/>
          </w:tcPr>
          <w:p w14:paraId="2CA0621E"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Treatment effect</w:t>
            </w:r>
          </w:p>
        </w:tc>
        <w:tc>
          <w:tcPr>
            <w:tcW w:w="1724" w:type="dxa"/>
          </w:tcPr>
          <w:p w14:paraId="1FE0F1B1"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Placebo</w:t>
            </w:r>
          </w:p>
          <w:p w14:paraId="13A4D025"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N =480</w:t>
            </w:r>
          </w:p>
        </w:tc>
        <w:tc>
          <w:tcPr>
            <w:tcW w:w="1725" w:type="dxa"/>
          </w:tcPr>
          <w:p w14:paraId="34D1E1CD" w14:textId="77777777" w:rsidR="00B31A2E" w:rsidRPr="00956192" w:rsidRDefault="00B31A2E" w:rsidP="009D7A7D">
            <w:pPr>
              <w:spacing w:line="480" w:lineRule="auto"/>
              <w:jc w:val="center"/>
              <w:rPr>
                <w:rFonts w:ascii="Times New Roman" w:hAnsi="Times New Roman" w:cs="Times New Roman"/>
                <w:sz w:val="24"/>
                <w:szCs w:val="24"/>
              </w:rPr>
            </w:pPr>
            <w:proofErr w:type="spellStart"/>
            <w:r w:rsidRPr="00956192">
              <w:rPr>
                <w:rFonts w:ascii="Times New Roman" w:hAnsi="Times New Roman" w:cs="Times New Roman"/>
                <w:sz w:val="24"/>
                <w:szCs w:val="24"/>
              </w:rPr>
              <w:t>Empa</w:t>
            </w:r>
            <w:proofErr w:type="spellEnd"/>
            <w:r w:rsidRPr="00956192">
              <w:rPr>
                <w:rFonts w:ascii="Times New Roman" w:hAnsi="Times New Roman" w:cs="Times New Roman"/>
                <w:sz w:val="24"/>
                <w:szCs w:val="24"/>
              </w:rPr>
              <w:t>.</w:t>
            </w:r>
          </w:p>
          <w:p w14:paraId="72D03E73"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N =491</w:t>
            </w:r>
          </w:p>
        </w:tc>
        <w:tc>
          <w:tcPr>
            <w:tcW w:w="1725" w:type="dxa"/>
          </w:tcPr>
          <w:p w14:paraId="39F8BED5"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Treatment effect</w:t>
            </w:r>
          </w:p>
        </w:tc>
        <w:tc>
          <w:tcPr>
            <w:tcW w:w="1559" w:type="dxa"/>
          </w:tcPr>
          <w:p w14:paraId="16BDD15D"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Interaction</w:t>
            </w:r>
            <w:r>
              <w:rPr>
                <w:rFonts w:ascii="Times New Roman" w:hAnsi="Times New Roman" w:cs="Times New Roman"/>
                <w:sz w:val="24"/>
                <w:szCs w:val="24"/>
              </w:rPr>
              <w:t xml:space="preserve"> </w:t>
            </w:r>
            <w:r w:rsidRPr="00956192">
              <w:rPr>
                <w:rFonts w:ascii="Times New Roman" w:hAnsi="Times New Roman" w:cs="Times New Roman"/>
                <w:sz w:val="24"/>
                <w:szCs w:val="24"/>
              </w:rPr>
              <w:t>P</w:t>
            </w:r>
            <w:r>
              <w:rPr>
                <w:rFonts w:ascii="Times New Roman" w:hAnsi="Times New Roman" w:cs="Times New Roman"/>
                <w:sz w:val="24"/>
                <w:szCs w:val="24"/>
              </w:rPr>
              <w:noBreakHyphen/>
              <w:t>value</w:t>
            </w:r>
          </w:p>
        </w:tc>
      </w:tr>
      <w:tr w:rsidR="00B31A2E" w:rsidRPr="00C47BE6" w14:paraId="56503534" w14:textId="77777777" w:rsidTr="009D7A7D">
        <w:tc>
          <w:tcPr>
            <w:tcW w:w="2269" w:type="dxa"/>
          </w:tcPr>
          <w:p w14:paraId="59375EE0"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CV death or HF hosp.</w:t>
            </w:r>
          </w:p>
        </w:tc>
        <w:tc>
          <w:tcPr>
            <w:tcW w:w="1724" w:type="dxa"/>
          </w:tcPr>
          <w:p w14:paraId="3C3FA452"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157 (20.7)</w:t>
            </w:r>
          </w:p>
          <w:p w14:paraId="708FBBAC"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IR =10.4</w:t>
            </w:r>
          </w:p>
        </w:tc>
        <w:tc>
          <w:tcPr>
            <w:tcW w:w="1725" w:type="dxa"/>
          </w:tcPr>
          <w:p w14:paraId="551FA62D"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115 (15.2)</w:t>
            </w:r>
          </w:p>
          <w:p w14:paraId="3A36ED61"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IR =7.3</w:t>
            </w:r>
          </w:p>
        </w:tc>
        <w:tc>
          <w:tcPr>
            <w:tcW w:w="1725" w:type="dxa"/>
          </w:tcPr>
          <w:p w14:paraId="683D84B1" w14:textId="77777777" w:rsidR="00B31A2E" w:rsidRPr="00956192" w:rsidRDefault="00B31A2E" w:rsidP="009D7A7D">
            <w:pPr>
              <w:spacing w:line="480" w:lineRule="auto"/>
              <w:jc w:val="center"/>
              <w:rPr>
                <w:rFonts w:ascii="Times New Roman" w:hAnsi="Times New Roman" w:cs="Times New Roman"/>
                <w:sz w:val="24"/>
                <w:szCs w:val="24"/>
              </w:rPr>
            </w:pPr>
            <w:r w:rsidRPr="00956192">
              <w:rPr>
                <w:rFonts w:ascii="Times New Roman" w:hAnsi="Times New Roman" w:cs="Times New Roman"/>
                <w:sz w:val="24"/>
                <w:szCs w:val="24"/>
              </w:rPr>
              <w:t>0.68 (0.54, 0.87)</w:t>
            </w:r>
          </w:p>
        </w:tc>
        <w:tc>
          <w:tcPr>
            <w:tcW w:w="1724" w:type="dxa"/>
          </w:tcPr>
          <w:p w14:paraId="1B186E11"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100 (20.8)</w:t>
            </w:r>
          </w:p>
          <w:p w14:paraId="13434E02"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=10.7</w:t>
            </w:r>
          </w:p>
        </w:tc>
        <w:tc>
          <w:tcPr>
            <w:tcW w:w="1725" w:type="dxa"/>
          </w:tcPr>
          <w:p w14:paraId="18144F50"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82 (16.7)</w:t>
            </w:r>
          </w:p>
          <w:p w14:paraId="5E336675"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=8.6</w:t>
            </w:r>
          </w:p>
        </w:tc>
        <w:tc>
          <w:tcPr>
            <w:tcW w:w="1725" w:type="dxa"/>
          </w:tcPr>
          <w:p w14:paraId="74EE91C2"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0.77 (0.58, 1.03)</w:t>
            </w:r>
          </w:p>
        </w:tc>
        <w:tc>
          <w:tcPr>
            <w:tcW w:w="1559" w:type="dxa"/>
          </w:tcPr>
          <w:p w14:paraId="7F5AB7F5"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0.53</w:t>
            </w:r>
          </w:p>
        </w:tc>
      </w:tr>
      <w:tr w:rsidR="00B31A2E" w:rsidRPr="00C47BE6" w14:paraId="40D2295F" w14:textId="77777777" w:rsidTr="009D7A7D">
        <w:tc>
          <w:tcPr>
            <w:tcW w:w="2269" w:type="dxa"/>
          </w:tcPr>
          <w:p w14:paraId="5E15E7D3"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Total (first and recurrent) HF hosp.</w:t>
            </w:r>
          </w:p>
        </w:tc>
        <w:tc>
          <w:tcPr>
            <w:tcW w:w="1724" w:type="dxa"/>
          </w:tcPr>
          <w:p w14:paraId="096B84FD"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172</w:t>
            </w:r>
          </w:p>
        </w:tc>
        <w:tc>
          <w:tcPr>
            <w:tcW w:w="1725" w:type="dxa"/>
          </w:tcPr>
          <w:p w14:paraId="7CD990A2"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113</w:t>
            </w:r>
          </w:p>
        </w:tc>
        <w:tc>
          <w:tcPr>
            <w:tcW w:w="1725" w:type="dxa"/>
          </w:tcPr>
          <w:p w14:paraId="418E95EE"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0.60 (0.43, 0.86)</w:t>
            </w:r>
          </w:p>
        </w:tc>
        <w:tc>
          <w:tcPr>
            <w:tcW w:w="1724" w:type="dxa"/>
          </w:tcPr>
          <w:p w14:paraId="161AA7B3" w14:textId="77777777" w:rsidR="00B31A2E" w:rsidRPr="00B40259" w:rsidRDefault="00B31A2E" w:rsidP="009D7A7D">
            <w:pPr>
              <w:spacing w:line="480" w:lineRule="auto"/>
              <w:jc w:val="center"/>
              <w:rPr>
                <w:rFonts w:ascii="Times New Roman" w:hAnsi="Times New Roman" w:cs="Times New Roman"/>
                <w:sz w:val="24"/>
                <w:szCs w:val="24"/>
              </w:rPr>
            </w:pPr>
            <w:r w:rsidRPr="00B40259">
              <w:rPr>
                <w:rFonts w:ascii="Times New Roman" w:hAnsi="Times New Roman" w:cs="Times New Roman"/>
                <w:sz w:val="24"/>
                <w:szCs w:val="24"/>
              </w:rPr>
              <w:t>103</w:t>
            </w:r>
          </w:p>
        </w:tc>
        <w:tc>
          <w:tcPr>
            <w:tcW w:w="1725" w:type="dxa"/>
          </w:tcPr>
          <w:p w14:paraId="17A04882" w14:textId="77777777" w:rsidR="00B31A2E" w:rsidRPr="00B40259" w:rsidRDefault="00B31A2E" w:rsidP="009D7A7D">
            <w:pPr>
              <w:spacing w:line="480" w:lineRule="auto"/>
              <w:jc w:val="center"/>
              <w:rPr>
                <w:rFonts w:ascii="Times New Roman" w:hAnsi="Times New Roman" w:cs="Times New Roman"/>
                <w:sz w:val="24"/>
                <w:szCs w:val="24"/>
              </w:rPr>
            </w:pPr>
            <w:r w:rsidRPr="00B40259">
              <w:rPr>
                <w:rFonts w:ascii="Times New Roman" w:hAnsi="Times New Roman" w:cs="Times New Roman"/>
                <w:sz w:val="24"/>
                <w:szCs w:val="24"/>
              </w:rPr>
              <w:t>117</w:t>
            </w:r>
          </w:p>
        </w:tc>
        <w:tc>
          <w:tcPr>
            <w:tcW w:w="1725" w:type="dxa"/>
          </w:tcPr>
          <w:p w14:paraId="7B0A6BD4" w14:textId="77777777" w:rsidR="00B31A2E" w:rsidRPr="00B40259" w:rsidRDefault="00B31A2E" w:rsidP="009D7A7D">
            <w:pPr>
              <w:spacing w:line="480" w:lineRule="auto"/>
              <w:jc w:val="center"/>
              <w:rPr>
                <w:rFonts w:ascii="Times New Roman" w:hAnsi="Times New Roman" w:cs="Times New Roman"/>
                <w:sz w:val="24"/>
                <w:szCs w:val="24"/>
              </w:rPr>
            </w:pPr>
            <w:r w:rsidRPr="00B40259">
              <w:rPr>
                <w:rFonts w:ascii="Times New Roman" w:hAnsi="Times New Roman" w:cs="Times New Roman"/>
                <w:sz w:val="24"/>
                <w:szCs w:val="24"/>
              </w:rPr>
              <w:t>1.04 (0.69, 1.56)</w:t>
            </w:r>
          </w:p>
        </w:tc>
        <w:tc>
          <w:tcPr>
            <w:tcW w:w="1559" w:type="dxa"/>
          </w:tcPr>
          <w:p w14:paraId="59D7A497" w14:textId="77777777" w:rsidR="00B31A2E" w:rsidRPr="00B40259" w:rsidRDefault="00B31A2E" w:rsidP="009D7A7D">
            <w:pPr>
              <w:spacing w:line="480" w:lineRule="auto"/>
              <w:jc w:val="center"/>
              <w:rPr>
                <w:rFonts w:ascii="Times New Roman" w:hAnsi="Times New Roman" w:cs="Times New Roman"/>
                <w:sz w:val="24"/>
                <w:szCs w:val="24"/>
              </w:rPr>
            </w:pPr>
            <w:r w:rsidRPr="00B40259">
              <w:rPr>
                <w:rFonts w:ascii="Times New Roman" w:hAnsi="Times New Roman" w:cs="Times New Roman"/>
                <w:sz w:val="24"/>
                <w:szCs w:val="24"/>
              </w:rPr>
              <w:t>0.046</w:t>
            </w:r>
          </w:p>
        </w:tc>
      </w:tr>
      <w:tr w:rsidR="00B31A2E" w:rsidRPr="00C47BE6" w14:paraId="69F1D915" w14:textId="77777777" w:rsidTr="009D7A7D">
        <w:tc>
          <w:tcPr>
            <w:tcW w:w="2269" w:type="dxa"/>
          </w:tcPr>
          <w:p w14:paraId="5989E64B"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First HF hosp.</w:t>
            </w:r>
          </w:p>
        </w:tc>
        <w:tc>
          <w:tcPr>
            <w:tcW w:w="1724" w:type="dxa"/>
          </w:tcPr>
          <w:p w14:paraId="1A54C1B6"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112 (14.8)</w:t>
            </w:r>
          </w:p>
          <w:p w14:paraId="40981D43"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=7.4</w:t>
            </w:r>
          </w:p>
        </w:tc>
        <w:tc>
          <w:tcPr>
            <w:tcW w:w="1725" w:type="dxa"/>
          </w:tcPr>
          <w:p w14:paraId="26A76B62"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70 (9.2)</w:t>
            </w:r>
          </w:p>
          <w:p w14:paraId="7FCF527C" w14:textId="77777777" w:rsidR="00B31A2E" w:rsidRPr="00302F4F" w:rsidRDefault="00B31A2E" w:rsidP="009D7A7D">
            <w:pPr>
              <w:spacing w:line="480" w:lineRule="auto"/>
              <w:jc w:val="center"/>
              <w:rPr>
                <w:rFonts w:ascii="Times New Roman" w:hAnsi="Times New Roman" w:cs="Times New Roman"/>
                <w:sz w:val="24"/>
                <w:szCs w:val="24"/>
              </w:rPr>
            </w:pPr>
            <w:r w:rsidRPr="00302F4F">
              <w:rPr>
                <w:rFonts w:ascii="Times New Roman" w:hAnsi="Times New Roman" w:cs="Times New Roman"/>
                <w:sz w:val="24"/>
                <w:szCs w:val="24"/>
              </w:rPr>
              <w:t>IR =4.5</w:t>
            </w:r>
          </w:p>
        </w:tc>
        <w:tc>
          <w:tcPr>
            <w:tcW w:w="1725" w:type="dxa"/>
          </w:tcPr>
          <w:p w14:paraId="4F9C4E9D"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0.58 (0.43, 0.78)</w:t>
            </w:r>
          </w:p>
        </w:tc>
        <w:tc>
          <w:tcPr>
            <w:tcW w:w="1724" w:type="dxa"/>
          </w:tcPr>
          <w:p w14:paraId="3A80C8B5"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68 (14.2)</w:t>
            </w:r>
          </w:p>
          <w:p w14:paraId="79A0A244"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IR =7.3</w:t>
            </w:r>
          </w:p>
        </w:tc>
        <w:tc>
          <w:tcPr>
            <w:tcW w:w="1725" w:type="dxa"/>
          </w:tcPr>
          <w:p w14:paraId="227DF4BB"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62 (12.6)</w:t>
            </w:r>
          </w:p>
          <w:p w14:paraId="55225E4F"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IR =6.5</w:t>
            </w:r>
          </w:p>
        </w:tc>
        <w:tc>
          <w:tcPr>
            <w:tcW w:w="1725" w:type="dxa"/>
          </w:tcPr>
          <w:p w14:paraId="2288D544"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0.84 (0.59, 1.18)</w:t>
            </w:r>
          </w:p>
        </w:tc>
        <w:tc>
          <w:tcPr>
            <w:tcW w:w="1559" w:type="dxa"/>
          </w:tcPr>
          <w:p w14:paraId="766A6000" w14:textId="77777777" w:rsidR="00B31A2E" w:rsidRPr="002734CE" w:rsidRDefault="00B31A2E" w:rsidP="009D7A7D">
            <w:pPr>
              <w:spacing w:line="480" w:lineRule="auto"/>
              <w:jc w:val="center"/>
              <w:rPr>
                <w:rFonts w:ascii="Times New Roman" w:hAnsi="Times New Roman" w:cs="Times New Roman"/>
                <w:sz w:val="24"/>
                <w:szCs w:val="24"/>
              </w:rPr>
            </w:pPr>
            <w:r w:rsidRPr="002734CE">
              <w:rPr>
                <w:rFonts w:ascii="Times New Roman" w:hAnsi="Times New Roman" w:cs="Times New Roman"/>
                <w:sz w:val="24"/>
                <w:szCs w:val="24"/>
              </w:rPr>
              <w:t>0.11</w:t>
            </w:r>
          </w:p>
        </w:tc>
      </w:tr>
    </w:tbl>
    <w:p w14:paraId="7E21E8D8" w14:textId="77777777" w:rsidR="00B31A2E" w:rsidRPr="00C47BE6" w:rsidRDefault="00B31A2E" w:rsidP="00B31A2E">
      <w:pPr>
        <w:spacing w:after="0" w:line="240" w:lineRule="auto"/>
        <w:ind w:left="-851" w:right="775"/>
        <w:rPr>
          <w:rFonts w:ascii="Times New Roman" w:hAnsi="Times New Roman" w:cs="Times New Roman"/>
          <w:sz w:val="24"/>
          <w:szCs w:val="24"/>
        </w:rPr>
      </w:pPr>
      <w:r w:rsidRPr="00C47BE6">
        <w:rPr>
          <w:rFonts w:ascii="Times New Roman" w:hAnsi="Times New Roman" w:cs="Times New Roman"/>
          <w:sz w:val="24"/>
          <w:szCs w:val="24"/>
        </w:rPr>
        <w:t>Values are n (%), hazard ratio (95% confidence interval). IR, incidence rate per 100 person-years (displayed whenever applicable).</w:t>
      </w:r>
    </w:p>
    <w:p w14:paraId="75EEAE16" w14:textId="77777777" w:rsidR="00B31A2E" w:rsidRPr="00C47BE6" w:rsidRDefault="00B31A2E" w:rsidP="00B31A2E">
      <w:pPr>
        <w:spacing w:line="240" w:lineRule="auto"/>
        <w:ind w:left="-851" w:right="775"/>
        <w:rPr>
          <w:rFonts w:ascii="Times New Roman" w:hAnsi="Times New Roman" w:cs="Times New Roman"/>
          <w:sz w:val="24"/>
          <w:szCs w:val="24"/>
        </w:rPr>
      </w:pPr>
      <w:r w:rsidRPr="00C47BE6">
        <w:rPr>
          <w:rFonts w:ascii="Times New Roman" w:hAnsi="Times New Roman" w:cs="Times New Roman"/>
          <w:sz w:val="24"/>
          <w:szCs w:val="24"/>
        </w:rPr>
        <w:t xml:space="preserve">Models included terms for age, baseline eGFR, baseline left ventricular ejection fraction, region, baseline diabetes status, sex, treatment arm, baseline use of MRA, and treatment by baseline use of MRA interaction, analyses were performed within </w:t>
      </w:r>
      <w:r>
        <w:rPr>
          <w:rFonts w:ascii="Times New Roman" w:hAnsi="Times New Roman" w:cs="Times New Roman"/>
          <w:sz w:val="24"/>
          <w:szCs w:val="24"/>
        </w:rPr>
        <w:t>subgroup of volume overload status</w:t>
      </w:r>
      <w:r w:rsidRPr="00C47BE6">
        <w:rPr>
          <w:rFonts w:ascii="Times New Roman" w:hAnsi="Times New Roman" w:cs="Times New Roman"/>
          <w:sz w:val="24"/>
          <w:szCs w:val="24"/>
        </w:rPr>
        <w:t xml:space="preserve">. </w:t>
      </w:r>
    </w:p>
    <w:p w14:paraId="60997980" w14:textId="77777777" w:rsidR="00B31A2E" w:rsidRDefault="00B31A2E" w:rsidP="00B31A2E">
      <w:pPr>
        <w:spacing w:line="240" w:lineRule="auto"/>
        <w:ind w:left="-993"/>
        <w:rPr>
          <w:rFonts w:ascii="Times New Roman" w:hAnsi="Times New Roman" w:cs="Times New Roman"/>
          <w:sz w:val="24"/>
          <w:szCs w:val="24"/>
        </w:rPr>
      </w:pPr>
    </w:p>
    <w:p w14:paraId="7AD718E9" w14:textId="77777777" w:rsidR="00B31A2E" w:rsidRDefault="00B31A2E" w:rsidP="00B31A2E">
      <w:pPr>
        <w:rPr>
          <w:rFonts w:ascii="Times New Roman" w:hAnsi="Times New Roman" w:cs="Times New Roman"/>
          <w:sz w:val="24"/>
          <w:szCs w:val="24"/>
        </w:rPr>
      </w:pPr>
      <w:r>
        <w:rPr>
          <w:rFonts w:ascii="Times New Roman" w:hAnsi="Times New Roman" w:cs="Times New Roman"/>
          <w:sz w:val="24"/>
          <w:szCs w:val="24"/>
        </w:rPr>
        <w:br w:type="page"/>
      </w:r>
    </w:p>
    <w:p w14:paraId="28E394B0" w14:textId="77777777" w:rsidR="00B31A2E" w:rsidRPr="00C47BE6" w:rsidRDefault="00B31A2E" w:rsidP="00B31A2E">
      <w:pPr>
        <w:spacing w:line="240" w:lineRule="auto"/>
        <w:ind w:left="-993"/>
        <w:rPr>
          <w:rFonts w:ascii="Times New Roman" w:hAnsi="Times New Roman" w:cs="Times New Roman"/>
          <w:sz w:val="24"/>
          <w:szCs w:val="24"/>
        </w:rPr>
      </w:pPr>
      <w:r w:rsidRPr="00C47BE6">
        <w:rPr>
          <w:rFonts w:ascii="Times New Roman" w:hAnsi="Times New Roman" w:cs="Times New Roman"/>
          <w:sz w:val="24"/>
          <w:szCs w:val="24"/>
        </w:rPr>
        <w:t xml:space="preserve">Supplemental Table </w:t>
      </w:r>
      <w:r>
        <w:rPr>
          <w:rFonts w:ascii="Times New Roman" w:hAnsi="Times New Roman" w:cs="Times New Roman"/>
          <w:sz w:val="24"/>
          <w:szCs w:val="24"/>
        </w:rPr>
        <w:t>3</w:t>
      </w:r>
      <w:r w:rsidRPr="00C47BE6">
        <w:rPr>
          <w:rFonts w:ascii="Times New Roman" w:hAnsi="Times New Roman" w:cs="Times New Roman"/>
          <w:sz w:val="24"/>
          <w:szCs w:val="24"/>
        </w:rPr>
        <w:t>. Effect of empagliflozin on hyperkalemia and use of potassium binders</w:t>
      </w:r>
    </w:p>
    <w:tbl>
      <w:tblPr>
        <w:tblStyle w:val="Grilledutableau"/>
        <w:tblW w:w="14885" w:type="dxa"/>
        <w:tblInd w:w="-998" w:type="dxa"/>
        <w:tblLayout w:type="fixed"/>
        <w:tblLook w:val="04A0" w:firstRow="1" w:lastRow="0" w:firstColumn="1" w:lastColumn="0" w:noHBand="0" w:noVBand="1"/>
      </w:tblPr>
      <w:tblGrid>
        <w:gridCol w:w="1844"/>
        <w:gridCol w:w="1291"/>
        <w:gridCol w:w="1291"/>
        <w:gridCol w:w="1292"/>
        <w:gridCol w:w="1291"/>
        <w:gridCol w:w="1292"/>
        <w:gridCol w:w="1291"/>
        <w:gridCol w:w="1292"/>
        <w:gridCol w:w="1291"/>
        <w:gridCol w:w="1292"/>
        <w:gridCol w:w="1418"/>
      </w:tblGrid>
      <w:tr w:rsidR="00B31A2E" w:rsidRPr="00C47BE6" w14:paraId="5795E80E" w14:textId="77777777" w:rsidTr="009D7A7D">
        <w:tc>
          <w:tcPr>
            <w:tcW w:w="1844" w:type="dxa"/>
          </w:tcPr>
          <w:p w14:paraId="3DCBE919" w14:textId="77777777" w:rsidR="00B31A2E" w:rsidRPr="00C47BE6" w:rsidRDefault="00B31A2E" w:rsidP="009D7A7D">
            <w:pPr>
              <w:spacing w:line="480" w:lineRule="auto"/>
              <w:rPr>
                <w:rFonts w:ascii="Times New Roman" w:hAnsi="Times New Roman" w:cs="Times New Roman"/>
                <w:sz w:val="24"/>
                <w:szCs w:val="24"/>
              </w:rPr>
            </w:pPr>
          </w:p>
        </w:tc>
        <w:tc>
          <w:tcPr>
            <w:tcW w:w="3874" w:type="dxa"/>
            <w:gridSpan w:val="3"/>
          </w:tcPr>
          <w:p w14:paraId="52BA30A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All patients</w:t>
            </w:r>
          </w:p>
        </w:tc>
        <w:tc>
          <w:tcPr>
            <w:tcW w:w="3874" w:type="dxa"/>
            <w:gridSpan w:val="3"/>
          </w:tcPr>
          <w:p w14:paraId="4BE98F4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No MRA</w:t>
            </w:r>
          </w:p>
        </w:tc>
        <w:tc>
          <w:tcPr>
            <w:tcW w:w="3875" w:type="dxa"/>
            <w:gridSpan w:val="3"/>
          </w:tcPr>
          <w:p w14:paraId="5A2B308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MRA</w:t>
            </w:r>
          </w:p>
        </w:tc>
        <w:tc>
          <w:tcPr>
            <w:tcW w:w="1418" w:type="dxa"/>
          </w:tcPr>
          <w:p w14:paraId="45F15D52" w14:textId="77777777" w:rsidR="00B31A2E" w:rsidRPr="00C47BE6" w:rsidRDefault="00B31A2E" w:rsidP="009D7A7D">
            <w:pPr>
              <w:spacing w:line="480" w:lineRule="auto"/>
              <w:jc w:val="center"/>
              <w:rPr>
                <w:rFonts w:ascii="Times New Roman" w:hAnsi="Times New Roman" w:cs="Times New Roman"/>
                <w:sz w:val="24"/>
                <w:szCs w:val="24"/>
              </w:rPr>
            </w:pPr>
          </w:p>
        </w:tc>
      </w:tr>
      <w:tr w:rsidR="00B31A2E" w:rsidRPr="00C47BE6" w14:paraId="7922EF3C" w14:textId="77777777" w:rsidTr="009D7A7D">
        <w:tc>
          <w:tcPr>
            <w:tcW w:w="1844" w:type="dxa"/>
          </w:tcPr>
          <w:p w14:paraId="2CF4560D" w14:textId="77777777" w:rsidR="00B31A2E" w:rsidRPr="00C47BE6" w:rsidRDefault="00B31A2E" w:rsidP="009D7A7D">
            <w:pPr>
              <w:spacing w:line="480" w:lineRule="auto"/>
              <w:rPr>
                <w:rFonts w:ascii="Times New Roman" w:hAnsi="Times New Roman" w:cs="Times New Roman"/>
                <w:sz w:val="24"/>
                <w:szCs w:val="24"/>
              </w:rPr>
            </w:pPr>
          </w:p>
        </w:tc>
        <w:tc>
          <w:tcPr>
            <w:tcW w:w="1291" w:type="dxa"/>
          </w:tcPr>
          <w:p w14:paraId="3495F8F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tc>
        <w:tc>
          <w:tcPr>
            <w:tcW w:w="1291" w:type="dxa"/>
          </w:tcPr>
          <w:p w14:paraId="787C865F"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tc>
        <w:tc>
          <w:tcPr>
            <w:tcW w:w="1292" w:type="dxa"/>
          </w:tcPr>
          <w:p w14:paraId="5C3BF3A1" w14:textId="77777777" w:rsidR="00B31A2E" w:rsidRPr="00C47BE6" w:rsidRDefault="00B31A2E" w:rsidP="009D7A7D">
            <w:pPr>
              <w:spacing w:line="480" w:lineRule="auto"/>
              <w:jc w:val="center"/>
              <w:rPr>
                <w:rFonts w:ascii="Times New Roman" w:hAnsi="Times New Roman" w:cs="Times New Roman"/>
                <w:sz w:val="24"/>
                <w:szCs w:val="24"/>
              </w:rPr>
            </w:pPr>
          </w:p>
        </w:tc>
        <w:tc>
          <w:tcPr>
            <w:tcW w:w="1291" w:type="dxa"/>
          </w:tcPr>
          <w:p w14:paraId="02FE50E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tc>
        <w:tc>
          <w:tcPr>
            <w:tcW w:w="1292" w:type="dxa"/>
          </w:tcPr>
          <w:p w14:paraId="7172EA49"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p>
        </w:tc>
        <w:tc>
          <w:tcPr>
            <w:tcW w:w="1291" w:type="dxa"/>
          </w:tcPr>
          <w:p w14:paraId="6092E516" w14:textId="77777777" w:rsidR="00B31A2E" w:rsidRPr="00C47BE6" w:rsidRDefault="00B31A2E" w:rsidP="009D7A7D">
            <w:pPr>
              <w:spacing w:line="480" w:lineRule="auto"/>
              <w:jc w:val="center"/>
              <w:rPr>
                <w:rFonts w:ascii="Times New Roman" w:hAnsi="Times New Roman" w:cs="Times New Roman"/>
                <w:sz w:val="24"/>
                <w:szCs w:val="24"/>
              </w:rPr>
            </w:pPr>
          </w:p>
        </w:tc>
        <w:tc>
          <w:tcPr>
            <w:tcW w:w="1292" w:type="dxa"/>
          </w:tcPr>
          <w:p w14:paraId="7E6B636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Placebo</w:t>
            </w:r>
          </w:p>
        </w:tc>
        <w:tc>
          <w:tcPr>
            <w:tcW w:w="1291" w:type="dxa"/>
          </w:tcPr>
          <w:p w14:paraId="78D1E552" w14:textId="77777777" w:rsidR="00B31A2E" w:rsidRPr="00C47BE6" w:rsidRDefault="00B31A2E" w:rsidP="009D7A7D">
            <w:pPr>
              <w:spacing w:line="480" w:lineRule="auto"/>
              <w:jc w:val="center"/>
              <w:rPr>
                <w:rFonts w:ascii="Times New Roman" w:hAnsi="Times New Roman" w:cs="Times New Roman"/>
                <w:sz w:val="24"/>
                <w:szCs w:val="24"/>
              </w:rPr>
            </w:pPr>
            <w:proofErr w:type="spellStart"/>
            <w:r w:rsidRPr="00C47BE6">
              <w:rPr>
                <w:rFonts w:ascii="Times New Roman" w:hAnsi="Times New Roman" w:cs="Times New Roman"/>
                <w:sz w:val="24"/>
                <w:szCs w:val="24"/>
              </w:rPr>
              <w:t>Empa</w:t>
            </w:r>
            <w:proofErr w:type="spellEnd"/>
            <w:r w:rsidRPr="00C47BE6">
              <w:rPr>
                <w:rFonts w:ascii="Times New Roman" w:hAnsi="Times New Roman" w:cs="Times New Roman"/>
                <w:sz w:val="24"/>
                <w:szCs w:val="24"/>
              </w:rPr>
              <w:t>.</w:t>
            </w:r>
          </w:p>
        </w:tc>
        <w:tc>
          <w:tcPr>
            <w:tcW w:w="1292" w:type="dxa"/>
          </w:tcPr>
          <w:p w14:paraId="275778E5" w14:textId="77777777" w:rsidR="00B31A2E" w:rsidRPr="00C47BE6" w:rsidRDefault="00B31A2E" w:rsidP="009D7A7D">
            <w:pPr>
              <w:spacing w:line="480" w:lineRule="auto"/>
              <w:jc w:val="center"/>
              <w:rPr>
                <w:rFonts w:ascii="Times New Roman" w:hAnsi="Times New Roman" w:cs="Times New Roman"/>
                <w:sz w:val="24"/>
                <w:szCs w:val="24"/>
              </w:rPr>
            </w:pPr>
          </w:p>
        </w:tc>
        <w:tc>
          <w:tcPr>
            <w:tcW w:w="1418" w:type="dxa"/>
          </w:tcPr>
          <w:p w14:paraId="61C5B7A4" w14:textId="77777777" w:rsidR="00B31A2E" w:rsidRPr="00C47BE6" w:rsidRDefault="00B31A2E" w:rsidP="009D7A7D">
            <w:pPr>
              <w:spacing w:line="480" w:lineRule="auto"/>
              <w:jc w:val="center"/>
              <w:rPr>
                <w:rFonts w:ascii="Times New Roman" w:hAnsi="Times New Roman" w:cs="Times New Roman"/>
                <w:sz w:val="24"/>
                <w:szCs w:val="24"/>
              </w:rPr>
            </w:pPr>
          </w:p>
        </w:tc>
      </w:tr>
      <w:tr w:rsidR="00B31A2E" w:rsidRPr="00C47BE6" w14:paraId="261F8819" w14:textId="77777777" w:rsidTr="009D7A7D">
        <w:tc>
          <w:tcPr>
            <w:tcW w:w="1844" w:type="dxa"/>
          </w:tcPr>
          <w:p w14:paraId="4C40B6C6" w14:textId="77777777" w:rsidR="00B31A2E" w:rsidRPr="00C47BE6" w:rsidRDefault="00B31A2E" w:rsidP="009D7A7D">
            <w:pPr>
              <w:spacing w:line="480" w:lineRule="auto"/>
              <w:rPr>
                <w:rFonts w:ascii="Times New Roman" w:hAnsi="Times New Roman" w:cs="Times New Roman"/>
                <w:sz w:val="24"/>
                <w:szCs w:val="24"/>
              </w:rPr>
            </w:pPr>
          </w:p>
        </w:tc>
        <w:tc>
          <w:tcPr>
            <w:tcW w:w="1291" w:type="dxa"/>
          </w:tcPr>
          <w:p w14:paraId="69B0AC0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1" w:type="dxa"/>
          </w:tcPr>
          <w:p w14:paraId="39C3C00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2" w:type="dxa"/>
          </w:tcPr>
          <w:p w14:paraId="25AA138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HR (95%CI)</w:t>
            </w:r>
          </w:p>
        </w:tc>
        <w:tc>
          <w:tcPr>
            <w:tcW w:w="1291" w:type="dxa"/>
          </w:tcPr>
          <w:p w14:paraId="08BBCCC1"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2" w:type="dxa"/>
          </w:tcPr>
          <w:p w14:paraId="27AAD01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1" w:type="dxa"/>
          </w:tcPr>
          <w:p w14:paraId="5EFEFE1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HR (95%CI)</w:t>
            </w:r>
          </w:p>
        </w:tc>
        <w:tc>
          <w:tcPr>
            <w:tcW w:w="1292" w:type="dxa"/>
          </w:tcPr>
          <w:p w14:paraId="7766A77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1" w:type="dxa"/>
          </w:tcPr>
          <w:p w14:paraId="3833B51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n/N (%)</w:t>
            </w:r>
          </w:p>
        </w:tc>
        <w:tc>
          <w:tcPr>
            <w:tcW w:w="1292" w:type="dxa"/>
          </w:tcPr>
          <w:p w14:paraId="32B7B93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HR (95%CI)</w:t>
            </w:r>
          </w:p>
        </w:tc>
        <w:tc>
          <w:tcPr>
            <w:tcW w:w="1418" w:type="dxa"/>
          </w:tcPr>
          <w:p w14:paraId="4D49DFE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Interaction P</w:t>
            </w:r>
            <w:r w:rsidRPr="00C47BE6">
              <w:rPr>
                <w:rFonts w:ascii="Times New Roman" w:hAnsi="Times New Roman" w:cs="Times New Roman"/>
                <w:sz w:val="24"/>
                <w:szCs w:val="24"/>
              </w:rPr>
              <w:noBreakHyphen/>
              <w:t>value</w:t>
            </w:r>
          </w:p>
        </w:tc>
      </w:tr>
      <w:tr w:rsidR="00B31A2E" w:rsidRPr="00C47BE6" w14:paraId="75453527" w14:textId="77777777" w:rsidTr="009D7A7D">
        <w:tc>
          <w:tcPr>
            <w:tcW w:w="1844" w:type="dxa"/>
          </w:tcPr>
          <w:p w14:paraId="22B4DF21"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New potassium-binder use †</w:t>
            </w:r>
          </w:p>
        </w:tc>
        <w:tc>
          <w:tcPr>
            <w:tcW w:w="1291" w:type="dxa"/>
          </w:tcPr>
          <w:p w14:paraId="0FE0C9B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51/2980 (1.7)</w:t>
            </w:r>
          </w:p>
          <w:p w14:paraId="3DA7F57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IR=0.9</w:t>
            </w:r>
          </w:p>
        </w:tc>
        <w:tc>
          <w:tcPr>
            <w:tcW w:w="1291" w:type="dxa"/>
          </w:tcPr>
          <w:p w14:paraId="6F8154C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45/2986 (1.5)</w:t>
            </w:r>
          </w:p>
          <w:p w14:paraId="4F9D97F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IR=0.8</w:t>
            </w:r>
          </w:p>
        </w:tc>
        <w:tc>
          <w:tcPr>
            <w:tcW w:w="1292" w:type="dxa"/>
          </w:tcPr>
          <w:p w14:paraId="6BDB40A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0.82 (0.55, 1.23)</w:t>
            </w:r>
          </w:p>
          <w:p w14:paraId="554D59A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 =0.35</w:t>
            </w:r>
          </w:p>
        </w:tc>
        <w:tc>
          <w:tcPr>
            <w:tcW w:w="1291" w:type="dxa"/>
          </w:tcPr>
          <w:p w14:paraId="1374709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34/1857 (1.8)</w:t>
            </w:r>
          </w:p>
          <w:p w14:paraId="751061C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IR=1.0</w:t>
            </w:r>
          </w:p>
        </w:tc>
        <w:tc>
          <w:tcPr>
            <w:tcW w:w="1292" w:type="dxa"/>
          </w:tcPr>
          <w:p w14:paraId="1083814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27/1870 (1.4)</w:t>
            </w:r>
          </w:p>
          <w:p w14:paraId="2003825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IR=0.8</w:t>
            </w:r>
          </w:p>
        </w:tc>
        <w:tc>
          <w:tcPr>
            <w:tcW w:w="1291" w:type="dxa"/>
          </w:tcPr>
          <w:p w14:paraId="41AC45F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0.70 (0.42, 1.16)</w:t>
            </w:r>
          </w:p>
        </w:tc>
        <w:tc>
          <w:tcPr>
            <w:tcW w:w="1292" w:type="dxa"/>
          </w:tcPr>
          <w:p w14:paraId="09058A2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17/1123 (1.5)</w:t>
            </w:r>
          </w:p>
          <w:p w14:paraId="34909C3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IR=0.8</w:t>
            </w:r>
          </w:p>
        </w:tc>
        <w:tc>
          <w:tcPr>
            <w:tcW w:w="1291" w:type="dxa"/>
          </w:tcPr>
          <w:p w14:paraId="2AC65C8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18/1116 (1.6)</w:t>
            </w:r>
          </w:p>
          <w:p w14:paraId="16D8596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IR=0.9</w:t>
            </w:r>
          </w:p>
        </w:tc>
        <w:tc>
          <w:tcPr>
            <w:tcW w:w="1292" w:type="dxa"/>
          </w:tcPr>
          <w:p w14:paraId="04EA53E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1.11 (0.57, 2.16)</w:t>
            </w:r>
          </w:p>
        </w:tc>
        <w:tc>
          <w:tcPr>
            <w:tcW w:w="1418" w:type="dxa"/>
          </w:tcPr>
          <w:p w14:paraId="2CA29BF1"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0.27</w:t>
            </w:r>
          </w:p>
        </w:tc>
      </w:tr>
      <w:tr w:rsidR="00B31A2E" w:rsidRPr="00C47BE6" w14:paraId="4F68532F" w14:textId="77777777" w:rsidTr="009D7A7D">
        <w:tc>
          <w:tcPr>
            <w:tcW w:w="1844" w:type="dxa"/>
          </w:tcPr>
          <w:p w14:paraId="7B1519BE"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Investigator-reported hyperkalemia</w:t>
            </w:r>
          </w:p>
        </w:tc>
        <w:tc>
          <w:tcPr>
            <w:tcW w:w="1291" w:type="dxa"/>
          </w:tcPr>
          <w:p w14:paraId="7389828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220/2989 (7.4)</w:t>
            </w:r>
          </w:p>
          <w:p w14:paraId="7D61ACF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IR=4.1</w:t>
            </w:r>
          </w:p>
        </w:tc>
        <w:tc>
          <w:tcPr>
            <w:tcW w:w="1291" w:type="dxa"/>
          </w:tcPr>
          <w:p w14:paraId="2736636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186/2996 (6.2)</w:t>
            </w:r>
          </w:p>
          <w:p w14:paraId="6C90BCE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IR=3.4</w:t>
            </w:r>
          </w:p>
        </w:tc>
        <w:tc>
          <w:tcPr>
            <w:tcW w:w="1292" w:type="dxa"/>
          </w:tcPr>
          <w:p w14:paraId="07AD1E7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0.83 (0.68, 1.00)</w:t>
            </w:r>
          </w:p>
          <w:p w14:paraId="177604E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 =0.056</w:t>
            </w:r>
          </w:p>
        </w:tc>
        <w:tc>
          <w:tcPr>
            <w:tcW w:w="1291" w:type="dxa"/>
          </w:tcPr>
          <w:p w14:paraId="25A71E0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97/1865 (5.2)</w:t>
            </w:r>
          </w:p>
          <w:p w14:paraId="17380C6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IR=2.9</w:t>
            </w:r>
          </w:p>
        </w:tc>
        <w:tc>
          <w:tcPr>
            <w:tcW w:w="1292" w:type="dxa"/>
          </w:tcPr>
          <w:p w14:paraId="5C3F6ED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94/1878 (5.0)</w:t>
            </w:r>
          </w:p>
          <w:p w14:paraId="088B9E7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IR=2.7</w:t>
            </w:r>
          </w:p>
        </w:tc>
        <w:tc>
          <w:tcPr>
            <w:tcW w:w="1291" w:type="dxa"/>
          </w:tcPr>
          <w:p w14:paraId="6F4A56A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0.93 (0.70, 1.24)</w:t>
            </w:r>
          </w:p>
        </w:tc>
        <w:tc>
          <w:tcPr>
            <w:tcW w:w="1292" w:type="dxa"/>
          </w:tcPr>
          <w:p w14:paraId="11EC0DD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123/1124 (10.9)</w:t>
            </w:r>
          </w:p>
          <w:p w14:paraId="27DB55E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IR=6.2</w:t>
            </w:r>
          </w:p>
        </w:tc>
        <w:tc>
          <w:tcPr>
            <w:tcW w:w="1291" w:type="dxa"/>
          </w:tcPr>
          <w:p w14:paraId="247B819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92/1118 (8.2)</w:t>
            </w:r>
          </w:p>
          <w:p w14:paraId="312775A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IR=4.7</w:t>
            </w:r>
          </w:p>
        </w:tc>
        <w:tc>
          <w:tcPr>
            <w:tcW w:w="1292" w:type="dxa"/>
          </w:tcPr>
          <w:p w14:paraId="51D9E59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0.75 (0.57, 0.98)</w:t>
            </w:r>
          </w:p>
        </w:tc>
        <w:tc>
          <w:tcPr>
            <w:tcW w:w="1418" w:type="dxa"/>
          </w:tcPr>
          <w:p w14:paraId="2F4A45E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0.27</w:t>
            </w:r>
          </w:p>
        </w:tc>
      </w:tr>
      <w:tr w:rsidR="00B31A2E" w:rsidRPr="00C47BE6" w14:paraId="73A2C5A5" w14:textId="77777777" w:rsidTr="009D7A7D">
        <w:tc>
          <w:tcPr>
            <w:tcW w:w="1844" w:type="dxa"/>
          </w:tcPr>
          <w:p w14:paraId="704C089D"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Serum potassium &gt;5.5 mmol/L *</w:t>
            </w:r>
          </w:p>
        </w:tc>
        <w:tc>
          <w:tcPr>
            <w:tcW w:w="1291" w:type="dxa"/>
          </w:tcPr>
          <w:p w14:paraId="2FF3675F"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277/2872 (9.6)</w:t>
            </w:r>
          </w:p>
          <w:p w14:paraId="27D1769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IR=5.9</w:t>
            </w:r>
          </w:p>
        </w:tc>
        <w:tc>
          <w:tcPr>
            <w:tcW w:w="1291" w:type="dxa"/>
          </w:tcPr>
          <w:p w14:paraId="29BE3DFE"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235/2869 (8.2)</w:t>
            </w:r>
          </w:p>
          <w:p w14:paraId="025CFE4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IR=4.9</w:t>
            </w:r>
          </w:p>
        </w:tc>
        <w:tc>
          <w:tcPr>
            <w:tcW w:w="1292" w:type="dxa"/>
          </w:tcPr>
          <w:p w14:paraId="4493F52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0.82 (0.69, 0.98)</w:t>
            </w:r>
          </w:p>
          <w:p w14:paraId="7B30FA0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 =0.026</w:t>
            </w:r>
          </w:p>
        </w:tc>
        <w:tc>
          <w:tcPr>
            <w:tcW w:w="1291" w:type="dxa"/>
          </w:tcPr>
          <w:p w14:paraId="20F541C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130/1807 (7.2)</w:t>
            </w:r>
          </w:p>
          <w:p w14:paraId="7BEA2C2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IR=4.3</w:t>
            </w:r>
          </w:p>
        </w:tc>
        <w:tc>
          <w:tcPr>
            <w:tcW w:w="1292" w:type="dxa"/>
          </w:tcPr>
          <w:p w14:paraId="61AD272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130/1807 (7.2)</w:t>
            </w:r>
          </w:p>
          <w:p w14:paraId="4AC4634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IR=4.2</w:t>
            </w:r>
          </w:p>
        </w:tc>
        <w:tc>
          <w:tcPr>
            <w:tcW w:w="1291" w:type="dxa"/>
          </w:tcPr>
          <w:p w14:paraId="6B217FA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0.98 (0.77, 1.25)</w:t>
            </w:r>
          </w:p>
          <w:p w14:paraId="7F2AC98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 =0.85</w:t>
            </w:r>
          </w:p>
        </w:tc>
        <w:tc>
          <w:tcPr>
            <w:tcW w:w="1292" w:type="dxa"/>
          </w:tcPr>
          <w:p w14:paraId="2781881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147/1065 (13.8)</w:t>
            </w:r>
          </w:p>
          <w:p w14:paraId="2F4E008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IR=8.6</w:t>
            </w:r>
          </w:p>
        </w:tc>
        <w:tc>
          <w:tcPr>
            <w:tcW w:w="1291" w:type="dxa"/>
          </w:tcPr>
          <w:p w14:paraId="5E76A9F5"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105/1062 (9.9)</w:t>
            </w:r>
          </w:p>
          <w:p w14:paraId="09630C5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IR=6.1</w:t>
            </w:r>
          </w:p>
        </w:tc>
        <w:tc>
          <w:tcPr>
            <w:tcW w:w="1292" w:type="dxa"/>
          </w:tcPr>
          <w:p w14:paraId="37DC8A58"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0.68 (0.53, 0.88)</w:t>
            </w:r>
          </w:p>
        </w:tc>
        <w:tc>
          <w:tcPr>
            <w:tcW w:w="1418" w:type="dxa"/>
          </w:tcPr>
          <w:p w14:paraId="22B422AB"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0.044</w:t>
            </w:r>
          </w:p>
        </w:tc>
      </w:tr>
      <w:tr w:rsidR="00B31A2E" w:rsidRPr="00C47BE6" w14:paraId="04BB95BE" w14:textId="77777777" w:rsidTr="009D7A7D">
        <w:tc>
          <w:tcPr>
            <w:tcW w:w="1844" w:type="dxa"/>
          </w:tcPr>
          <w:p w14:paraId="46854EBD" w14:textId="77777777" w:rsidR="00B31A2E" w:rsidRPr="00C47BE6" w:rsidRDefault="00B31A2E" w:rsidP="009D7A7D">
            <w:pPr>
              <w:spacing w:line="480" w:lineRule="auto"/>
              <w:rPr>
                <w:rFonts w:ascii="Times New Roman" w:hAnsi="Times New Roman" w:cs="Times New Roman"/>
                <w:sz w:val="24"/>
                <w:szCs w:val="24"/>
              </w:rPr>
            </w:pPr>
            <w:r w:rsidRPr="00C47BE6">
              <w:rPr>
                <w:rFonts w:ascii="Times New Roman" w:hAnsi="Times New Roman" w:cs="Times New Roman"/>
                <w:sz w:val="24"/>
                <w:szCs w:val="24"/>
              </w:rPr>
              <w:t>Serum potassium &gt;6.0 mmol/L **</w:t>
            </w:r>
          </w:p>
        </w:tc>
        <w:tc>
          <w:tcPr>
            <w:tcW w:w="1291" w:type="dxa"/>
          </w:tcPr>
          <w:p w14:paraId="032A95F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82/2937 (2.8)</w:t>
            </w:r>
          </w:p>
          <w:p w14:paraId="13C8988D"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IR=1.6</w:t>
            </w:r>
          </w:p>
        </w:tc>
        <w:tc>
          <w:tcPr>
            <w:tcW w:w="1291" w:type="dxa"/>
          </w:tcPr>
          <w:p w14:paraId="11910EF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47/2929 (1.6)</w:t>
            </w:r>
          </w:p>
          <w:p w14:paraId="04F753D4"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IR=0.9</w:t>
            </w:r>
          </w:p>
        </w:tc>
        <w:tc>
          <w:tcPr>
            <w:tcW w:w="1292" w:type="dxa"/>
          </w:tcPr>
          <w:p w14:paraId="1F578D7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0.56 (0.39, 0.80)</w:t>
            </w:r>
          </w:p>
          <w:p w14:paraId="7CD9B59C"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P =0.002</w:t>
            </w:r>
          </w:p>
        </w:tc>
        <w:tc>
          <w:tcPr>
            <w:tcW w:w="1291" w:type="dxa"/>
          </w:tcPr>
          <w:p w14:paraId="47191D27"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37/1837 (2.0)</w:t>
            </w:r>
          </w:p>
          <w:p w14:paraId="2980483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IR=1.2</w:t>
            </w:r>
          </w:p>
        </w:tc>
        <w:tc>
          <w:tcPr>
            <w:tcW w:w="1292" w:type="dxa"/>
          </w:tcPr>
          <w:p w14:paraId="395E76A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24/1842 (1.3)</w:t>
            </w:r>
          </w:p>
          <w:p w14:paraId="77FA283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IR=0.7</w:t>
            </w:r>
          </w:p>
        </w:tc>
        <w:tc>
          <w:tcPr>
            <w:tcW w:w="1291" w:type="dxa"/>
          </w:tcPr>
          <w:p w14:paraId="52E5165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0.62 (0.37, 1.04)</w:t>
            </w:r>
          </w:p>
        </w:tc>
        <w:tc>
          <w:tcPr>
            <w:tcW w:w="1292" w:type="dxa"/>
          </w:tcPr>
          <w:p w14:paraId="39965A46"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45/1100 (4.1)</w:t>
            </w:r>
          </w:p>
          <w:p w14:paraId="58120D63"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IR=2.4</w:t>
            </w:r>
          </w:p>
        </w:tc>
        <w:tc>
          <w:tcPr>
            <w:tcW w:w="1291" w:type="dxa"/>
          </w:tcPr>
          <w:p w14:paraId="479886A0"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23/1087 (2.1)</w:t>
            </w:r>
          </w:p>
          <w:p w14:paraId="41718509"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IR=1.2</w:t>
            </w:r>
          </w:p>
        </w:tc>
        <w:tc>
          <w:tcPr>
            <w:tcW w:w="1292" w:type="dxa"/>
          </w:tcPr>
          <w:p w14:paraId="3B098D1A"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0.51 (0.31, 0.84)</w:t>
            </w:r>
          </w:p>
        </w:tc>
        <w:tc>
          <w:tcPr>
            <w:tcW w:w="1418" w:type="dxa"/>
          </w:tcPr>
          <w:p w14:paraId="7876E852" w14:textId="77777777" w:rsidR="00B31A2E" w:rsidRPr="00C47BE6" w:rsidRDefault="00B31A2E" w:rsidP="009D7A7D">
            <w:pPr>
              <w:spacing w:line="480" w:lineRule="auto"/>
              <w:jc w:val="center"/>
              <w:rPr>
                <w:rFonts w:ascii="Times New Roman" w:hAnsi="Times New Roman" w:cs="Times New Roman"/>
                <w:sz w:val="24"/>
                <w:szCs w:val="24"/>
              </w:rPr>
            </w:pPr>
            <w:r w:rsidRPr="00C47BE6">
              <w:rPr>
                <w:rFonts w:ascii="Times New Roman" w:hAnsi="Times New Roman" w:cs="Times New Roman"/>
                <w:sz w:val="24"/>
                <w:szCs w:val="24"/>
              </w:rPr>
              <w:t>0.59</w:t>
            </w:r>
          </w:p>
        </w:tc>
      </w:tr>
    </w:tbl>
    <w:p w14:paraId="2B6C488E" w14:textId="77777777" w:rsidR="00B31A2E" w:rsidRPr="00C47BE6" w:rsidRDefault="00B31A2E" w:rsidP="00B31A2E">
      <w:pPr>
        <w:spacing w:after="0" w:line="240" w:lineRule="auto"/>
        <w:ind w:left="-992"/>
        <w:rPr>
          <w:rFonts w:ascii="Times New Roman" w:hAnsi="Times New Roman" w:cs="Times New Roman"/>
          <w:sz w:val="24"/>
          <w:szCs w:val="24"/>
        </w:rPr>
      </w:pPr>
      <w:r w:rsidRPr="00C47BE6">
        <w:rPr>
          <w:rFonts w:ascii="Times New Roman" w:hAnsi="Times New Roman" w:cs="Times New Roman"/>
          <w:sz w:val="24"/>
          <w:szCs w:val="24"/>
        </w:rPr>
        <w:t xml:space="preserve">The Cox model includes terms for age, sex, baseline eGFR, baseline LVEF, region, diabetes status, randomized treatment (empagliflozin or placebo), and for the subgroup analyses additionally baseline use of MRA, and treatment by MRA interaction. </w:t>
      </w:r>
    </w:p>
    <w:p w14:paraId="742841B4" w14:textId="77777777" w:rsidR="00B31A2E" w:rsidRPr="00C47BE6" w:rsidRDefault="00B31A2E" w:rsidP="00B31A2E">
      <w:pPr>
        <w:spacing w:after="0" w:line="240" w:lineRule="auto"/>
        <w:ind w:left="-992"/>
        <w:rPr>
          <w:rFonts w:ascii="Times New Roman" w:hAnsi="Times New Roman" w:cs="Times New Roman"/>
          <w:sz w:val="24"/>
          <w:szCs w:val="24"/>
        </w:rPr>
      </w:pPr>
      <w:r w:rsidRPr="00C47BE6">
        <w:rPr>
          <w:rFonts w:ascii="Times New Roman" w:hAnsi="Times New Roman" w:cs="Times New Roman"/>
          <w:sz w:val="24"/>
          <w:szCs w:val="24"/>
        </w:rPr>
        <w:t xml:space="preserve">Considered potassium binding drugs were sodium polystyrene sulfonate, calcium polystyrene sulfonate, </w:t>
      </w:r>
      <w:proofErr w:type="spellStart"/>
      <w:r w:rsidRPr="00C47BE6">
        <w:rPr>
          <w:rFonts w:ascii="Times New Roman" w:hAnsi="Times New Roman" w:cs="Times New Roman"/>
          <w:sz w:val="24"/>
          <w:szCs w:val="24"/>
        </w:rPr>
        <w:t>patiromer</w:t>
      </w:r>
      <w:proofErr w:type="spellEnd"/>
      <w:r w:rsidRPr="00C47BE6">
        <w:rPr>
          <w:rFonts w:ascii="Times New Roman" w:hAnsi="Times New Roman" w:cs="Times New Roman"/>
          <w:sz w:val="24"/>
          <w:szCs w:val="24"/>
        </w:rPr>
        <w:t xml:space="preserve">, </w:t>
      </w:r>
      <w:proofErr w:type="spellStart"/>
      <w:r w:rsidRPr="00C47BE6">
        <w:rPr>
          <w:rFonts w:ascii="Times New Roman" w:hAnsi="Times New Roman" w:cs="Times New Roman"/>
          <w:sz w:val="24"/>
          <w:szCs w:val="24"/>
        </w:rPr>
        <w:t>patiromer</w:t>
      </w:r>
      <w:proofErr w:type="spellEnd"/>
      <w:r w:rsidRPr="00C47BE6">
        <w:rPr>
          <w:rFonts w:ascii="Times New Roman" w:hAnsi="Times New Roman" w:cs="Times New Roman"/>
          <w:sz w:val="24"/>
          <w:szCs w:val="24"/>
        </w:rPr>
        <w:t xml:space="preserve"> (</w:t>
      </w:r>
      <w:proofErr w:type="spellStart"/>
      <w:r w:rsidRPr="00C47BE6">
        <w:rPr>
          <w:rFonts w:ascii="Times New Roman" w:hAnsi="Times New Roman" w:cs="Times New Roman"/>
          <w:sz w:val="24"/>
          <w:szCs w:val="24"/>
        </w:rPr>
        <w:t>sorbitex</w:t>
      </w:r>
      <w:proofErr w:type="spellEnd"/>
      <w:r w:rsidRPr="00C47BE6">
        <w:rPr>
          <w:rFonts w:ascii="Times New Roman" w:hAnsi="Times New Roman" w:cs="Times New Roman"/>
          <w:sz w:val="24"/>
          <w:szCs w:val="24"/>
        </w:rPr>
        <w:t xml:space="preserve">) calcium, zirconium silicate and sodium zirconium cyclosilicate. </w:t>
      </w:r>
    </w:p>
    <w:p w14:paraId="476D9997" w14:textId="466FC13D" w:rsidR="00B31A2E" w:rsidRPr="00C47BE6" w:rsidRDefault="00B31A2E" w:rsidP="00B31A2E">
      <w:pPr>
        <w:spacing w:after="0" w:line="240" w:lineRule="auto"/>
        <w:ind w:left="-992"/>
        <w:rPr>
          <w:rFonts w:ascii="Times New Roman" w:hAnsi="Times New Roman" w:cs="Times New Roman"/>
          <w:sz w:val="24"/>
          <w:szCs w:val="24"/>
        </w:rPr>
      </w:pPr>
      <w:r w:rsidRPr="00C47BE6">
        <w:rPr>
          <w:rFonts w:ascii="Times New Roman" w:hAnsi="Times New Roman" w:cs="Times New Roman"/>
          <w:sz w:val="24"/>
          <w:szCs w:val="24"/>
        </w:rPr>
        <w:t xml:space="preserve">†Only patients without use of potassium binder at baseline are considered. </w:t>
      </w:r>
      <w:r w:rsidRPr="00C47BE6">
        <w:rPr>
          <w:rFonts w:ascii="Times New Roman" w:hAnsi="Times New Roman" w:cs="Times New Roman"/>
          <w:sz w:val="24"/>
          <w:szCs w:val="24"/>
        </w:rPr>
        <w:br/>
        <w:t xml:space="preserve">*Analysis performed in patients with potassium level of &lt;5.5 mmol/L. **Analysis performed in patients with potassium level of &lt;6.0 mmol/L. </w:t>
      </w:r>
    </w:p>
    <w:p w14:paraId="52AA11CB" w14:textId="77777777" w:rsidR="00B31A2E" w:rsidRPr="00C47BE6" w:rsidRDefault="00B31A2E" w:rsidP="00B31A2E">
      <w:pPr>
        <w:spacing w:after="0" w:line="240" w:lineRule="auto"/>
        <w:ind w:left="-992"/>
        <w:rPr>
          <w:rFonts w:ascii="Times New Roman" w:hAnsi="Times New Roman" w:cs="Times New Roman"/>
          <w:sz w:val="24"/>
          <w:szCs w:val="24"/>
        </w:rPr>
      </w:pPr>
      <w:r w:rsidRPr="00C47BE6">
        <w:rPr>
          <w:rFonts w:ascii="Times New Roman" w:hAnsi="Times New Roman" w:cs="Times New Roman"/>
          <w:sz w:val="24"/>
          <w:szCs w:val="24"/>
        </w:rPr>
        <w:t>Shown are adverse events up to 7 days and serum potassium levels up to 3 days following discontinuation of the study medication.</w:t>
      </w:r>
      <w:r w:rsidRPr="00C47BE6" w:rsidDel="00C66F9B">
        <w:rPr>
          <w:rFonts w:ascii="Times New Roman" w:hAnsi="Times New Roman" w:cs="Times New Roman"/>
          <w:sz w:val="24"/>
          <w:szCs w:val="24"/>
        </w:rPr>
        <w:t xml:space="preserve"> </w:t>
      </w:r>
    </w:p>
    <w:p w14:paraId="31970786" w14:textId="77777777" w:rsidR="00B31A2E" w:rsidRDefault="00B31A2E"/>
    <w:sectPr w:rsidR="00B31A2E" w:rsidSect="003A28A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2E"/>
    <w:rsid w:val="000E0C52"/>
    <w:rsid w:val="000F12BD"/>
    <w:rsid w:val="0022590D"/>
    <w:rsid w:val="00311ACD"/>
    <w:rsid w:val="008B35B6"/>
    <w:rsid w:val="00B31A2E"/>
    <w:rsid w:val="00DC1564"/>
    <w:rsid w:val="00F965DD"/>
    <w:rsid w:val="00FF341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E282"/>
  <w15:chartTrackingRefBased/>
  <w15:docId w15:val="{1DD69011-ECFC-4490-843F-41469F9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12BD"/>
    <w:rPr>
      <w:sz w:val="16"/>
      <w:szCs w:val="16"/>
    </w:rPr>
  </w:style>
  <w:style w:type="paragraph" w:styleId="Commentaire">
    <w:name w:val="annotation text"/>
    <w:basedOn w:val="Normal"/>
    <w:link w:val="CommentaireCar"/>
    <w:uiPriority w:val="99"/>
    <w:semiHidden/>
    <w:unhideWhenUsed/>
    <w:rsid w:val="000F12BD"/>
    <w:pPr>
      <w:spacing w:line="240" w:lineRule="auto"/>
    </w:pPr>
    <w:rPr>
      <w:sz w:val="20"/>
      <w:szCs w:val="20"/>
    </w:rPr>
  </w:style>
  <w:style w:type="character" w:customStyle="1" w:styleId="CommentaireCar">
    <w:name w:val="Commentaire Car"/>
    <w:basedOn w:val="Policepardfaut"/>
    <w:link w:val="Commentaire"/>
    <w:uiPriority w:val="99"/>
    <w:semiHidden/>
    <w:rsid w:val="000F12BD"/>
    <w:rPr>
      <w:sz w:val="20"/>
      <w:szCs w:val="20"/>
    </w:rPr>
  </w:style>
  <w:style w:type="paragraph" w:styleId="Objetducommentaire">
    <w:name w:val="annotation subject"/>
    <w:basedOn w:val="Commentaire"/>
    <w:next w:val="Commentaire"/>
    <w:link w:val="ObjetducommentaireCar"/>
    <w:uiPriority w:val="99"/>
    <w:semiHidden/>
    <w:unhideWhenUsed/>
    <w:rsid w:val="000F12BD"/>
    <w:rPr>
      <w:b/>
      <w:bCs/>
    </w:rPr>
  </w:style>
  <w:style w:type="character" w:customStyle="1" w:styleId="ObjetducommentaireCar">
    <w:name w:val="Objet du commentaire Car"/>
    <w:basedOn w:val="CommentaireCar"/>
    <w:link w:val="Objetducommentaire"/>
    <w:uiPriority w:val="99"/>
    <w:semiHidden/>
    <w:rsid w:val="000F12BD"/>
    <w:rPr>
      <w:b/>
      <w:bCs/>
      <w:sz w:val="20"/>
      <w:szCs w:val="20"/>
    </w:rPr>
  </w:style>
  <w:style w:type="paragraph" w:styleId="Rvision">
    <w:name w:val="Revision"/>
    <w:hidden/>
    <w:uiPriority w:val="99"/>
    <w:semiHidden/>
    <w:rsid w:val="000E0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E07FD03048543840440A36D86068B" ma:contentTypeVersion="16" ma:contentTypeDescription="Create a new document." ma:contentTypeScope="" ma:versionID="ee0aacae7c9cb501e98457ead9cfeca2">
  <xsd:schema xmlns:xsd="http://www.w3.org/2001/XMLSchema" xmlns:xs="http://www.w3.org/2001/XMLSchema" xmlns:p="http://schemas.microsoft.com/office/2006/metadata/properties" xmlns:ns2="b65216f0-f428-42a7-9c8f-754749f300df" xmlns:ns3="d93d0c5f-365f-43d4-9a0c-e9cc1a6fe1a4" targetNamespace="http://schemas.microsoft.com/office/2006/metadata/properties" ma:root="true" ma:fieldsID="9a047b45dcca4643e3fcefdb665bd651" ns2:_="" ns3:_="">
    <xsd:import namespace="b65216f0-f428-42a7-9c8f-754749f300df"/>
    <xsd:import namespace="d93d0c5f-365f-43d4-9a0c-e9cc1a6fe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otes" minOccurs="0"/>
                <xsd:element ref="ns2:Comments"/>
                <xsd:element ref="ns2:Comments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16f0-f428-42a7-9c8f-754749f3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Note">
          <xsd:maxLength value="255"/>
        </xsd:restriction>
      </xsd:simpleType>
    </xsd:element>
    <xsd:element name="Comments" ma:index="22" ma:displayName="Comments" ma:default="Comment?" ma:format="Dropdown" ma:internalName="Comments">
      <xsd:simpleType>
        <xsd:restriction base="dms:Note">
          <xsd:maxLength value="255"/>
        </xsd:restriction>
      </xsd:simpleType>
    </xsd:element>
    <xsd:element name="Comments2" ma:index="23" nillable="true" ma:displayName="Comments 2" ma:format="Dropdown" ma:internalName="Comments2">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d0c5f-365f-43d4-9a0c-e9cc1a6fe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65216f0-f428-42a7-9c8f-754749f300df">Comment?</Comments>
    <Comments2 xmlns="b65216f0-f428-42a7-9c8f-754749f300df" xsi:nil="true"/>
    <Notes xmlns="b65216f0-f428-42a7-9c8f-754749f300df" xsi:nil="true"/>
  </documentManagement>
</p:properties>
</file>

<file path=customXml/itemProps1.xml><?xml version="1.0" encoding="utf-8"?>
<ds:datastoreItem xmlns:ds="http://schemas.openxmlformats.org/officeDocument/2006/customXml" ds:itemID="{B3345104-49A8-4FAF-ABBD-8E98B944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16f0-f428-42a7-9c8f-754749f300df"/>
    <ds:schemaRef ds:uri="d93d0c5f-365f-43d4-9a0c-e9cc1a6f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9190D-DEA8-4E4C-A69C-BACD181DA592}">
  <ds:schemaRefs>
    <ds:schemaRef ds:uri="http://schemas.microsoft.com/sharepoint/v3/contenttype/forms"/>
  </ds:schemaRefs>
</ds:datastoreItem>
</file>

<file path=customXml/itemProps3.xml><?xml version="1.0" encoding="utf-8"?>
<ds:datastoreItem xmlns:ds="http://schemas.openxmlformats.org/officeDocument/2006/customXml" ds:itemID="{303AE76A-2C97-46C8-BFC3-E40E56559246}">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d93d0c5f-365f-43d4-9a0c-e9cc1a6fe1a4"/>
    <ds:schemaRef ds:uri="http://schemas.microsoft.com/office/2006/metadata/properties"/>
    <ds:schemaRef ds:uri="b65216f0-f428-42a7-9c8f-754749f300d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ferreira</dc:creator>
  <cp:keywords/>
  <dc:description/>
  <cp:lastModifiedBy>Erwan BOZEC</cp:lastModifiedBy>
  <cp:revision>2</cp:revision>
  <dcterms:created xsi:type="dcterms:W3CDTF">2022-03-25T15:25:00Z</dcterms:created>
  <dcterms:modified xsi:type="dcterms:W3CDTF">2022-03-25T15:25:00Z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0x0101000E2E07FD03048543840440A36D86068B</vt:lpwstr>
  </property>
  <property fmtid="{D5CDD505-2E9C-101B-9397-08002B2CF9AE}" pid="3" name="MSIP_Label_549ac42a-3eb4-4074-b885-aea26bd6241e_Enabled">
    <vt:lpwstr>true</vt:lpwstr>
  </property>
  <property fmtid="{D5CDD505-2E9C-101B-9397-08002B2CF9AE}" pid="4" name="MSIP_Label_549ac42a-3eb4-4074-b885-aea26bd6241e_SetDate">
    <vt:lpwstr>2022-02-18T23:17:25Z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49a8f74b-bf24-45ce-9b5f-c80706131227</vt:lpwstr>
  </property>
  <property fmtid="{D5CDD505-2E9C-101B-9397-08002B2CF9AE}" pid="9" name="MSIP_Label_549ac42a-3eb4-4074-b885-aea26bd6241e_ContentBits">
    <vt:lpwstr>0</vt:lpwstr>
  </property>
</Properties>
</file>