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2509" w14:textId="37071A79" w:rsidR="00807527" w:rsidRPr="0003073C" w:rsidRDefault="00CF4D53" w:rsidP="007419B4">
      <w:pPr>
        <w:widowControl w:val="0"/>
        <w:tabs>
          <w:tab w:val="left" w:pos="7938"/>
        </w:tabs>
        <w:spacing w:line="480" w:lineRule="auto"/>
        <w:ind w:right="465"/>
        <w:rPr>
          <w:rFonts w:eastAsia="Century"/>
          <w:b/>
          <w:lang w:val="en-US" w:eastAsia="en-US"/>
        </w:rPr>
      </w:pPr>
      <w:r w:rsidRPr="0003073C">
        <w:rPr>
          <w:rFonts w:eastAsia="Century"/>
          <w:b/>
          <w:lang w:val="en-US" w:eastAsia="en-US"/>
        </w:rPr>
        <w:t>Effects of c</w:t>
      </w:r>
      <w:r w:rsidR="00AF7E81" w:rsidRPr="0003073C">
        <w:rPr>
          <w:rFonts w:eastAsia="Century"/>
          <w:b/>
          <w:lang w:val="en-US" w:eastAsia="en-US"/>
        </w:rPr>
        <w:t xml:space="preserve">ombined </w:t>
      </w:r>
      <w:r w:rsidRPr="0003073C">
        <w:rPr>
          <w:rFonts w:eastAsia="Century"/>
          <w:b/>
          <w:lang w:val="en-US" w:eastAsia="en-US"/>
        </w:rPr>
        <w:t>RAAS inhibitor and beta-blocker</w:t>
      </w:r>
      <w:r w:rsidR="00352DA0" w:rsidRPr="0003073C">
        <w:rPr>
          <w:rFonts w:eastAsia="Century"/>
          <w:b/>
          <w:lang w:val="en-US" w:eastAsia="en-US"/>
        </w:rPr>
        <w:t xml:space="preserve"> </w:t>
      </w:r>
      <w:r w:rsidR="0031093A" w:rsidRPr="0003073C">
        <w:rPr>
          <w:rFonts w:eastAsia="Century"/>
          <w:b/>
          <w:lang w:val="en-US" w:eastAsia="en-US"/>
        </w:rPr>
        <w:t>treatment on</w:t>
      </w:r>
      <w:r w:rsidR="00807527" w:rsidRPr="0003073C">
        <w:rPr>
          <w:rFonts w:eastAsia="Century"/>
          <w:b/>
          <w:lang w:val="en-US" w:eastAsia="en-US"/>
        </w:rPr>
        <w:t xml:space="preserve"> outcomes in heart failure with reduced ejection fraction: Insights from BIOSTAT-CHF and ASIAN-HF registries</w:t>
      </w:r>
    </w:p>
    <w:p w14:paraId="2A4A9953" w14:textId="0AE8D4A8" w:rsidR="0090627E" w:rsidRPr="0003073C" w:rsidRDefault="0090627E" w:rsidP="007419B4">
      <w:pPr>
        <w:widowControl w:val="0"/>
        <w:tabs>
          <w:tab w:val="left" w:pos="7938"/>
        </w:tabs>
        <w:spacing w:line="480" w:lineRule="auto"/>
        <w:ind w:right="465"/>
        <w:rPr>
          <w:rFonts w:eastAsia="Century"/>
          <w:b/>
          <w:lang w:val="en-US" w:eastAsia="en-US"/>
        </w:rPr>
      </w:pPr>
    </w:p>
    <w:p w14:paraId="16476C75" w14:textId="488A1626" w:rsidR="003F3AE7" w:rsidRPr="0003073C" w:rsidRDefault="00967BB7" w:rsidP="007419B4">
      <w:pPr>
        <w:pStyle w:val="Default"/>
        <w:rPr>
          <w:color w:val="auto"/>
          <w:lang w:val="en-US"/>
        </w:rPr>
      </w:pPr>
      <w:r w:rsidRPr="0003073C">
        <w:rPr>
          <w:rFonts w:eastAsia="Calibri"/>
          <w:color w:val="auto"/>
          <w:sz w:val="18"/>
          <w:szCs w:val="18"/>
          <w:vertAlign w:val="superscript"/>
          <w:lang w:val="en-US"/>
        </w:rPr>
        <w:t>†</w:t>
      </w:r>
      <w:r w:rsidR="003E4D84" w:rsidRPr="0003073C">
        <w:rPr>
          <w:rFonts w:eastAsia="Calibri"/>
          <w:color w:val="auto"/>
          <w:sz w:val="18"/>
          <w:szCs w:val="18"/>
          <w:lang w:val="en-US"/>
        </w:rPr>
        <w:t>Wouter Ouwerkerk</w:t>
      </w:r>
      <w:r w:rsidR="00B33EA5" w:rsidRPr="0003073C">
        <w:rPr>
          <w:rFonts w:eastAsia="Calibri"/>
          <w:color w:val="auto"/>
          <w:sz w:val="18"/>
          <w:szCs w:val="18"/>
          <w:lang w:val="en-US"/>
        </w:rPr>
        <w:t xml:space="preserve"> PhD</w:t>
      </w:r>
      <w:r w:rsidR="003E4D84" w:rsidRPr="0003073C">
        <w:rPr>
          <w:rFonts w:eastAsia="Calibri"/>
          <w:color w:val="auto"/>
          <w:sz w:val="18"/>
          <w:szCs w:val="18"/>
          <w:vertAlign w:val="superscript"/>
          <w:lang w:val="en-US"/>
        </w:rPr>
        <w:t>1,</w:t>
      </w:r>
      <w:r w:rsidR="00986FB4" w:rsidRPr="0003073C">
        <w:rPr>
          <w:rFonts w:eastAsia="Calibri"/>
          <w:color w:val="auto"/>
          <w:sz w:val="18"/>
          <w:szCs w:val="18"/>
          <w:vertAlign w:val="superscript"/>
          <w:lang w:val="en-US"/>
        </w:rPr>
        <w:t>2</w:t>
      </w:r>
      <w:r w:rsidR="00986FB4" w:rsidRPr="0003073C">
        <w:rPr>
          <w:rFonts w:eastAsia="Calibri"/>
          <w:color w:val="auto"/>
          <w:sz w:val="18"/>
          <w:szCs w:val="18"/>
          <w:lang w:val="en-US"/>
        </w:rPr>
        <w:t xml:space="preserve">, </w:t>
      </w:r>
      <w:r w:rsidRPr="0003073C">
        <w:rPr>
          <w:rFonts w:eastAsia="Calibri"/>
          <w:color w:val="auto"/>
          <w:sz w:val="18"/>
          <w:szCs w:val="18"/>
          <w:vertAlign w:val="superscript"/>
          <w:lang w:val="en-US"/>
        </w:rPr>
        <w:t>†</w:t>
      </w:r>
      <w:proofErr w:type="spellStart"/>
      <w:r w:rsidR="003E4D84" w:rsidRPr="0003073C">
        <w:rPr>
          <w:color w:val="auto"/>
          <w:sz w:val="18"/>
          <w:szCs w:val="18"/>
          <w:lang w:val="en-US"/>
        </w:rPr>
        <w:t>Tiew-Hwa</w:t>
      </w:r>
      <w:proofErr w:type="spellEnd"/>
      <w:r w:rsidR="003E4D84" w:rsidRPr="0003073C">
        <w:rPr>
          <w:color w:val="auto"/>
          <w:sz w:val="18"/>
          <w:szCs w:val="18"/>
          <w:lang w:val="en-US"/>
        </w:rPr>
        <w:t xml:space="preserve"> K </w:t>
      </w:r>
      <w:proofErr w:type="spellStart"/>
      <w:r w:rsidR="003E4D84" w:rsidRPr="0003073C">
        <w:rPr>
          <w:color w:val="auto"/>
          <w:sz w:val="18"/>
          <w:szCs w:val="18"/>
          <w:lang w:val="en-US"/>
        </w:rPr>
        <w:t>Teng</w:t>
      </w:r>
      <w:proofErr w:type="spellEnd"/>
      <w:r w:rsidR="00B33EA5" w:rsidRPr="0003073C">
        <w:rPr>
          <w:color w:val="auto"/>
          <w:sz w:val="18"/>
          <w:szCs w:val="18"/>
          <w:lang w:val="en-US"/>
        </w:rPr>
        <w:t xml:space="preserve"> PhD</w:t>
      </w:r>
      <w:r w:rsidR="005F1B99" w:rsidRPr="0003073C">
        <w:rPr>
          <w:color w:val="auto"/>
          <w:sz w:val="18"/>
          <w:szCs w:val="18"/>
          <w:vertAlign w:val="superscript"/>
          <w:lang w:val="en-US"/>
        </w:rPr>
        <w:t>1,</w:t>
      </w:r>
      <w:r w:rsidR="00C62437" w:rsidRPr="0003073C">
        <w:rPr>
          <w:color w:val="auto"/>
          <w:sz w:val="18"/>
          <w:szCs w:val="18"/>
          <w:vertAlign w:val="superscript"/>
          <w:lang w:val="en-US"/>
        </w:rPr>
        <w:t>3</w:t>
      </w:r>
      <w:r w:rsidR="00581024" w:rsidRPr="0003073C">
        <w:rPr>
          <w:color w:val="auto"/>
          <w:sz w:val="18"/>
          <w:szCs w:val="18"/>
          <w:vertAlign w:val="superscript"/>
          <w:lang w:val="en-US"/>
        </w:rPr>
        <w:t>,4</w:t>
      </w:r>
      <w:r w:rsidR="003E4D84" w:rsidRPr="0003073C">
        <w:rPr>
          <w:color w:val="auto"/>
          <w:sz w:val="18"/>
          <w:szCs w:val="18"/>
          <w:lang w:val="en-US"/>
        </w:rPr>
        <w:t>, Jasper Tromp</w:t>
      </w:r>
      <w:r w:rsidR="00B33EA5" w:rsidRPr="0003073C">
        <w:rPr>
          <w:color w:val="auto"/>
          <w:sz w:val="18"/>
          <w:szCs w:val="18"/>
          <w:lang w:val="en-US"/>
        </w:rPr>
        <w:t xml:space="preserve"> MD PhD</w:t>
      </w:r>
      <w:r w:rsidR="00B33EA5" w:rsidRPr="0003073C">
        <w:rPr>
          <w:color w:val="auto"/>
          <w:sz w:val="18"/>
          <w:szCs w:val="18"/>
          <w:vertAlign w:val="superscript"/>
          <w:lang w:val="en-US"/>
        </w:rPr>
        <w:t xml:space="preserve"> </w:t>
      </w:r>
      <w:r w:rsidR="005F1B99" w:rsidRPr="0003073C">
        <w:rPr>
          <w:color w:val="auto"/>
          <w:sz w:val="18"/>
          <w:szCs w:val="18"/>
          <w:vertAlign w:val="superscript"/>
          <w:lang w:val="en-US"/>
        </w:rPr>
        <w:t>1,</w:t>
      </w:r>
      <w:r w:rsidR="00C62437" w:rsidRPr="0003073C">
        <w:rPr>
          <w:color w:val="auto"/>
          <w:sz w:val="18"/>
          <w:szCs w:val="18"/>
          <w:vertAlign w:val="superscript"/>
          <w:lang w:val="en-US"/>
        </w:rPr>
        <w:t>4</w:t>
      </w:r>
      <w:r w:rsidR="005F1B99" w:rsidRPr="0003073C">
        <w:rPr>
          <w:color w:val="auto"/>
          <w:sz w:val="18"/>
          <w:szCs w:val="18"/>
          <w:vertAlign w:val="superscript"/>
          <w:lang w:val="en-US"/>
        </w:rPr>
        <w:t>,</w:t>
      </w:r>
      <w:r w:rsidR="00C62437" w:rsidRPr="0003073C">
        <w:rPr>
          <w:color w:val="auto"/>
          <w:sz w:val="18"/>
          <w:szCs w:val="18"/>
          <w:vertAlign w:val="superscript"/>
          <w:lang w:val="en-US"/>
        </w:rPr>
        <w:t>5</w:t>
      </w:r>
      <w:r w:rsidR="003E4D84" w:rsidRPr="0003073C">
        <w:rPr>
          <w:color w:val="auto"/>
          <w:sz w:val="18"/>
          <w:szCs w:val="18"/>
          <w:lang w:val="en-US"/>
        </w:rPr>
        <w:t xml:space="preserve">, Wan Ting </w:t>
      </w:r>
      <w:proofErr w:type="spellStart"/>
      <w:r w:rsidR="003E4D84" w:rsidRPr="0003073C">
        <w:rPr>
          <w:color w:val="auto"/>
          <w:sz w:val="18"/>
          <w:szCs w:val="18"/>
          <w:lang w:val="en-US"/>
        </w:rPr>
        <w:t>Tay</w:t>
      </w:r>
      <w:proofErr w:type="spellEnd"/>
      <w:r w:rsidR="00B33EA5" w:rsidRPr="0003073C">
        <w:rPr>
          <w:color w:val="auto"/>
          <w:sz w:val="18"/>
          <w:szCs w:val="18"/>
          <w:lang w:val="en-US"/>
        </w:rPr>
        <w:t xml:space="preserve"> MSc</w:t>
      </w:r>
      <w:r w:rsidR="005F1B99" w:rsidRPr="0003073C">
        <w:rPr>
          <w:color w:val="auto"/>
          <w:sz w:val="18"/>
          <w:szCs w:val="18"/>
          <w:vertAlign w:val="superscript"/>
          <w:lang w:val="en-US"/>
        </w:rPr>
        <w:t>1</w:t>
      </w:r>
      <w:r w:rsidR="003E4D84" w:rsidRPr="0003073C">
        <w:rPr>
          <w:color w:val="auto"/>
          <w:sz w:val="18"/>
          <w:szCs w:val="18"/>
          <w:lang w:val="en-US"/>
        </w:rPr>
        <w:t>,</w:t>
      </w:r>
      <w:r w:rsidR="00A972B5" w:rsidRPr="0003073C">
        <w:rPr>
          <w:rFonts w:eastAsia="Times New Roman"/>
          <w:color w:val="auto"/>
          <w:sz w:val="18"/>
          <w:szCs w:val="18"/>
          <w:lang w:val="en-US"/>
        </w:rPr>
        <w:t xml:space="preserve"> </w:t>
      </w:r>
      <w:r w:rsidR="00C62437" w:rsidRPr="0003073C">
        <w:rPr>
          <w:color w:val="auto"/>
          <w:sz w:val="18"/>
          <w:szCs w:val="18"/>
          <w:lang w:val="en-US"/>
        </w:rPr>
        <w:t>John G. Cleland MD PhD</w:t>
      </w:r>
      <w:r w:rsidR="00AD0635" w:rsidRPr="0003073C">
        <w:rPr>
          <w:color w:val="auto"/>
          <w:sz w:val="18"/>
          <w:szCs w:val="18"/>
          <w:vertAlign w:val="superscript"/>
          <w:lang w:val="en-US"/>
        </w:rPr>
        <w:t>6</w:t>
      </w:r>
      <w:r w:rsidR="00C62437" w:rsidRPr="0003073C">
        <w:rPr>
          <w:color w:val="auto"/>
          <w:sz w:val="18"/>
          <w:szCs w:val="18"/>
          <w:lang w:val="en-US"/>
        </w:rPr>
        <w:t xml:space="preserve">, Dirk J. van </w:t>
      </w:r>
      <w:proofErr w:type="spellStart"/>
      <w:r w:rsidR="00C62437" w:rsidRPr="0003073C">
        <w:rPr>
          <w:color w:val="auto"/>
          <w:sz w:val="18"/>
          <w:szCs w:val="18"/>
          <w:lang w:val="en-US"/>
        </w:rPr>
        <w:t>Veldhuisen</w:t>
      </w:r>
      <w:proofErr w:type="spellEnd"/>
      <w:r w:rsidR="00C62437" w:rsidRPr="0003073C">
        <w:rPr>
          <w:color w:val="auto"/>
          <w:sz w:val="18"/>
          <w:szCs w:val="18"/>
          <w:lang w:val="en-US"/>
        </w:rPr>
        <w:t xml:space="preserve"> MD PhD</w:t>
      </w:r>
      <w:r w:rsidR="009273AC" w:rsidRPr="0003073C">
        <w:rPr>
          <w:color w:val="auto"/>
          <w:sz w:val="18"/>
          <w:szCs w:val="18"/>
          <w:vertAlign w:val="superscript"/>
          <w:lang w:val="en-US"/>
        </w:rPr>
        <w:t>4</w:t>
      </w:r>
      <w:r w:rsidR="00C62437" w:rsidRPr="0003073C">
        <w:rPr>
          <w:color w:val="auto"/>
          <w:sz w:val="18"/>
          <w:szCs w:val="18"/>
          <w:lang w:val="en-US"/>
        </w:rPr>
        <w:t>, Kenneth Dickstein MD PhD</w:t>
      </w:r>
      <w:r w:rsidR="009273AC" w:rsidRPr="0003073C">
        <w:rPr>
          <w:color w:val="auto"/>
          <w:sz w:val="18"/>
          <w:szCs w:val="18"/>
          <w:vertAlign w:val="superscript"/>
          <w:lang w:val="en-US"/>
        </w:rPr>
        <w:t>7</w:t>
      </w:r>
      <w:r w:rsidR="00AD0635" w:rsidRPr="0003073C">
        <w:rPr>
          <w:color w:val="auto"/>
          <w:sz w:val="18"/>
          <w:szCs w:val="18"/>
          <w:vertAlign w:val="superscript"/>
          <w:lang w:val="en-US"/>
        </w:rPr>
        <w:t>,8</w:t>
      </w:r>
      <w:r w:rsidR="00C62437" w:rsidRPr="0003073C">
        <w:rPr>
          <w:color w:val="auto"/>
          <w:sz w:val="18"/>
          <w:szCs w:val="18"/>
          <w:lang w:val="en-US"/>
        </w:rPr>
        <w:t>, Leong L. Ng MD PhD</w:t>
      </w:r>
      <w:r w:rsidR="00AD0635" w:rsidRPr="0003073C">
        <w:rPr>
          <w:color w:val="auto"/>
          <w:sz w:val="18"/>
          <w:szCs w:val="18"/>
          <w:vertAlign w:val="superscript"/>
          <w:lang w:val="en-US"/>
        </w:rPr>
        <w:t>9</w:t>
      </w:r>
      <w:r w:rsidR="00C62437" w:rsidRPr="0003073C">
        <w:rPr>
          <w:color w:val="auto"/>
          <w:sz w:val="18"/>
          <w:szCs w:val="18"/>
          <w:lang w:val="en-US"/>
        </w:rPr>
        <w:t xml:space="preserve">, </w:t>
      </w:r>
    </w:p>
    <w:p w14:paraId="558EF3DE" w14:textId="1FF2A947" w:rsidR="003E4D84" w:rsidRPr="0003073C" w:rsidRDefault="003F3AE7" w:rsidP="007419B4">
      <w:pPr>
        <w:pStyle w:val="Default"/>
        <w:rPr>
          <w:color w:val="auto"/>
          <w:sz w:val="18"/>
          <w:szCs w:val="18"/>
          <w:lang w:val="en-US"/>
        </w:rPr>
      </w:pPr>
      <w:r w:rsidRPr="0003073C">
        <w:rPr>
          <w:color w:val="auto"/>
          <w:sz w:val="18"/>
          <w:szCs w:val="18"/>
          <w:lang w:val="en-US"/>
        </w:rPr>
        <w:t xml:space="preserve"> Chim C. Lang MD PhD</w:t>
      </w:r>
      <w:r w:rsidRPr="0003073C">
        <w:rPr>
          <w:color w:val="auto"/>
          <w:sz w:val="18"/>
          <w:szCs w:val="18"/>
          <w:vertAlign w:val="superscript"/>
          <w:lang w:val="en-US"/>
        </w:rPr>
        <w:t>10</w:t>
      </w:r>
      <w:r w:rsidRPr="0003073C">
        <w:rPr>
          <w:color w:val="auto"/>
          <w:sz w:val="18"/>
          <w:szCs w:val="18"/>
          <w:lang w:val="en-US"/>
        </w:rPr>
        <w:t>, Stefan D. Anker, MD PhD</w:t>
      </w:r>
      <w:r w:rsidRPr="0003073C">
        <w:rPr>
          <w:color w:val="auto"/>
          <w:sz w:val="18"/>
          <w:szCs w:val="18"/>
          <w:vertAlign w:val="superscript"/>
          <w:lang w:val="en-US"/>
        </w:rPr>
        <w:t>11</w:t>
      </w:r>
      <w:r w:rsidRPr="0003073C">
        <w:rPr>
          <w:color w:val="auto"/>
          <w:sz w:val="18"/>
          <w:szCs w:val="18"/>
          <w:lang w:val="en-US"/>
        </w:rPr>
        <w:t xml:space="preserve">, </w:t>
      </w:r>
      <w:proofErr w:type="spellStart"/>
      <w:r w:rsidR="00C62437" w:rsidRPr="0003073C">
        <w:rPr>
          <w:color w:val="auto"/>
          <w:sz w:val="18"/>
          <w:szCs w:val="18"/>
          <w:lang w:val="en-US"/>
        </w:rPr>
        <w:t>Faiez</w:t>
      </w:r>
      <w:proofErr w:type="spellEnd"/>
      <w:r w:rsidR="00C62437" w:rsidRPr="0003073C">
        <w:rPr>
          <w:color w:val="auto"/>
          <w:sz w:val="18"/>
          <w:szCs w:val="18"/>
          <w:lang w:val="en-US"/>
        </w:rPr>
        <w:t xml:space="preserve"> Zannad MD PhD</w:t>
      </w:r>
      <w:r w:rsidR="00AD0635" w:rsidRPr="0003073C">
        <w:rPr>
          <w:color w:val="auto"/>
          <w:sz w:val="18"/>
          <w:szCs w:val="18"/>
          <w:vertAlign w:val="superscript"/>
          <w:lang w:val="en-US"/>
        </w:rPr>
        <w:t>1</w:t>
      </w:r>
      <w:r w:rsidR="001E0801" w:rsidRPr="0003073C">
        <w:rPr>
          <w:color w:val="auto"/>
          <w:sz w:val="18"/>
          <w:szCs w:val="18"/>
          <w:vertAlign w:val="superscript"/>
          <w:lang w:val="en-US"/>
        </w:rPr>
        <w:t>2</w:t>
      </w:r>
      <w:r w:rsidR="00C62437" w:rsidRPr="0003073C">
        <w:rPr>
          <w:color w:val="auto"/>
          <w:sz w:val="18"/>
          <w:szCs w:val="18"/>
          <w:lang w:val="en-US"/>
        </w:rPr>
        <w:t>,</w:t>
      </w:r>
      <w:r w:rsidR="00C62437" w:rsidRPr="0003073C">
        <w:rPr>
          <w:color w:val="auto"/>
          <w:sz w:val="18"/>
          <w:szCs w:val="18"/>
          <w:vertAlign w:val="superscript"/>
          <w:lang w:val="en-US"/>
        </w:rPr>
        <w:t xml:space="preserve"> </w:t>
      </w:r>
      <w:r w:rsidR="00A972B5" w:rsidRPr="0003073C">
        <w:rPr>
          <w:rFonts w:eastAsia="Times New Roman"/>
          <w:color w:val="auto"/>
          <w:sz w:val="18"/>
          <w:szCs w:val="18"/>
          <w:lang w:val="en-US"/>
        </w:rPr>
        <w:t>Chung-</w:t>
      </w:r>
      <w:proofErr w:type="spellStart"/>
      <w:r w:rsidR="00A972B5" w:rsidRPr="0003073C">
        <w:rPr>
          <w:rFonts w:eastAsia="Times New Roman"/>
          <w:color w:val="auto"/>
          <w:sz w:val="18"/>
          <w:szCs w:val="18"/>
          <w:lang w:val="en-US"/>
        </w:rPr>
        <w:t>Lieh</w:t>
      </w:r>
      <w:proofErr w:type="spellEnd"/>
      <w:r w:rsidR="00A972B5" w:rsidRPr="0003073C">
        <w:rPr>
          <w:rFonts w:eastAsia="Times New Roman"/>
          <w:color w:val="auto"/>
          <w:sz w:val="18"/>
          <w:szCs w:val="18"/>
          <w:lang w:val="en-US"/>
        </w:rPr>
        <w:t xml:space="preserve"> Hung MD PhD</w:t>
      </w:r>
      <w:r w:rsidR="00AD0635" w:rsidRPr="0003073C">
        <w:rPr>
          <w:rFonts w:eastAsia="Times New Roman"/>
          <w:color w:val="auto"/>
          <w:sz w:val="18"/>
          <w:szCs w:val="18"/>
          <w:vertAlign w:val="superscript"/>
          <w:lang w:val="en-US"/>
        </w:rPr>
        <w:t>1</w:t>
      </w:r>
      <w:r w:rsidR="001E0801" w:rsidRPr="0003073C">
        <w:rPr>
          <w:rFonts w:eastAsia="Times New Roman"/>
          <w:color w:val="auto"/>
          <w:sz w:val="18"/>
          <w:szCs w:val="18"/>
          <w:vertAlign w:val="superscript"/>
          <w:lang w:val="en-US"/>
        </w:rPr>
        <w:t>3</w:t>
      </w:r>
      <w:proofErr w:type="gramStart"/>
      <w:r w:rsidR="00AD0635" w:rsidRPr="0003073C">
        <w:rPr>
          <w:rFonts w:eastAsia="Times New Roman"/>
          <w:color w:val="auto"/>
          <w:sz w:val="18"/>
          <w:szCs w:val="18"/>
          <w:vertAlign w:val="superscript"/>
          <w:lang w:val="en-US"/>
        </w:rPr>
        <w:t>,</w:t>
      </w:r>
      <w:r w:rsidR="00A972B5" w:rsidRPr="0003073C">
        <w:rPr>
          <w:rFonts w:eastAsia="Times New Roman"/>
          <w:color w:val="auto"/>
          <w:sz w:val="18"/>
          <w:szCs w:val="18"/>
          <w:vertAlign w:val="superscript"/>
          <w:lang w:val="en-US"/>
        </w:rPr>
        <w:t>1</w:t>
      </w:r>
      <w:r w:rsidR="001E0801" w:rsidRPr="0003073C">
        <w:rPr>
          <w:rFonts w:eastAsia="Times New Roman"/>
          <w:color w:val="auto"/>
          <w:sz w:val="18"/>
          <w:szCs w:val="18"/>
          <w:vertAlign w:val="superscript"/>
          <w:lang w:val="en-US"/>
        </w:rPr>
        <w:t>4</w:t>
      </w:r>
      <w:proofErr w:type="gramEnd"/>
      <w:r w:rsidR="00A972B5" w:rsidRPr="0003073C">
        <w:rPr>
          <w:rFonts w:eastAsia="Times New Roman"/>
          <w:color w:val="auto"/>
          <w:sz w:val="18"/>
          <w:szCs w:val="18"/>
          <w:lang w:val="en-US"/>
        </w:rPr>
        <w:t>,</w:t>
      </w:r>
      <w:r w:rsidR="003E4D84" w:rsidRPr="0003073C">
        <w:rPr>
          <w:color w:val="auto"/>
          <w:sz w:val="18"/>
          <w:szCs w:val="18"/>
          <w:lang w:val="en-US"/>
        </w:rPr>
        <w:t xml:space="preserve"> </w:t>
      </w:r>
      <w:r w:rsidR="00BF3998" w:rsidRPr="0003073C">
        <w:rPr>
          <w:rFonts w:eastAsia="Times New Roman"/>
          <w:color w:val="auto"/>
          <w:sz w:val="18"/>
          <w:szCs w:val="18"/>
          <w:lang w:val="en-US"/>
        </w:rPr>
        <w:t xml:space="preserve">J.P.S. </w:t>
      </w:r>
      <w:proofErr w:type="spellStart"/>
      <w:r w:rsidR="00BF3998" w:rsidRPr="0003073C">
        <w:rPr>
          <w:rFonts w:eastAsia="Times New Roman"/>
          <w:color w:val="auto"/>
          <w:sz w:val="18"/>
          <w:szCs w:val="18"/>
          <w:lang w:val="en-US"/>
        </w:rPr>
        <w:t>Sawhney</w:t>
      </w:r>
      <w:proofErr w:type="spellEnd"/>
      <w:r w:rsidR="00F51B41" w:rsidRPr="0003073C">
        <w:rPr>
          <w:rFonts w:eastAsia="Times New Roman"/>
          <w:color w:val="auto"/>
          <w:sz w:val="18"/>
          <w:szCs w:val="18"/>
          <w:lang w:val="en-US"/>
        </w:rPr>
        <w:t xml:space="preserve"> MD Ph</w:t>
      </w:r>
      <w:r w:rsidR="000531EA" w:rsidRPr="0003073C">
        <w:rPr>
          <w:rFonts w:eastAsia="Times New Roman"/>
          <w:color w:val="auto"/>
          <w:sz w:val="18"/>
          <w:szCs w:val="18"/>
          <w:lang w:val="en-US"/>
        </w:rPr>
        <w:t>D</w:t>
      </w:r>
      <w:r w:rsidR="00F51B41" w:rsidRPr="0003073C">
        <w:rPr>
          <w:rFonts w:eastAsia="Times New Roman"/>
          <w:color w:val="auto"/>
          <w:sz w:val="18"/>
          <w:szCs w:val="18"/>
          <w:vertAlign w:val="superscript"/>
          <w:lang w:val="en-US"/>
        </w:rPr>
        <w:t>15</w:t>
      </w:r>
      <w:r w:rsidR="004A496C" w:rsidRPr="0003073C">
        <w:rPr>
          <w:rFonts w:eastAsia="Times New Roman"/>
          <w:color w:val="auto"/>
          <w:sz w:val="18"/>
          <w:szCs w:val="18"/>
          <w:lang w:val="en-US"/>
        </w:rPr>
        <w:t xml:space="preserve">, </w:t>
      </w:r>
      <w:r w:rsidR="00F51B41" w:rsidRPr="0003073C">
        <w:rPr>
          <w:rFonts w:eastAsia="Times New Roman"/>
          <w:color w:val="auto"/>
          <w:sz w:val="18"/>
          <w:szCs w:val="18"/>
          <w:lang w:val="en-US"/>
        </w:rPr>
        <w:t xml:space="preserve">Ajay </w:t>
      </w:r>
      <w:proofErr w:type="spellStart"/>
      <w:r w:rsidR="00F51B41" w:rsidRPr="0003073C">
        <w:rPr>
          <w:rFonts w:eastAsia="Times New Roman"/>
          <w:color w:val="auto"/>
          <w:sz w:val="18"/>
          <w:szCs w:val="18"/>
          <w:lang w:val="en-US"/>
        </w:rPr>
        <w:t>Naik</w:t>
      </w:r>
      <w:proofErr w:type="spellEnd"/>
      <w:r w:rsidR="00F51B41" w:rsidRPr="0003073C">
        <w:rPr>
          <w:rFonts w:eastAsia="Times New Roman"/>
          <w:color w:val="auto"/>
          <w:sz w:val="18"/>
          <w:szCs w:val="18"/>
          <w:lang w:val="en-US"/>
        </w:rPr>
        <w:t xml:space="preserve"> MD PhD</w:t>
      </w:r>
      <w:r w:rsidR="00F51B41" w:rsidRPr="0003073C">
        <w:rPr>
          <w:rFonts w:eastAsia="Times New Roman"/>
          <w:color w:val="auto"/>
          <w:sz w:val="18"/>
          <w:szCs w:val="18"/>
          <w:vertAlign w:val="superscript"/>
          <w:lang w:val="en-US"/>
        </w:rPr>
        <w:t>1</w:t>
      </w:r>
      <w:r w:rsidR="00C6169B" w:rsidRPr="0003073C">
        <w:rPr>
          <w:rFonts w:eastAsia="Times New Roman"/>
          <w:color w:val="auto"/>
          <w:sz w:val="18"/>
          <w:szCs w:val="18"/>
          <w:vertAlign w:val="superscript"/>
          <w:lang w:val="en-US"/>
        </w:rPr>
        <w:t>6</w:t>
      </w:r>
      <w:r w:rsidR="004A496C" w:rsidRPr="0003073C">
        <w:rPr>
          <w:rFonts w:eastAsia="Times New Roman"/>
          <w:color w:val="auto"/>
          <w:sz w:val="18"/>
          <w:szCs w:val="18"/>
          <w:lang w:val="en-US"/>
        </w:rPr>
        <w:t xml:space="preserve">, </w:t>
      </w:r>
      <w:proofErr w:type="spellStart"/>
      <w:r w:rsidR="002A46C2" w:rsidRPr="0003073C">
        <w:rPr>
          <w:rFonts w:eastAsia="Times New Roman"/>
          <w:color w:val="auto"/>
          <w:sz w:val="18"/>
          <w:szCs w:val="18"/>
          <w:lang w:val="en-US"/>
        </w:rPr>
        <w:t>Wataru</w:t>
      </w:r>
      <w:proofErr w:type="spellEnd"/>
      <w:r w:rsidR="002A46C2" w:rsidRPr="0003073C">
        <w:rPr>
          <w:rFonts w:eastAsia="Times New Roman"/>
          <w:color w:val="auto"/>
          <w:sz w:val="18"/>
          <w:szCs w:val="18"/>
          <w:lang w:val="en-US"/>
        </w:rPr>
        <w:t xml:space="preserve"> Shimizu MD PhD</w:t>
      </w:r>
      <w:r w:rsidR="00C6169B" w:rsidRPr="0003073C">
        <w:rPr>
          <w:rFonts w:eastAsia="Times New Roman"/>
          <w:color w:val="auto"/>
          <w:sz w:val="18"/>
          <w:szCs w:val="18"/>
          <w:vertAlign w:val="superscript"/>
          <w:lang w:val="en-US"/>
        </w:rPr>
        <w:t>17</w:t>
      </w:r>
      <w:r w:rsidR="004A496C" w:rsidRPr="0003073C">
        <w:rPr>
          <w:rFonts w:eastAsia="MS Gothic"/>
          <w:color w:val="auto"/>
          <w:sz w:val="18"/>
          <w:szCs w:val="18"/>
          <w:lang w:val="en-US"/>
        </w:rPr>
        <w:t xml:space="preserve">, </w:t>
      </w:r>
      <w:proofErr w:type="spellStart"/>
      <w:r w:rsidR="00CF6956" w:rsidRPr="0003073C">
        <w:rPr>
          <w:rFonts w:eastAsia="MS Gothic"/>
          <w:color w:val="auto"/>
          <w:sz w:val="18"/>
          <w:szCs w:val="18"/>
          <w:lang w:val="en-US"/>
        </w:rPr>
        <w:t>Nobuhisa</w:t>
      </w:r>
      <w:proofErr w:type="spellEnd"/>
      <w:r w:rsidR="00CF6956" w:rsidRPr="0003073C">
        <w:rPr>
          <w:rFonts w:eastAsia="MS Gothic"/>
          <w:color w:val="auto"/>
          <w:sz w:val="18"/>
          <w:szCs w:val="18"/>
          <w:lang w:val="en-US"/>
        </w:rPr>
        <w:t xml:space="preserve"> Hagiwara MD PhD</w:t>
      </w:r>
      <w:r w:rsidR="00503AE2" w:rsidRPr="0003073C">
        <w:rPr>
          <w:rFonts w:eastAsia="MS Gothic"/>
          <w:color w:val="auto"/>
          <w:sz w:val="18"/>
          <w:szCs w:val="18"/>
          <w:vertAlign w:val="superscript"/>
          <w:lang w:val="en-US"/>
        </w:rPr>
        <w:t>18</w:t>
      </w:r>
      <w:r w:rsidR="004A496C" w:rsidRPr="0003073C">
        <w:rPr>
          <w:rFonts w:eastAsia="MS Gothic"/>
          <w:color w:val="auto"/>
          <w:sz w:val="18"/>
          <w:szCs w:val="18"/>
          <w:vertAlign w:val="superscript"/>
          <w:lang w:val="en-US"/>
        </w:rPr>
        <w:t xml:space="preserve"> </w:t>
      </w:r>
      <w:r w:rsidR="004A496C" w:rsidRPr="0003073C">
        <w:rPr>
          <w:rFonts w:eastAsia="Times New Roman"/>
          <w:color w:val="auto"/>
          <w:sz w:val="18"/>
          <w:szCs w:val="18"/>
          <w:lang w:val="en-US"/>
        </w:rPr>
        <w:t xml:space="preserve">, </w:t>
      </w:r>
      <w:proofErr w:type="spellStart"/>
      <w:r w:rsidR="006D008B" w:rsidRPr="0003073C">
        <w:rPr>
          <w:rFonts w:eastAsia="Times New Roman"/>
          <w:color w:val="auto"/>
          <w:sz w:val="18"/>
          <w:szCs w:val="18"/>
          <w:lang w:val="en-US"/>
        </w:rPr>
        <w:t>Gurpreet</w:t>
      </w:r>
      <w:proofErr w:type="spellEnd"/>
      <w:r w:rsidR="006D008B" w:rsidRPr="0003073C">
        <w:rPr>
          <w:rFonts w:eastAsia="Times New Roman"/>
          <w:color w:val="auto"/>
          <w:sz w:val="18"/>
          <w:szCs w:val="18"/>
          <w:lang w:val="en-US"/>
        </w:rPr>
        <w:t xml:space="preserve"> Singh Wander MD P</w:t>
      </w:r>
      <w:r w:rsidR="000531EA" w:rsidRPr="0003073C">
        <w:rPr>
          <w:rFonts w:eastAsia="Times New Roman"/>
          <w:color w:val="auto"/>
          <w:sz w:val="18"/>
          <w:szCs w:val="18"/>
          <w:lang w:val="en-US"/>
        </w:rPr>
        <w:t>h</w:t>
      </w:r>
      <w:r w:rsidR="006D008B" w:rsidRPr="0003073C">
        <w:rPr>
          <w:rFonts w:eastAsia="Times New Roman"/>
          <w:color w:val="auto"/>
          <w:sz w:val="18"/>
          <w:szCs w:val="18"/>
          <w:lang w:val="en-US"/>
        </w:rPr>
        <w:t>D</w:t>
      </w:r>
      <w:r w:rsidR="006D008B" w:rsidRPr="0003073C">
        <w:rPr>
          <w:rFonts w:eastAsia="Times New Roman"/>
          <w:color w:val="auto"/>
          <w:sz w:val="18"/>
          <w:szCs w:val="18"/>
          <w:vertAlign w:val="superscript"/>
          <w:lang w:val="en-US"/>
        </w:rPr>
        <w:t>19</w:t>
      </w:r>
      <w:r w:rsidR="004A496C" w:rsidRPr="0003073C">
        <w:rPr>
          <w:color w:val="auto"/>
          <w:sz w:val="18"/>
          <w:szCs w:val="18"/>
          <w:lang w:val="en-US"/>
        </w:rPr>
        <w:t xml:space="preserve">, </w:t>
      </w:r>
      <w:proofErr w:type="spellStart"/>
      <w:r w:rsidR="003E4D84" w:rsidRPr="0003073C">
        <w:rPr>
          <w:color w:val="auto"/>
          <w:sz w:val="18"/>
          <w:szCs w:val="18"/>
          <w:lang w:val="en-US"/>
        </w:rPr>
        <w:t>Inder</w:t>
      </w:r>
      <w:proofErr w:type="spellEnd"/>
      <w:r w:rsidR="003E4D84" w:rsidRPr="0003073C">
        <w:rPr>
          <w:color w:val="auto"/>
          <w:sz w:val="18"/>
          <w:szCs w:val="18"/>
          <w:lang w:val="en-US"/>
        </w:rPr>
        <w:t xml:space="preserve"> </w:t>
      </w:r>
      <w:proofErr w:type="spellStart"/>
      <w:r w:rsidR="003E4D84" w:rsidRPr="0003073C">
        <w:rPr>
          <w:color w:val="auto"/>
          <w:sz w:val="18"/>
          <w:szCs w:val="18"/>
          <w:lang w:val="en-US"/>
        </w:rPr>
        <w:t>Anand</w:t>
      </w:r>
      <w:proofErr w:type="spellEnd"/>
      <w:r w:rsidR="00B33EA5" w:rsidRPr="0003073C">
        <w:rPr>
          <w:color w:val="auto"/>
          <w:sz w:val="18"/>
          <w:szCs w:val="18"/>
          <w:lang w:val="en-US"/>
        </w:rPr>
        <w:t xml:space="preserve"> MD PhD</w:t>
      </w:r>
      <w:r w:rsidR="005124EA" w:rsidRPr="0003073C">
        <w:rPr>
          <w:color w:val="auto"/>
          <w:sz w:val="18"/>
          <w:szCs w:val="18"/>
          <w:vertAlign w:val="superscript"/>
          <w:lang w:val="en-US"/>
        </w:rPr>
        <w:t>20</w:t>
      </w:r>
      <w:r w:rsidR="00BB3B76" w:rsidRPr="0003073C">
        <w:rPr>
          <w:color w:val="auto"/>
          <w:sz w:val="18"/>
          <w:szCs w:val="18"/>
          <w:vertAlign w:val="superscript"/>
          <w:lang w:val="en-US"/>
        </w:rPr>
        <w:t>*</w:t>
      </w:r>
      <w:r w:rsidR="003E4D84" w:rsidRPr="0003073C">
        <w:rPr>
          <w:color w:val="auto"/>
          <w:sz w:val="18"/>
          <w:szCs w:val="18"/>
          <w:lang w:val="en-US"/>
        </w:rPr>
        <w:t>, A Mark Richards</w:t>
      </w:r>
      <w:r w:rsidR="00B33EA5" w:rsidRPr="0003073C">
        <w:rPr>
          <w:color w:val="auto"/>
          <w:sz w:val="18"/>
          <w:szCs w:val="18"/>
          <w:lang w:val="en-US"/>
        </w:rPr>
        <w:t xml:space="preserve"> MD PhD</w:t>
      </w:r>
      <w:r w:rsidR="005124EA" w:rsidRPr="0003073C">
        <w:rPr>
          <w:color w:val="auto"/>
          <w:sz w:val="18"/>
          <w:szCs w:val="18"/>
          <w:vertAlign w:val="superscript"/>
          <w:lang w:val="en-US"/>
        </w:rPr>
        <w:t>21</w:t>
      </w:r>
      <w:r w:rsidR="003E4D84" w:rsidRPr="0003073C">
        <w:rPr>
          <w:color w:val="auto"/>
          <w:sz w:val="18"/>
          <w:szCs w:val="18"/>
          <w:vertAlign w:val="superscript"/>
          <w:lang w:val="en-US"/>
        </w:rPr>
        <w:t>,</w:t>
      </w:r>
      <w:r w:rsidR="005124EA" w:rsidRPr="0003073C">
        <w:rPr>
          <w:color w:val="auto"/>
          <w:sz w:val="18"/>
          <w:szCs w:val="18"/>
          <w:vertAlign w:val="superscript"/>
          <w:lang w:val="en-US"/>
        </w:rPr>
        <w:t>22</w:t>
      </w:r>
      <w:r w:rsidR="003E4D84" w:rsidRPr="0003073C">
        <w:rPr>
          <w:color w:val="auto"/>
          <w:sz w:val="18"/>
          <w:szCs w:val="18"/>
          <w:lang w:val="en-US"/>
        </w:rPr>
        <w:t>,</w:t>
      </w:r>
      <w:r w:rsidR="003E4D84" w:rsidRPr="0003073C">
        <w:rPr>
          <w:color w:val="auto"/>
          <w:sz w:val="18"/>
          <w:szCs w:val="18"/>
          <w:vertAlign w:val="superscript"/>
          <w:lang w:val="en-US"/>
        </w:rPr>
        <w:t xml:space="preserve"> </w:t>
      </w:r>
      <w:proofErr w:type="spellStart"/>
      <w:r w:rsidR="003E4D84" w:rsidRPr="0003073C">
        <w:rPr>
          <w:rFonts w:eastAsia="Calibri"/>
          <w:color w:val="auto"/>
          <w:sz w:val="18"/>
          <w:szCs w:val="18"/>
          <w:lang w:val="en-US"/>
        </w:rPr>
        <w:t>Adriaan</w:t>
      </w:r>
      <w:proofErr w:type="spellEnd"/>
      <w:r w:rsidR="003E4D84" w:rsidRPr="0003073C">
        <w:rPr>
          <w:rFonts w:eastAsia="Calibri"/>
          <w:color w:val="auto"/>
          <w:sz w:val="18"/>
          <w:szCs w:val="18"/>
          <w:lang w:val="en-US"/>
        </w:rPr>
        <w:t xml:space="preserve"> A. </w:t>
      </w:r>
      <w:proofErr w:type="spellStart"/>
      <w:r w:rsidR="003E4D84" w:rsidRPr="0003073C">
        <w:rPr>
          <w:rFonts w:eastAsia="Calibri"/>
          <w:color w:val="auto"/>
          <w:sz w:val="18"/>
          <w:szCs w:val="18"/>
          <w:lang w:val="en-US"/>
        </w:rPr>
        <w:t>Voors</w:t>
      </w:r>
      <w:proofErr w:type="spellEnd"/>
      <w:r w:rsidR="003E4D84" w:rsidRPr="0003073C">
        <w:rPr>
          <w:rFonts w:eastAsia="Calibri"/>
          <w:color w:val="auto"/>
          <w:sz w:val="18"/>
          <w:szCs w:val="18"/>
          <w:lang w:val="en-US"/>
        </w:rPr>
        <w:t xml:space="preserve"> MD PhD</w:t>
      </w:r>
      <w:r w:rsidR="009273AC" w:rsidRPr="0003073C">
        <w:rPr>
          <w:rFonts w:eastAsia="Calibri"/>
          <w:color w:val="auto"/>
          <w:sz w:val="18"/>
          <w:szCs w:val="18"/>
          <w:vertAlign w:val="superscript"/>
          <w:lang w:val="en-US"/>
        </w:rPr>
        <w:t>4</w:t>
      </w:r>
      <w:r w:rsidR="003E4D84" w:rsidRPr="0003073C">
        <w:rPr>
          <w:rFonts w:eastAsia="Calibri"/>
          <w:color w:val="auto"/>
          <w:sz w:val="18"/>
          <w:szCs w:val="18"/>
          <w:lang w:val="en-US"/>
        </w:rPr>
        <w:t>,</w:t>
      </w:r>
      <w:r w:rsidR="003E4D84" w:rsidRPr="0003073C">
        <w:rPr>
          <w:color w:val="auto"/>
          <w:sz w:val="18"/>
          <w:szCs w:val="18"/>
          <w:lang w:val="en-US"/>
        </w:rPr>
        <w:t xml:space="preserve"> Carolyn S.P. Lam MD</w:t>
      </w:r>
      <w:r w:rsidR="00B33EA5" w:rsidRPr="0003073C">
        <w:rPr>
          <w:color w:val="auto"/>
          <w:sz w:val="18"/>
          <w:szCs w:val="18"/>
          <w:lang w:val="en-US"/>
        </w:rPr>
        <w:t xml:space="preserve"> </w:t>
      </w:r>
      <w:r w:rsidR="003E4D84" w:rsidRPr="0003073C">
        <w:rPr>
          <w:color w:val="auto"/>
          <w:sz w:val="18"/>
          <w:szCs w:val="18"/>
          <w:lang w:val="en-US"/>
        </w:rPr>
        <w:t>PhD</w:t>
      </w:r>
      <w:r w:rsidR="00967BB7" w:rsidRPr="0003073C">
        <w:rPr>
          <w:color w:val="auto"/>
          <w:sz w:val="18"/>
          <w:szCs w:val="18"/>
          <w:lang w:val="en-US"/>
        </w:rPr>
        <w:t>*</w:t>
      </w:r>
      <w:r w:rsidR="007D3742" w:rsidRPr="0003073C">
        <w:rPr>
          <w:color w:val="auto"/>
          <w:sz w:val="18"/>
          <w:szCs w:val="18"/>
          <w:lang w:val="en-US"/>
        </w:rPr>
        <w:t>*</w:t>
      </w:r>
      <w:r w:rsidR="003E4D84" w:rsidRPr="0003073C">
        <w:rPr>
          <w:color w:val="auto"/>
          <w:sz w:val="18"/>
          <w:szCs w:val="18"/>
          <w:vertAlign w:val="superscript"/>
          <w:lang w:val="en-US"/>
        </w:rPr>
        <w:t>1,</w:t>
      </w:r>
      <w:r w:rsidR="009273AC" w:rsidRPr="0003073C">
        <w:rPr>
          <w:color w:val="auto"/>
          <w:sz w:val="18"/>
          <w:szCs w:val="18"/>
          <w:vertAlign w:val="superscript"/>
          <w:lang w:val="en-US"/>
        </w:rPr>
        <w:t>4</w:t>
      </w:r>
      <w:r w:rsidR="003E4D84" w:rsidRPr="0003073C">
        <w:rPr>
          <w:color w:val="auto"/>
          <w:sz w:val="18"/>
          <w:szCs w:val="18"/>
          <w:vertAlign w:val="superscript"/>
          <w:lang w:val="en-US"/>
        </w:rPr>
        <w:t>,</w:t>
      </w:r>
      <w:r w:rsidR="009273AC" w:rsidRPr="0003073C">
        <w:rPr>
          <w:color w:val="auto"/>
          <w:sz w:val="18"/>
          <w:szCs w:val="18"/>
          <w:vertAlign w:val="superscript"/>
          <w:lang w:val="en-US"/>
        </w:rPr>
        <w:t>5</w:t>
      </w:r>
    </w:p>
    <w:p w14:paraId="4FB8C02E" w14:textId="1901E70C" w:rsidR="00E62AD0" w:rsidRPr="0003073C" w:rsidRDefault="00E62AD0" w:rsidP="007419B4">
      <w:pPr>
        <w:spacing w:before="27" w:line="253" w:lineRule="auto"/>
        <w:ind w:right="50"/>
        <w:rPr>
          <w:sz w:val="18"/>
          <w:szCs w:val="18"/>
          <w:vertAlign w:val="superscript"/>
          <w:lang w:val="en-US"/>
        </w:rPr>
      </w:pPr>
    </w:p>
    <w:p w14:paraId="79097C4A" w14:textId="4E9CF35A" w:rsidR="00967BB7" w:rsidRPr="0003073C" w:rsidRDefault="00967BB7" w:rsidP="007419B4">
      <w:pPr>
        <w:spacing w:before="27" w:line="253" w:lineRule="auto"/>
        <w:ind w:right="50"/>
        <w:rPr>
          <w:sz w:val="18"/>
          <w:szCs w:val="18"/>
          <w:lang w:val="en-US"/>
        </w:rPr>
      </w:pPr>
      <w:r w:rsidRPr="0003073C">
        <w:rPr>
          <w:sz w:val="18"/>
          <w:szCs w:val="18"/>
          <w:vertAlign w:val="superscript"/>
          <w:lang w:val="en-US"/>
        </w:rPr>
        <w:t>†</w:t>
      </w:r>
      <w:r w:rsidRPr="0003073C">
        <w:rPr>
          <w:sz w:val="18"/>
          <w:szCs w:val="18"/>
          <w:lang w:val="en-US"/>
        </w:rPr>
        <w:t>Co-primary authors</w:t>
      </w:r>
    </w:p>
    <w:p w14:paraId="7630AFAA" w14:textId="7DDEE1A0" w:rsidR="00967BB7" w:rsidRPr="0003073C" w:rsidRDefault="00967BB7" w:rsidP="007419B4">
      <w:pPr>
        <w:spacing w:before="27" w:line="253" w:lineRule="auto"/>
        <w:ind w:right="50"/>
        <w:rPr>
          <w:sz w:val="18"/>
          <w:szCs w:val="18"/>
          <w:lang w:val="en-US"/>
        </w:rPr>
      </w:pPr>
      <w:r w:rsidRPr="0003073C">
        <w:rPr>
          <w:sz w:val="18"/>
          <w:szCs w:val="18"/>
          <w:lang w:val="en-US"/>
        </w:rPr>
        <w:t>*on behalf of the ASIAN-HF investigators, Appendix S1</w:t>
      </w:r>
    </w:p>
    <w:p w14:paraId="6A82BE5E" w14:textId="6FB5A6E3" w:rsidR="00967BB7" w:rsidRPr="0003073C" w:rsidRDefault="00967BB7" w:rsidP="007419B4">
      <w:pPr>
        <w:spacing w:before="27" w:line="253" w:lineRule="auto"/>
        <w:ind w:right="50"/>
        <w:rPr>
          <w:sz w:val="18"/>
          <w:szCs w:val="18"/>
          <w:lang w:val="en-US"/>
        </w:rPr>
      </w:pPr>
      <w:r w:rsidRPr="0003073C">
        <w:rPr>
          <w:sz w:val="18"/>
          <w:szCs w:val="18"/>
          <w:lang w:val="en-US"/>
        </w:rPr>
        <w:t>** Corresponding author</w:t>
      </w:r>
    </w:p>
    <w:p w14:paraId="26D0416F" w14:textId="77777777" w:rsidR="00967BB7" w:rsidRPr="0003073C" w:rsidRDefault="00967BB7" w:rsidP="007419B4">
      <w:pPr>
        <w:spacing w:before="27" w:line="253" w:lineRule="auto"/>
        <w:ind w:right="50"/>
        <w:rPr>
          <w:sz w:val="18"/>
          <w:szCs w:val="18"/>
          <w:lang w:val="en-US"/>
        </w:rPr>
      </w:pPr>
    </w:p>
    <w:p w14:paraId="2CE3F618" w14:textId="503482B6" w:rsidR="003E4D84" w:rsidRPr="0003073C" w:rsidRDefault="003E4D84" w:rsidP="007419B4">
      <w:pPr>
        <w:rPr>
          <w:rFonts w:ascii="Times" w:hAnsi="Times"/>
          <w:sz w:val="18"/>
          <w:szCs w:val="18"/>
          <w:lang w:val="en-US"/>
        </w:rPr>
      </w:pPr>
      <w:r w:rsidRPr="0003073C">
        <w:rPr>
          <w:sz w:val="18"/>
          <w:szCs w:val="18"/>
          <w:lang w:val="en-US"/>
        </w:rPr>
        <w:t xml:space="preserve">1. National Heart Centre Singapore, </w:t>
      </w:r>
      <w:r w:rsidRPr="0003073C">
        <w:rPr>
          <w:sz w:val="18"/>
          <w:szCs w:val="18"/>
          <w:lang w:val="en-US"/>
        </w:rPr>
        <w:br/>
        <w:t xml:space="preserve">2. </w:t>
      </w:r>
      <w:proofErr w:type="spellStart"/>
      <w:r w:rsidRPr="0003073C">
        <w:rPr>
          <w:sz w:val="18"/>
          <w:szCs w:val="18"/>
          <w:lang w:val="en-US"/>
        </w:rPr>
        <w:t>Dept</w:t>
      </w:r>
      <w:proofErr w:type="spellEnd"/>
      <w:r w:rsidRPr="0003073C">
        <w:rPr>
          <w:sz w:val="18"/>
          <w:szCs w:val="18"/>
          <w:lang w:val="en-US"/>
        </w:rPr>
        <w:t xml:space="preserve"> of Dermatology, Amsterdam UMC, University of Amsterdam, Amsterdam Infection &amp; Immunity Institute, Amsterdam, </w:t>
      </w:r>
      <w:proofErr w:type="gramStart"/>
      <w:r w:rsidRPr="0003073C">
        <w:rPr>
          <w:sz w:val="18"/>
          <w:szCs w:val="18"/>
          <w:lang w:val="en-US"/>
        </w:rPr>
        <w:t>The</w:t>
      </w:r>
      <w:proofErr w:type="gramEnd"/>
      <w:r w:rsidRPr="0003073C">
        <w:rPr>
          <w:sz w:val="18"/>
          <w:szCs w:val="18"/>
          <w:lang w:val="en-US"/>
        </w:rPr>
        <w:t xml:space="preserve"> Netherlands</w:t>
      </w:r>
    </w:p>
    <w:p w14:paraId="28414970" w14:textId="4F71186D" w:rsidR="00AD0635" w:rsidRPr="0003073C" w:rsidRDefault="00AD0635" w:rsidP="007419B4">
      <w:pPr>
        <w:autoSpaceDE w:val="0"/>
        <w:autoSpaceDN w:val="0"/>
        <w:adjustRightInd w:val="0"/>
        <w:rPr>
          <w:sz w:val="18"/>
          <w:szCs w:val="18"/>
          <w:lang w:val="en-US" w:eastAsia="en-US"/>
        </w:rPr>
      </w:pPr>
      <w:r w:rsidRPr="0003073C">
        <w:rPr>
          <w:rFonts w:ascii="Times" w:hAnsi="Times"/>
          <w:sz w:val="18"/>
          <w:szCs w:val="18"/>
          <w:lang w:val="en-US" w:eastAsia="en-US"/>
        </w:rPr>
        <w:t xml:space="preserve">3. </w:t>
      </w:r>
      <w:r w:rsidRPr="0003073C">
        <w:rPr>
          <w:sz w:val="18"/>
          <w:szCs w:val="18"/>
          <w:lang w:val="en-US" w:eastAsia="en-US"/>
        </w:rPr>
        <w:t>School of Population and Global Health, University of Western Australia, WA, Australia</w:t>
      </w:r>
    </w:p>
    <w:p w14:paraId="2C0CD76E" w14:textId="661FC3BA" w:rsidR="00581024" w:rsidRPr="0003073C" w:rsidRDefault="00AD0635" w:rsidP="007419B4">
      <w:pPr>
        <w:rPr>
          <w:rFonts w:eastAsia="Calibri"/>
          <w:sz w:val="18"/>
          <w:szCs w:val="18"/>
          <w:lang w:val="en-US"/>
        </w:rPr>
      </w:pPr>
      <w:r w:rsidRPr="0003073C">
        <w:rPr>
          <w:rFonts w:eastAsia="Calibri"/>
          <w:sz w:val="18"/>
          <w:szCs w:val="18"/>
          <w:lang w:val="en-US"/>
        </w:rPr>
        <w:t xml:space="preserve">4. </w:t>
      </w:r>
      <w:r w:rsidR="00581024" w:rsidRPr="0003073C">
        <w:rPr>
          <w:rFonts w:eastAsia="Calibri"/>
          <w:sz w:val="18"/>
          <w:szCs w:val="18"/>
          <w:lang w:val="en-US"/>
        </w:rPr>
        <w:t>Duke–National University of Singapore Medical School, Singapore, Singapore</w:t>
      </w:r>
    </w:p>
    <w:p w14:paraId="1AEDF335" w14:textId="0DB45380" w:rsidR="00AD0635" w:rsidRPr="0003073C" w:rsidRDefault="00581024" w:rsidP="007419B4">
      <w:pPr>
        <w:rPr>
          <w:rFonts w:eastAsia="Calibri"/>
          <w:sz w:val="18"/>
          <w:szCs w:val="18"/>
          <w:lang w:val="en-US"/>
        </w:rPr>
      </w:pPr>
      <w:r w:rsidRPr="0003073C">
        <w:rPr>
          <w:rFonts w:eastAsia="Calibri"/>
          <w:sz w:val="18"/>
          <w:szCs w:val="18"/>
          <w:lang w:val="en-US"/>
        </w:rPr>
        <w:t xml:space="preserve">5. </w:t>
      </w:r>
      <w:r w:rsidR="00AD0635" w:rsidRPr="0003073C">
        <w:rPr>
          <w:rFonts w:eastAsia="Calibri"/>
          <w:sz w:val="18"/>
          <w:szCs w:val="18"/>
          <w:lang w:val="en-US"/>
        </w:rPr>
        <w:t>University of Groningen, University Medical Center Groningen, Department of Cardiology, Groningen, the Netherlands</w:t>
      </w:r>
    </w:p>
    <w:p w14:paraId="72D28AC2" w14:textId="287B3B01" w:rsidR="003E4D84" w:rsidRPr="0003073C" w:rsidRDefault="00AD0635" w:rsidP="007419B4">
      <w:pPr>
        <w:rPr>
          <w:sz w:val="18"/>
          <w:szCs w:val="18"/>
          <w:lang w:val="en-US"/>
        </w:rPr>
      </w:pPr>
      <w:r w:rsidRPr="0003073C">
        <w:rPr>
          <w:sz w:val="18"/>
          <w:szCs w:val="18"/>
          <w:lang w:val="en-US"/>
        </w:rPr>
        <w:t>6.</w:t>
      </w:r>
      <w:r w:rsidR="009273AC" w:rsidRPr="0003073C">
        <w:rPr>
          <w:sz w:val="18"/>
          <w:szCs w:val="18"/>
          <w:lang w:val="en-US"/>
        </w:rPr>
        <w:t xml:space="preserve"> </w:t>
      </w:r>
      <w:r w:rsidR="003E4D84" w:rsidRPr="0003073C">
        <w:rPr>
          <w:sz w:val="18"/>
          <w:szCs w:val="18"/>
          <w:lang w:val="en-US"/>
        </w:rPr>
        <w:t xml:space="preserve">National Heart &amp; Lung Institute, Royal </w:t>
      </w:r>
      <w:proofErr w:type="spellStart"/>
      <w:r w:rsidR="003E4D84" w:rsidRPr="0003073C">
        <w:rPr>
          <w:sz w:val="18"/>
          <w:szCs w:val="18"/>
          <w:lang w:val="en-US"/>
        </w:rPr>
        <w:t>Brompton</w:t>
      </w:r>
      <w:proofErr w:type="spellEnd"/>
      <w:r w:rsidR="003E4D84" w:rsidRPr="0003073C">
        <w:rPr>
          <w:sz w:val="18"/>
          <w:szCs w:val="18"/>
          <w:lang w:val="en-US"/>
        </w:rPr>
        <w:t xml:space="preserve"> &amp; </w:t>
      </w:r>
      <w:proofErr w:type="spellStart"/>
      <w:r w:rsidR="003E4D84" w:rsidRPr="0003073C">
        <w:rPr>
          <w:sz w:val="18"/>
          <w:szCs w:val="18"/>
          <w:lang w:val="en-US"/>
        </w:rPr>
        <w:t>Harefield</w:t>
      </w:r>
      <w:proofErr w:type="spellEnd"/>
      <w:r w:rsidR="003E4D84" w:rsidRPr="0003073C">
        <w:rPr>
          <w:sz w:val="18"/>
          <w:szCs w:val="18"/>
          <w:lang w:val="en-US"/>
        </w:rPr>
        <w:t xml:space="preserve"> Hospitals, Imperial College, London, </w:t>
      </w:r>
      <w:r w:rsidR="005010D9" w:rsidRPr="0003073C">
        <w:rPr>
          <w:sz w:val="18"/>
          <w:szCs w:val="18"/>
          <w:lang w:val="en-US"/>
        </w:rPr>
        <w:t>United Kingdom</w:t>
      </w:r>
      <w:r w:rsidR="003E4D84" w:rsidRPr="0003073C">
        <w:rPr>
          <w:sz w:val="18"/>
          <w:szCs w:val="18"/>
          <w:lang w:val="en-US"/>
        </w:rPr>
        <w:t>.</w:t>
      </w:r>
    </w:p>
    <w:p w14:paraId="12223668" w14:textId="7485C05F" w:rsidR="003E4D84" w:rsidRPr="0003073C" w:rsidRDefault="00AD0635" w:rsidP="007419B4">
      <w:pPr>
        <w:rPr>
          <w:sz w:val="18"/>
          <w:szCs w:val="18"/>
          <w:lang w:val="en-US"/>
        </w:rPr>
      </w:pPr>
      <w:r w:rsidRPr="0003073C">
        <w:rPr>
          <w:sz w:val="18"/>
          <w:szCs w:val="18"/>
          <w:lang w:val="en-US"/>
        </w:rPr>
        <w:t>7.</w:t>
      </w:r>
      <w:r w:rsidR="009273AC" w:rsidRPr="0003073C">
        <w:rPr>
          <w:sz w:val="18"/>
          <w:szCs w:val="18"/>
          <w:lang w:val="en-US"/>
        </w:rPr>
        <w:t xml:space="preserve"> </w:t>
      </w:r>
      <w:r w:rsidR="003E4D84" w:rsidRPr="0003073C">
        <w:rPr>
          <w:sz w:val="18"/>
          <w:szCs w:val="18"/>
          <w:lang w:val="en-US"/>
        </w:rPr>
        <w:t>University of Bergen, Bergen, Norway</w:t>
      </w:r>
    </w:p>
    <w:p w14:paraId="458DE60F" w14:textId="7B8D80A7" w:rsidR="003E4D84" w:rsidRPr="0003073C" w:rsidRDefault="00AD0635" w:rsidP="007419B4">
      <w:pPr>
        <w:rPr>
          <w:sz w:val="18"/>
          <w:szCs w:val="18"/>
          <w:lang w:val="en-US"/>
        </w:rPr>
      </w:pPr>
      <w:r w:rsidRPr="0003073C">
        <w:rPr>
          <w:sz w:val="18"/>
          <w:szCs w:val="18"/>
          <w:lang w:val="en-US"/>
        </w:rPr>
        <w:t>8.</w:t>
      </w:r>
      <w:r w:rsidR="009273AC" w:rsidRPr="0003073C">
        <w:rPr>
          <w:sz w:val="18"/>
          <w:szCs w:val="18"/>
          <w:lang w:val="en-US"/>
        </w:rPr>
        <w:t xml:space="preserve"> </w:t>
      </w:r>
      <w:r w:rsidR="003E4D84" w:rsidRPr="0003073C">
        <w:rPr>
          <w:sz w:val="18"/>
          <w:szCs w:val="18"/>
          <w:lang w:val="en-US"/>
        </w:rPr>
        <w:t>Stavanger University Hospital, Stavanger, Norway</w:t>
      </w:r>
    </w:p>
    <w:p w14:paraId="66EAAE05" w14:textId="237D2251" w:rsidR="003F3AE7" w:rsidRPr="0003073C" w:rsidRDefault="00AD0635" w:rsidP="007419B4">
      <w:pPr>
        <w:pStyle w:val="Sansinterligne"/>
        <w:rPr>
          <w:rFonts w:ascii="Times New Roman" w:hAnsi="Times New Roman" w:cs="Times New Roman"/>
          <w:w w:val="100"/>
          <w:sz w:val="18"/>
          <w:szCs w:val="18"/>
          <w:lang w:eastAsia="nl-NL"/>
        </w:rPr>
      </w:pPr>
      <w:r w:rsidRPr="0003073C">
        <w:rPr>
          <w:rFonts w:ascii="Times New Roman" w:hAnsi="Times New Roman" w:cs="Times New Roman"/>
          <w:w w:val="100"/>
          <w:sz w:val="18"/>
          <w:szCs w:val="18"/>
          <w:lang w:eastAsia="nl-NL"/>
        </w:rPr>
        <w:t>9</w:t>
      </w:r>
      <w:r w:rsidR="003E4D84" w:rsidRPr="0003073C">
        <w:rPr>
          <w:rFonts w:ascii="Times New Roman" w:hAnsi="Times New Roman" w:cs="Times New Roman"/>
          <w:w w:val="100"/>
          <w:sz w:val="18"/>
          <w:szCs w:val="18"/>
          <w:lang w:eastAsia="nl-NL"/>
        </w:rPr>
        <w:t xml:space="preserve">. Department of Cardiovascular Sciences, University of Leicester and NIHR Leicester Biomedical Research Centre, Glenfield Hospital, </w:t>
      </w:r>
      <w:proofErr w:type="spellStart"/>
      <w:r w:rsidR="003E4D84" w:rsidRPr="0003073C">
        <w:rPr>
          <w:rFonts w:ascii="Times New Roman" w:hAnsi="Times New Roman" w:cs="Times New Roman"/>
          <w:w w:val="100"/>
          <w:sz w:val="18"/>
          <w:szCs w:val="18"/>
          <w:lang w:eastAsia="nl-NL"/>
        </w:rPr>
        <w:t>Groby</w:t>
      </w:r>
      <w:proofErr w:type="spellEnd"/>
      <w:r w:rsidR="003E4D84" w:rsidRPr="0003073C">
        <w:rPr>
          <w:rFonts w:ascii="Times New Roman" w:hAnsi="Times New Roman" w:cs="Times New Roman"/>
          <w:w w:val="100"/>
          <w:sz w:val="18"/>
          <w:szCs w:val="18"/>
          <w:lang w:eastAsia="nl-NL"/>
        </w:rPr>
        <w:t xml:space="preserve"> Road Leicester, LE3 9QP, </w:t>
      </w:r>
      <w:r w:rsidR="005010D9" w:rsidRPr="0003073C">
        <w:rPr>
          <w:rFonts w:ascii="Times New Roman" w:hAnsi="Times New Roman" w:cs="Times New Roman"/>
          <w:w w:val="100"/>
          <w:sz w:val="18"/>
          <w:szCs w:val="18"/>
          <w:lang w:eastAsia="nl-NL"/>
        </w:rPr>
        <w:t>United Kingdom</w:t>
      </w:r>
    </w:p>
    <w:p w14:paraId="2619E728" w14:textId="2426E783" w:rsidR="003F3AE7" w:rsidRPr="0003073C" w:rsidRDefault="001E0801" w:rsidP="007419B4">
      <w:pPr>
        <w:pStyle w:val="Sansinterligne"/>
        <w:rPr>
          <w:rFonts w:ascii="Times New Roman" w:hAnsi="Times New Roman" w:cs="Times New Roman"/>
          <w:w w:val="100"/>
          <w:sz w:val="18"/>
          <w:szCs w:val="18"/>
          <w:lang w:eastAsia="nl-NL"/>
        </w:rPr>
      </w:pPr>
      <w:r w:rsidRPr="0003073C">
        <w:rPr>
          <w:rFonts w:ascii="Times New Roman" w:hAnsi="Times New Roman" w:cs="Times New Roman"/>
          <w:w w:val="100"/>
          <w:sz w:val="18"/>
          <w:szCs w:val="18"/>
          <w:lang w:eastAsia="nl-NL"/>
        </w:rPr>
        <w:t>10</w:t>
      </w:r>
      <w:r w:rsidR="003F3AE7" w:rsidRPr="0003073C">
        <w:rPr>
          <w:rFonts w:ascii="Times New Roman" w:hAnsi="Times New Roman" w:cs="Times New Roman"/>
          <w:w w:val="100"/>
          <w:sz w:val="18"/>
          <w:szCs w:val="18"/>
          <w:lang w:eastAsia="nl-NL"/>
        </w:rPr>
        <w:t xml:space="preserve"> School of Medicine Centre for Cardiovascular and Lung Biology, Division of Molecular and Clinical Medicine, University of Dundee, </w:t>
      </w:r>
      <w:proofErr w:type="spellStart"/>
      <w:r w:rsidR="003F3AE7" w:rsidRPr="0003073C">
        <w:rPr>
          <w:rFonts w:ascii="Times New Roman" w:hAnsi="Times New Roman" w:cs="Times New Roman"/>
          <w:w w:val="100"/>
          <w:sz w:val="18"/>
          <w:szCs w:val="18"/>
          <w:lang w:eastAsia="nl-NL"/>
        </w:rPr>
        <w:t>Ninewells</w:t>
      </w:r>
      <w:proofErr w:type="spellEnd"/>
      <w:r w:rsidR="003F3AE7" w:rsidRPr="0003073C">
        <w:rPr>
          <w:rFonts w:ascii="Times New Roman" w:hAnsi="Times New Roman" w:cs="Times New Roman"/>
          <w:w w:val="100"/>
          <w:sz w:val="18"/>
          <w:szCs w:val="18"/>
          <w:lang w:eastAsia="nl-NL"/>
        </w:rPr>
        <w:t xml:space="preserve"> Hospital &amp; Medical School, Dundee, DD1 9SY, </w:t>
      </w:r>
      <w:r w:rsidR="005010D9" w:rsidRPr="0003073C">
        <w:rPr>
          <w:rFonts w:ascii="Times New Roman" w:hAnsi="Times New Roman" w:cs="Times New Roman"/>
          <w:w w:val="100"/>
          <w:sz w:val="18"/>
          <w:szCs w:val="18"/>
          <w:lang w:eastAsia="nl-NL"/>
        </w:rPr>
        <w:t>United Kingdom</w:t>
      </w:r>
    </w:p>
    <w:p w14:paraId="07850351" w14:textId="5D7C5B2A" w:rsidR="003F3AE7" w:rsidRPr="0003073C" w:rsidRDefault="001E0801" w:rsidP="007419B4">
      <w:pPr>
        <w:pStyle w:val="Sansinterligne"/>
        <w:rPr>
          <w:rFonts w:ascii="Times New Roman" w:hAnsi="Times New Roman" w:cs="Times New Roman"/>
          <w:w w:val="100"/>
          <w:sz w:val="18"/>
          <w:szCs w:val="18"/>
          <w:lang w:eastAsia="nl-NL"/>
        </w:rPr>
      </w:pPr>
      <w:r w:rsidRPr="0003073C">
        <w:rPr>
          <w:rFonts w:ascii="Times New Roman" w:hAnsi="Times New Roman" w:cs="Times New Roman"/>
          <w:w w:val="100"/>
          <w:sz w:val="18"/>
          <w:szCs w:val="18"/>
          <w:lang w:eastAsia="nl-NL"/>
        </w:rPr>
        <w:t>11</w:t>
      </w:r>
      <w:r w:rsidR="003F3AE7" w:rsidRPr="0003073C">
        <w:rPr>
          <w:rFonts w:ascii="Times New Roman" w:hAnsi="Times New Roman" w:cs="Times New Roman"/>
          <w:w w:val="100"/>
          <w:sz w:val="18"/>
          <w:szCs w:val="18"/>
          <w:lang w:eastAsia="nl-NL"/>
        </w:rPr>
        <w:t xml:space="preserve"> Division of Cardiology and Metabolism-Heart Failure, Cachexia &amp; </w:t>
      </w:r>
      <w:proofErr w:type="spellStart"/>
      <w:r w:rsidR="003F3AE7" w:rsidRPr="0003073C">
        <w:rPr>
          <w:rFonts w:ascii="Times New Roman" w:hAnsi="Times New Roman" w:cs="Times New Roman"/>
          <w:w w:val="100"/>
          <w:sz w:val="18"/>
          <w:szCs w:val="18"/>
          <w:lang w:eastAsia="nl-NL"/>
        </w:rPr>
        <w:t>Sarcopenia</w:t>
      </w:r>
      <w:proofErr w:type="spellEnd"/>
      <w:r w:rsidR="003F3AE7" w:rsidRPr="0003073C">
        <w:rPr>
          <w:rFonts w:ascii="Times New Roman" w:hAnsi="Times New Roman" w:cs="Times New Roman"/>
          <w:w w:val="100"/>
          <w:sz w:val="18"/>
          <w:szCs w:val="18"/>
          <w:lang w:eastAsia="nl-NL"/>
        </w:rPr>
        <w:t xml:space="preserve">; Department of Cardiology (CVK), Berlin-Brandenburg Center for Regenerative Therapies (BCRT), </w:t>
      </w:r>
      <w:proofErr w:type="spellStart"/>
      <w:r w:rsidR="003F3AE7" w:rsidRPr="0003073C">
        <w:rPr>
          <w:rFonts w:ascii="Times New Roman" w:hAnsi="Times New Roman" w:cs="Times New Roman"/>
          <w:w w:val="100"/>
          <w:sz w:val="18"/>
          <w:szCs w:val="18"/>
          <w:lang w:eastAsia="nl-NL"/>
        </w:rPr>
        <w:t>Charite</w:t>
      </w:r>
      <w:proofErr w:type="spellEnd"/>
      <w:r w:rsidR="003F3AE7" w:rsidRPr="0003073C">
        <w:rPr>
          <w:rFonts w:ascii="Times New Roman" w:hAnsi="Times New Roman" w:cs="Times New Roman"/>
          <w:w w:val="100"/>
          <w:sz w:val="18"/>
          <w:szCs w:val="18"/>
          <w:lang w:eastAsia="nl-NL"/>
        </w:rPr>
        <w:t xml:space="preserve">´ University Medicine, </w:t>
      </w:r>
      <w:proofErr w:type="spellStart"/>
      <w:r w:rsidR="003F3AE7" w:rsidRPr="0003073C">
        <w:rPr>
          <w:rFonts w:ascii="Times New Roman" w:hAnsi="Times New Roman" w:cs="Times New Roman"/>
          <w:w w:val="100"/>
          <w:sz w:val="18"/>
          <w:szCs w:val="18"/>
          <w:lang w:eastAsia="nl-NL"/>
        </w:rPr>
        <w:t>Charite’pl</w:t>
      </w:r>
      <w:proofErr w:type="spellEnd"/>
      <w:r w:rsidR="003F3AE7" w:rsidRPr="0003073C">
        <w:rPr>
          <w:rFonts w:ascii="Times New Roman" w:hAnsi="Times New Roman" w:cs="Times New Roman"/>
          <w:w w:val="100"/>
          <w:sz w:val="18"/>
          <w:szCs w:val="18"/>
          <w:lang w:eastAsia="nl-NL"/>
        </w:rPr>
        <w:t>. 1, 10117 Berlin, Germany</w:t>
      </w:r>
    </w:p>
    <w:p w14:paraId="799099CA" w14:textId="670CE9F2" w:rsidR="003E4D84" w:rsidRPr="0003073C" w:rsidRDefault="00AD0635" w:rsidP="007419B4">
      <w:pPr>
        <w:rPr>
          <w:rFonts w:eastAsia="Times New Roman"/>
          <w:sz w:val="18"/>
          <w:szCs w:val="18"/>
          <w:lang w:val="fr-FR"/>
        </w:rPr>
      </w:pPr>
      <w:r w:rsidRPr="00E30D79">
        <w:rPr>
          <w:rFonts w:eastAsia="Calibri"/>
          <w:sz w:val="18"/>
          <w:szCs w:val="18"/>
          <w:lang w:val="fr-FR"/>
        </w:rPr>
        <w:t>1</w:t>
      </w:r>
      <w:r w:rsidR="001E0801" w:rsidRPr="00E30D79">
        <w:rPr>
          <w:rFonts w:eastAsia="Calibri"/>
          <w:sz w:val="18"/>
          <w:szCs w:val="18"/>
          <w:lang w:val="fr-FR"/>
        </w:rPr>
        <w:t>2</w:t>
      </w:r>
      <w:r w:rsidRPr="00E30D79">
        <w:rPr>
          <w:rFonts w:eastAsia="Calibri"/>
          <w:sz w:val="18"/>
          <w:szCs w:val="18"/>
          <w:lang w:val="fr-FR"/>
        </w:rPr>
        <w:t>.</w:t>
      </w:r>
      <w:r w:rsidR="009273AC" w:rsidRPr="00E30D79">
        <w:rPr>
          <w:rFonts w:eastAsia="Calibri"/>
          <w:sz w:val="18"/>
          <w:szCs w:val="18"/>
          <w:lang w:val="fr-FR"/>
        </w:rPr>
        <w:t xml:space="preserve"> </w:t>
      </w:r>
      <w:r w:rsidR="003E4D84" w:rsidRPr="0003073C">
        <w:rPr>
          <w:rFonts w:eastAsia="Times New Roman"/>
          <w:sz w:val="18"/>
          <w:szCs w:val="18"/>
          <w:lang w:val="fr-FR"/>
        </w:rPr>
        <w:t>Inserm CIC-P 1433, Université de Lorraine, CHRU de Nancy, FCRIN INI-CRCT, Nancy, France</w:t>
      </w:r>
    </w:p>
    <w:p w14:paraId="5979CAFF" w14:textId="714657EC" w:rsidR="00750D1F" w:rsidRPr="0003073C" w:rsidRDefault="00AD0635" w:rsidP="007419B4">
      <w:pPr>
        <w:rPr>
          <w:rFonts w:eastAsia="Times New Roman"/>
          <w:sz w:val="18"/>
          <w:szCs w:val="18"/>
          <w:lang w:val="en-US"/>
        </w:rPr>
      </w:pPr>
      <w:r w:rsidRPr="0003073C">
        <w:rPr>
          <w:sz w:val="18"/>
          <w:szCs w:val="18"/>
          <w:lang w:val="en-US" w:eastAsia="en-US"/>
        </w:rPr>
        <w:t>1</w:t>
      </w:r>
      <w:r w:rsidR="001E0801" w:rsidRPr="0003073C">
        <w:rPr>
          <w:sz w:val="18"/>
          <w:szCs w:val="18"/>
          <w:lang w:val="en-US" w:eastAsia="en-US"/>
        </w:rPr>
        <w:t>3</w:t>
      </w:r>
      <w:r w:rsidRPr="0003073C">
        <w:rPr>
          <w:sz w:val="18"/>
          <w:szCs w:val="18"/>
          <w:lang w:val="en-US" w:eastAsia="en-US"/>
        </w:rPr>
        <w:t xml:space="preserve"> </w:t>
      </w:r>
      <w:r w:rsidR="00750D1F" w:rsidRPr="0003073C">
        <w:rPr>
          <w:sz w:val="18"/>
          <w:szCs w:val="18"/>
          <w:lang w:val="en-US"/>
        </w:rPr>
        <w:t>Cardiovascular Division, Brigham and Women's Hospital, Boston, M</w:t>
      </w:r>
      <w:r w:rsidR="00775588" w:rsidRPr="0003073C">
        <w:rPr>
          <w:sz w:val="18"/>
          <w:szCs w:val="18"/>
          <w:lang w:val="en-US"/>
        </w:rPr>
        <w:t xml:space="preserve">, </w:t>
      </w:r>
      <w:r w:rsidR="005010D9" w:rsidRPr="0003073C">
        <w:rPr>
          <w:rFonts w:eastAsia="Times New Roman"/>
          <w:sz w:val="18"/>
          <w:szCs w:val="18"/>
          <w:shd w:val="clear" w:color="auto" w:fill="FFFFFF"/>
          <w:lang w:val="en-US"/>
        </w:rPr>
        <w:t>United States of America.</w:t>
      </w:r>
    </w:p>
    <w:p w14:paraId="306D70D4" w14:textId="335EB3B1" w:rsidR="00750D1F" w:rsidRPr="0003073C" w:rsidRDefault="00750D1F" w:rsidP="007419B4">
      <w:pPr>
        <w:pStyle w:val="NormalWeb"/>
        <w:spacing w:before="0" w:beforeAutospacing="0" w:after="0" w:afterAutospacing="0"/>
        <w:rPr>
          <w:sz w:val="18"/>
          <w:szCs w:val="18"/>
          <w:lang w:val="en-US"/>
        </w:rPr>
      </w:pPr>
      <w:r w:rsidRPr="0003073C">
        <w:rPr>
          <w:sz w:val="18"/>
          <w:szCs w:val="18"/>
          <w:lang w:val="en-US"/>
        </w:rPr>
        <w:t>14 Division of Cardiology, Departments of Internal Medicine, Mackay Memorial Hospital, Taipei, Taiwan</w:t>
      </w:r>
    </w:p>
    <w:p w14:paraId="0BD026DF" w14:textId="03C99800" w:rsidR="00F51B41" w:rsidRPr="0003073C" w:rsidRDefault="00F51B41" w:rsidP="007419B4">
      <w:pPr>
        <w:rPr>
          <w:rFonts w:eastAsia="Times New Roman"/>
          <w:sz w:val="18"/>
          <w:szCs w:val="18"/>
          <w:lang w:val="en-US"/>
        </w:rPr>
      </w:pPr>
      <w:r w:rsidRPr="0003073C">
        <w:rPr>
          <w:rFonts w:eastAsia="Times New Roman"/>
          <w:sz w:val="18"/>
          <w:szCs w:val="18"/>
          <w:lang w:val="en-US"/>
        </w:rPr>
        <w:t xml:space="preserve">15 </w:t>
      </w:r>
      <w:r w:rsidR="005010D9" w:rsidRPr="0003073C">
        <w:rPr>
          <w:rFonts w:eastAsia="Times New Roman"/>
          <w:sz w:val="18"/>
          <w:szCs w:val="18"/>
          <w:lang w:val="en-US"/>
        </w:rPr>
        <w:t xml:space="preserve">Sir </w:t>
      </w:r>
      <w:proofErr w:type="spellStart"/>
      <w:r w:rsidR="005010D9" w:rsidRPr="0003073C">
        <w:rPr>
          <w:rFonts w:eastAsia="Times New Roman"/>
          <w:sz w:val="18"/>
          <w:szCs w:val="18"/>
          <w:lang w:val="en-US"/>
        </w:rPr>
        <w:t>Gangaram</w:t>
      </w:r>
      <w:proofErr w:type="spellEnd"/>
      <w:r w:rsidR="005010D9" w:rsidRPr="0003073C">
        <w:rPr>
          <w:rFonts w:eastAsia="Times New Roman"/>
          <w:sz w:val="18"/>
          <w:szCs w:val="18"/>
          <w:lang w:val="en-US"/>
        </w:rPr>
        <w:t xml:space="preserve"> Hospital, New Delhi, India.</w:t>
      </w:r>
    </w:p>
    <w:p w14:paraId="1FE7480D" w14:textId="67D8DA2A" w:rsidR="00F51B41" w:rsidRPr="0003073C" w:rsidRDefault="00F51B41" w:rsidP="007419B4">
      <w:pPr>
        <w:rPr>
          <w:rFonts w:eastAsia="Times New Roman"/>
          <w:sz w:val="18"/>
          <w:szCs w:val="18"/>
          <w:lang w:val="en-US"/>
        </w:rPr>
      </w:pPr>
      <w:r w:rsidRPr="0003073C">
        <w:rPr>
          <w:rFonts w:eastAsia="Times New Roman"/>
          <w:sz w:val="18"/>
          <w:szCs w:val="18"/>
          <w:lang w:val="en-US"/>
        </w:rPr>
        <w:t xml:space="preserve">16 </w:t>
      </w:r>
      <w:r w:rsidR="005010D9" w:rsidRPr="0003073C">
        <w:rPr>
          <w:rFonts w:eastAsia="Times New Roman"/>
          <w:sz w:val="18"/>
          <w:szCs w:val="18"/>
          <w:lang w:val="en-US"/>
        </w:rPr>
        <w:t>CIMS Hospital, Ahmedabad, Gujarat, India.</w:t>
      </w:r>
    </w:p>
    <w:p w14:paraId="6CCD07BA" w14:textId="6F5E4ACD" w:rsidR="00503AE2" w:rsidRPr="0003073C" w:rsidRDefault="00C6169B" w:rsidP="007419B4">
      <w:pPr>
        <w:rPr>
          <w:rFonts w:eastAsia="Times New Roman"/>
          <w:sz w:val="18"/>
          <w:szCs w:val="18"/>
          <w:lang w:val="en-US"/>
        </w:rPr>
      </w:pPr>
      <w:r w:rsidRPr="0003073C">
        <w:rPr>
          <w:sz w:val="18"/>
          <w:szCs w:val="18"/>
          <w:lang w:val="en-US" w:eastAsia="en-US"/>
        </w:rPr>
        <w:t>17</w:t>
      </w:r>
      <w:r w:rsidR="00503AE2" w:rsidRPr="0003073C">
        <w:rPr>
          <w:rFonts w:eastAsia="MS Gothic"/>
          <w:sz w:val="18"/>
          <w:szCs w:val="18"/>
          <w:lang w:val="en-US"/>
        </w:rPr>
        <w:t xml:space="preserve"> Department of Cardiology.</w:t>
      </w:r>
      <w:r w:rsidR="00503AE2" w:rsidRPr="0003073C">
        <w:rPr>
          <w:rFonts w:eastAsia="Times New Roman"/>
          <w:sz w:val="18"/>
          <w:szCs w:val="18"/>
          <w:lang w:val="en-US"/>
        </w:rPr>
        <w:t xml:space="preserve"> </w:t>
      </w:r>
      <w:r w:rsidR="00503AE2" w:rsidRPr="0003073C">
        <w:rPr>
          <w:rFonts w:eastAsia="MS Gothic"/>
          <w:sz w:val="18"/>
          <w:szCs w:val="18"/>
          <w:lang w:val="en-US"/>
        </w:rPr>
        <w:t>Tokyo Women`s Medical University</w:t>
      </w:r>
      <w:r w:rsidR="00503AE2" w:rsidRPr="0003073C">
        <w:rPr>
          <w:rFonts w:eastAsia="Times New Roman"/>
          <w:sz w:val="18"/>
          <w:szCs w:val="18"/>
          <w:lang w:val="en-US"/>
        </w:rPr>
        <w:t xml:space="preserve"> </w:t>
      </w:r>
      <w:r w:rsidR="00503AE2" w:rsidRPr="0003073C">
        <w:rPr>
          <w:rFonts w:eastAsia="MS Gothic"/>
          <w:sz w:val="18"/>
          <w:szCs w:val="18"/>
          <w:lang w:val="en-US"/>
        </w:rPr>
        <w:t>8-1 Kawada-</w:t>
      </w:r>
      <w:proofErr w:type="spellStart"/>
      <w:r w:rsidR="00503AE2" w:rsidRPr="0003073C">
        <w:rPr>
          <w:rFonts w:eastAsia="MS Gothic"/>
          <w:sz w:val="18"/>
          <w:szCs w:val="18"/>
          <w:lang w:val="en-US"/>
        </w:rPr>
        <w:t>cho</w:t>
      </w:r>
      <w:proofErr w:type="spellEnd"/>
      <w:r w:rsidR="00503AE2" w:rsidRPr="0003073C">
        <w:rPr>
          <w:rFonts w:eastAsia="MS Gothic"/>
          <w:sz w:val="18"/>
          <w:szCs w:val="18"/>
          <w:lang w:val="en-US"/>
        </w:rPr>
        <w:t>, Shinjuku-</w:t>
      </w:r>
      <w:proofErr w:type="spellStart"/>
      <w:r w:rsidR="00503AE2" w:rsidRPr="0003073C">
        <w:rPr>
          <w:rFonts w:eastAsia="MS Gothic"/>
          <w:sz w:val="18"/>
          <w:szCs w:val="18"/>
          <w:lang w:val="en-US"/>
        </w:rPr>
        <w:t>ku</w:t>
      </w:r>
      <w:proofErr w:type="spellEnd"/>
      <w:r w:rsidR="00503AE2" w:rsidRPr="0003073C">
        <w:rPr>
          <w:rFonts w:eastAsia="MS Gothic"/>
          <w:sz w:val="18"/>
          <w:szCs w:val="18"/>
          <w:lang w:val="en-US"/>
        </w:rPr>
        <w:t>, Tokyo</w:t>
      </w:r>
    </w:p>
    <w:p w14:paraId="7827E3B9" w14:textId="3519CA69" w:rsidR="00503AE2" w:rsidRPr="0003073C" w:rsidRDefault="00503AE2" w:rsidP="007419B4">
      <w:pPr>
        <w:rPr>
          <w:rFonts w:eastAsia="Times New Roman"/>
          <w:sz w:val="18"/>
          <w:szCs w:val="18"/>
          <w:lang w:val="en-US"/>
        </w:rPr>
      </w:pPr>
      <w:r w:rsidRPr="0003073C">
        <w:rPr>
          <w:rFonts w:eastAsia="Times New Roman"/>
          <w:sz w:val="18"/>
          <w:szCs w:val="18"/>
          <w:lang w:val="en-US"/>
        </w:rPr>
        <w:t xml:space="preserve">18 Department of Cardiovascular Medicine, </w:t>
      </w:r>
      <w:r w:rsidRPr="0003073C">
        <w:rPr>
          <w:rFonts w:eastAsia="Times New Roman"/>
          <w:sz w:val="18"/>
          <w:szCs w:val="18"/>
          <w:shd w:val="clear" w:color="auto" w:fill="FFFFFF"/>
          <w:lang w:val="en-US"/>
        </w:rPr>
        <w:t>Graduate School of Medicine, </w:t>
      </w:r>
      <w:r w:rsidRPr="0003073C">
        <w:rPr>
          <w:rFonts w:eastAsia="Times New Roman"/>
          <w:sz w:val="18"/>
          <w:szCs w:val="18"/>
          <w:lang w:val="en-US"/>
        </w:rPr>
        <w:t>Nippon Medical School</w:t>
      </w:r>
    </w:p>
    <w:p w14:paraId="146B42DC" w14:textId="77777777" w:rsidR="005010D9" w:rsidRPr="0003073C" w:rsidRDefault="005124EA" w:rsidP="007419B4">
      <w:pPr>
        <w:rPr>
          <w:sz w:val="18"/>
          <w:szCs w:val="18"/>
          <w:lang w:val="en-US"/>
        </w:rPr>
      </w:pPr>
      <w:r w:rsidRPr="0003073C">
        <w:rPr>
          <w:rFonts w:eastAsia="Times New Roman"/>
          <w:sz w:val="18"/>
          <w:szCs w:val="18"/>
          <w:shd w:val="clear" w:color="auto" w:fill="F5F5F5"/>
          <w:lang w:val="en-US"/>
        </w:rPr>
        <w:t>1</w:t>
      </w:r>
      <w:r w:rsidR="00CC671B" w:rsidRPr="0003073C">
        <w:rPr>
          <w:rFonts w:eastAsia="Times New Roman"/>
          <w:sz w:val="18"/>
          <w:szCs w:val="18"/>
          <w:shd w:val="clear" w:color="auto" w:fill="F5F5F5"/>
          <w:lang w:val="en-US"/>
        </w:rPr>
        <w:t>9</w:t>
      </w:r>
      <w:r w:rsidR="006D008B" w:rsidRPr="0003073C">
        <w:rPr>
          <w:rFonts w:eastAsia="Times New Roman"/>
          <w:sz w:val="18"/>
          <w:szCs w:val="18"/>
          <w:shd w:val="clear" w:color="auto" w:fill="F5F5F5"/>
          <w:lang w:val="en-US"/>
        </w:rPr>
        <w:t xml:space="preserve"> </w:t>
      </w:r>
      <w:proofErr w:type="spellStart"/>
      <w:r w:rsidR="005010D9" w:rsidRPr="0003073C">
        <w:rPr>
          <w:sz w:val="18"/>
          <w:szCs w:val="18"/>
          <w:shd w:val="clear" w:color="auto" w:fill="FFFFFF"/>
          <w:lang w:val="en-US"/>
        </w:rPr>
        <w:t>Dayanand</w:t>
      </w:r>
      <w:proofErr w:type="spellEnd"/>
      <w:r w:rsidR="005010D9" w:rsidRPr="0003073C">
        <w:rPr>
          <w:sz w:val="18"/>
          <w:szCs w:val="18"/>
          <w:shd w:val="clear" w:color="auto" w:fill="FFFFFF"/>
          <w:lang w:val="en-US"/>
        </w:rPr>
        <w:t xml:space="preserve"> Medical College and Hospital, Ludhiana, Punjab, India</w:t>
      </w:r>
    </w:p>
    <w:p w14:paraId="25E1ECCB" w14:textId="5CAD7F89" w:rsidR="00AD0635" w:rsidRPr="0003073C" w:rsidRDefault="005124EA" w:rsidP="007419B4">
      <w:pPr>
        <w:rPr>
          <w:rFonts w:eastAsia="Times New Roman"/>
          <w:sz w:val="18"/>
          <w:szCs w:val="18"/>
          <w:lang w:val="en-US"/>
        </w:rPr>
      </w:pPr>
      <w:r w:rsidRPr="0003073C">
        <w:rPr>
          <w:sz w:val="18"/>
          <w:szCs w:val="18"/>
          <w:lang w:val="en-US" w:eastAsia="en-US"/>
        </w:rPr>
        <w:t xml:space="preserve">20 </w:t>
      </w:r>
      <w:r w:rsidR="00AD0635" w:rsidRPr="0003073C">
        <w:rPr>
          <w:sz w:val="18"/>
          <w:szCs w:val="18"/>
          <w:lang w:val="en-US" w:eastAsia="en-US"/>
        </w:rPr>
        <w:t xml:space="preserve">Veterans Affairs Medical Center, Minneapolis, MN, </w:t>
      </w:r>
      <w:r w:rsidR="005010D9" w:rsidRPr="0003073C">
        <w:rPr>
          <w:rFonts w:eastAsia="Times New Roman"/>
          <w:sz w:val="18"/>
          <w:szCs w:val="18"/>
          <w:shd w:val="clear" w:color="auto" w:fill="FFFFFF"/>
          <w:lang w:val="en-US"/>
        </w:rPr>
        <w:t>United States of America.</w:t>
      </w:r>
    </w:p>
    <w:p w14:paraId="05DE0192" w14:textId="47E0988C" w:rsidR="003E4D84" w:rsidRPr="0003073C" w:rsidRDefault="005124EA" w:rsidP="007419B4">
      <w:pPr>
        <w:autoSpaceDE w:val="0"/>
        <w:autoSpaceDN w:val="0"/>
        <w:adjustRightInd w:val="0"/>
        <w:rPr>
          <w:sz w:val="18"/>
          <w:szCs w:val="18"/>
          <w:lang w:val="en-US" w:eastAsia="en-US"/>
        </w:rPr>
      </w:pPr>
      <w:r w:rsidRPr="0003073C">
        <w:rPr>
          <w:sz w:val="18"/>
          <w:szCs w:val="18"/>
          <w:lang w:val="en-US" w:eastAsia="en-US"/>
        </w:rPr>
        <w:t>21</w:t>
      </w:r>
      <w:r w:rsidR="009273AC" w:rsidRPr="0003073C">
        <w:rPr>
          <w:sz w:val="18"/>
          <w:szCs w:val="18"/>
          <w:lang w:val="en-US" w:eastAsia="en-US"/>
        </w:rPr>
        <w:t xml:space="preserve"> </w:t>
      </w:r>
      <w:r w:rsidR="003E4D84" w:rsidRPr="0003073C">
        <w:rPr>
          <w:sz w:val="18"/>
          <w:szCs w:val="18"/>
          <w:lang w:val="en-US" w:eastAsia="en-US"/>
        </w:rPr>
        <w:t>Cardiovascular Research Institute, National University Heart Centre, Singapore, Singapore</w:t>
      </w:r>
    </w:p>
    <w:p w14:paraId="448607C0" w14:textId="138D1BAC" w:rsidR="001E0801" w:rsidRPr="0003073C" w:rsidRDefault="005124EA" w:rsidP="007419B4">
      <w:pPr>
        <w:autoSpaceDE w:val="0"/>
        <w:autoSpaceDN w:val="0"/>
        <w:adjustRightInd w:val="0"/>
        <w:rPr>
          <w:sz w:val="18"/>
          <w:szCs w:val="18"/>
          <w:lang w:val="en-US" w:eastAsia="en-US"/>
        </w:rPr>
      </w:pPr>
      <w:r w:rsidRPr="0003073C">
        <w:rPr>
          <w:sz w:val="18"/>
          <w:szCs w:val="18"/>
          <w:lang w:val="en-US" w:eastAsia="en-US"/>
        </w:rPr>
        <w:t>22</w:t>
      </w:r>
      <w:r w:rsidR="009273AC" w:rsidRPr="0003073C">
        <w:rPr>
          <w:sz w:val="18"/>
          <w:szCs w:val="18"/>
          <w:lang w:val="en-US" w:eastAsia="en-US"/>
        </w:rPr>
        <w:t xml:space="preserve"> </w:t>
      </w:r>
      <w:r w:rsidR="003E4D84" w:rsidRPr="0003073C">
        <w:rPr>
          <w:sz w:val="18"/>
          <w:szCs w:val="18"/>
          <w:lang w:val="en-US" w:eastAsia="en-US"/>
        </w:rPr>
        <w:t>University of Otago, Dunedin, New Zealand</w:t>
      </w:r>
    </w:p>
    <w:p w14:paraId="6DDD1010" w14:textId="77777777" w:rsidR="00BB3B76" w:rsidRPr="0003073C" w:rsidRDefault="00BB3B76" w:rsidP="007419B4">
      <w:pPr>
        <w:spacing w:line="200" w:lineRule="exact"/>
        <w:ind w:right="50"/>
        <w:rPr>
          <w:sz w:val="22"/>
          <w:szCs w:val="22"/>
          <w:lang w:val="en-US"/>
        </w:rPr>
      </w:pPr>
    </w:p>
    <w:p w14:paraId="16CA5D47" w14:textId="3257B776" w:rsidR="001E0801" w:rsidRPr="0003073C" w:rsidRDefault="0012086E" w:rsidP="007419B4">
      <w:pPr>
        <w:spacing w:line="480" w:lineRule="auto"/>
        <w:rPr>
          <w:sz w:val="22"/>
          <w:szCs w:val="22"/>
          <w:lang w:val="en-US"/>
        </w:rPr>
      </w:pPr>
      <w:r w:rsidRPr="0003073C">
        <w:rPr>
          <w:b/>
          <w:sz w:val="22"/>
          <w:szCs w:val="22"/>
          <w:lang w:val="en-US"/>
        </w:rPr>
        <w:t xml:space="preserve">ClinicalTrials.gov Identifier: </w:t>
      </w:r>
      <w:r w:rsidRPr="0003073C">
        <w:rPr>
          <w:sz w:val="22"/>
          <w:szCs w:val="22"/>
          <w:lang w:val="en-US"/>
        </w:rPr>
        <w:t>NCT01633398</w:t>
      </w:r>
    </w:p>
    <w:p w14:paraId="42E34700" w14:textId="0AE26CAF" w:rsidR="00FE3BAA" w:rsidRPr="0003073C" w:rsidRDefault="001E0801" w:rsidP="007419B4">
      <w:pPr>
        <w:spacing w:line="200" w:lineRule="exact"/>
        <w:ind w:right="50"/>
        <w:rPr>
          <w:sz w:val="22"/>
          <w:szCs w:val="22"/>
          <w:lang w:val="en-US"/>
        </w:rPr>
      </w:pPr>
      <w:r w:rsidRPr="0003073C">
        <w:rPr>
          <w:sz w:val="22"/>
          <w:szCs w:val="22"/>
          <w:lang w:val="en-US"/>
        </w:rPr>
        <w:t xml:space="preserve">Total word count: </w:t>
      </w:r>
      <w:r w:rsidR="00506798" w:rsidRPr="0003073C">
        <w:rPr>
          <w:sz w:val="22"/>
          <w:szCs w:val="22"/>
          <w:lang w:val="en-US"/>
        </w:rPr>
        <w:t>3,02</w:t>
      </w:r>
      <w:r w:rsidR="007D17A6" w:rsidRPr="0003073C">
        <w:rPr>
          <w:sz w:val="22"/>
          <w:szCs w:val="22"/>
          <w:lang w:val="en-US"/>
        </w:rPr>
        <w:t>2</w:t>
      </w:r>
      <w:r w:rsidR="00506798" w:rsidRPr="0003073C">
        <w:rPr>
          <w:sz w:val="22"/>
          <w:szCs w:val="22"/>
          <w:lang w:val="en-US"/>
        </w:rPr>
        <w:t xml:space="preserve"> </w:t>
      </w:r>
      <w:r w:rsidR="00967BB7" w:rsidRPr="0003073C">
        <w:rPr>
          <w:sz w:val="22"/>
          <w:szCs w:val="22"/>
          <w:lang w:val="en-US"/>
        </w:rPr>
        <w:t>m</w:t>
      </w:r>
      <w:r w:rsidR="00506798" w:rsidRPr="0003073C">
        <w:rPr>
          <w:sz w:val="22"/>
          <w:szCs w:val="22"/>
          <w:lang w:val="en-US"/>
        </w:rPr>
        <w:t>ain text (+2,</w:t>
      </w:r>
      <w:r w:rsidR="001531FB" w:rsidRPr="0003073C">
        <w:rPr>
          <w:sz w:val="22"/>
          <w:szCs w:val="22"/>
          <w:lang w:val="en-US"/>
        </w:rPr>
        <w:t>3</w:t>
      </w:r>
      <w:r w:rsidR="00506798" w:rsidRPr="0003073C">
        <w:rPr>
          <w:sz w:val="22"/>
          <w:szCs w:val="22"/>
          <w:lang w:val="en-US"/>
        </w:rPr>
        <w:t>9</w:t>
      </w:r>
      <w:r w:rsidR="001531FB" w:rsidRPr="0003073C">
        <w:rPr>
          <w:sz w:val="22"/>
          <w:szCs w:val="22"/>
          <w:lang w:val="en-US"/>
        </w:rPr>
        <w:t>9</w:t>
      </w:r>
      <w:r w:rsidR="00506798" w:rsidRPr="0003073C">
        <w:rPr>
          <w:sz w:val="22"/>
          <w:szCs w:val="22"/>
          <w:lang w:val="en-US"/>
        </w:rPr>
        <w:t xml:space="preserve"> </w:t>
      </w:r>
      <w:r w:rsidR="00967BB7" w:rsidRPr="0003073C">
        <w:rPr>
          <w:sz w:val="22"/>
          <w:szCs w:val="22"/>
          <w:lang w:val="en-US"/>
        </w:rPr>
        <w:t xml:space="preserve">for </w:t>
      </w:r>
      <w:r w:rsidR="00506798" w:rsidRPr="0003073C">
        <w:rPr>
          <w:sz w:val="22"/>
          <w:szCs w:val="22"/>
          <w:lang w:val="en-US"/>
        </w:rPr>
        <w:t>references and figure legends)</w:t>
      </w:r>
    </w:p>
    <w:p w14:paraId="4EC715F7" w14:textId="337856A1" w:rsidR="001E0801" w:rsidRPr="0003073C" w:rsidRDefault="001E0801" w:rsidP="007419B4">
      <w:pPr>
        <w:spacing w:line="200" w:lineRule="exact"/>
        <w:ind w:right="50"/>
        <w:rPr>
          <w:sz w:val="22"/>
          <w:szCs w:val="22"/>
          <w:lang w:val="en-US"/>
        </w:rPr>
      </w:pPr>
      <w:r w:rsidRPr="0003073C">
        <w:rPr>
          <w:sz w:val="22"/>
          <w:szCs w:val="22"/>
          <w:lang w:val="en-US"/>
        </w:rPr>
        <w:t xml:space="preserve">Abstract word count: </w:t>
      </w:r>
      <w:r w:rsidR="00214333" w:rsidRPr="0003073C">
        <w:rPr>
          <w:sz w:val="22"/>
          <w:szCs w:val="22"/>
          <w:lang w:val="en-US"/>
        </w:rPr>
        <w:t>2</w:t>
      </w:r>
      <w:r w:rsidR="00F8183B" w:rsidRPr="0003073C">
        <w:rPr>
          <w:sz w:val="22"/>
          <w:szCs w:val="22"/>
          <w:lang w:val="en-US"/>
        </w:rPr>
        <w:t>54</w:t>
      </w:r>
    </w:p>
    <w:p w14:paraId="48D48228" w14:textId="64CD5744" w:rsidR="001C672E" w:rsidRPr="0003073C" w:rsidRDefault="001C672E" w:rsidP="007419B4">
      <w:pPr>
        <w:jc w:val="both"/>
        <w:rPr>
          <w:rFonts w:eastAsia="Times New Roman"/>
          <w:w w:val="105"/>
          <w:sz w:val="22"/>
          <w:szCs w:val="22"/>
          <w:lang w:val="en-US"/>
        </w:rPr>
      </w:pPr>
    </w:p>
    <w:p w14:paraId="3499B4FA" w14:textId="313311A4" w:rsidR="001C672E" w:rsidRPr="0003073C" w:rsidRDefault="001C672E" w:rsidP="007419B4">
      <w:pPr>
        <w:jc w:val="both"/>
        <w:rPr>
          <w:rFonts w:eastAsia="Times New Roman"/>
          <w:w w:val="105"/>
          <w:sz w:val="22"/>
          <w:szCs w:val="22"/>
          <w:lang w:val="en-US"/>
        </w:rPr>
      </w:pPr>
    </w:p>
    <w:p w14:paraId="0F3892B4" w14:textId="323C225B" w:rsidR="001C672E" w:rsidRPr="0003073C" w:rsidRDefault="001C672E" w:rsidP="007419B4">
      <w:pPr>
        <w:jc w:val="both"/>
        <w:rPr>
          <w:rFonts w:eastAsia="Times New Roman"/>
          <w:w w:val="105"/>
          <w:sz w:val="22"/>
          <w:szCs w:val="22"/>
          <w:lang w:val="en-US"/>
        </w:rPr>
      </w:pPr>
    </w:p>
    <w:p w14:paraId="47FED147" w14:textId="15AF70EE" w:rsidR="00646352" w:rsidRPr="0003073C" w:rsidRDefault="00646352" w:rsidP="007419B4">
      <w:pPr>
        <w:jc w:val="both"/>
        <w:rPr>
          <w:rFonts w:eastAsia="Times New Roman"/>
          <w:w w:val="105"/>
          <w:sz w:val="22"/>
          <w:szCs w:val="22"/>
          <w:lang w:val="en-US"/>
        </w:rPr>
      </w:pPr>
    </w:p>
    <w:p w14:paraId="068C0FAA" w14:textId="46419EE3" w:rsidR="00646352" w:rsidRPr="0003073C" w:rsidRDefault="00646352" w:rsidP="007419B4">
      <w:pPr>
        <w:jc w:val="both"/>
        <w:rPr>
          <w:rFonts w:eastAsia="Times New Roman"/>
          <w:w w:val="105"/>
          <w:sz w:val="22"/>
          <w:szCs w:val="22"/>
          <w:lang w:val="en-US"/>
        </w:rPr>
      </w:pPr>
    </w:p>
    <w:p w14:paraId="5E7931CC" w14:textId="77777777" w:rsidR="00646352" w:rsidRPr="0003073C" w:rsidRDefault="00646352" w:rsidP="007419B4">
      <w:pPr>
        <w:jc w:val="both"/>
        <w:rPr>
          <w:rFonts w:eastAsia="Times New Roman"/>
          <w:w w:val="105"/>
          <w:sz w:val="22"/>
          <w:szCs w:val="22"/>
          <w:lang w:val="en-US"/>
        </w:rPr>
      </w:pPr>
    </w:p>
    <w:p w14:paraId="667E6272" w14:textId="345C0264" w:rsidR="005B4B91" w:rsidRPr="0003073C" w:rsidRDefault="00596271" w:rsidP="007419B4">
      <w:pPr>
        <w:jc w:val="both"/>
        <w:rPr>
          <w:rFonts w:eastAsia="Calibri"/>
          <w:sz w:val="22"/>
          <w:szCs w:val="22"/>
          <w:lang w:val="en-GB" w:eastAsia="en-US"/>
        </w:rPr>
      </w:pPr>
      <w:r w:rsidRPr="0003073C">
        <w:rPr>
          <w:rFonts w:eastAsia="Times New Roman"/>
          <w:w w:val="105"/>
          <w:sz w:val="22"/>
          <w:szCs w:val="22"/>
          <w:lang w:val="en-US"/>
        </w:rPr>
        <w:t>Corres</w:t>
      </w:r>
      <w:r w:rsidRPr="0003073C">
        <w:rPr>
          <w:rFonts w:eastAsia="Times New Roman"/>
          <w:spacing w:val="5"/>
          <w:w w:val="105"/>
          <w:sz w:val="22"/>
          <w:szCs w:val="22"/>
          <w:lang w:val="en-US"/>
        </w:rPr>
        <w:t>p</w:t>
      </w:r>
      <w:r w:rsidRPr="0003073C">
        <w:rPr>
          <w:rFonts w:eastAsia="Times New Roman"/>
          <w:w w:val="105"/>
          <w:sz w:val="22"/>
          <w:szCs w:val="22"/>
          <w:lang w:val="en-US"/>
        </w:rPr>
        <w:t>onding</w:t>
      </w:r>
      <w:r w:rsidRPr="0003073C">
        <w:rPr>
          <w:rFonts w:eastAsia="Times New Roman"/>
          <w:spacing w:val="50"/>
          <w:w w:val="105"/>
          <w:sz w:val="22"/>
          <w:szCs w:val="22"/>
          <w:lang w:val="en-US"/>
        </w:rPr>
        <w:t xml:space="preserve"> </w:t>
      </w:r>
      <w:r w:rsidRPr="0003073C">
        <w:rPr>
          <w:rFonts w:eastAsia="Times New Roman"/>
          <w:w w:val="105"/>
          <w:sz w:val="22"/>
          <w:szCs w:val="22"/>
          <w:lang w:val="en-US"/>
        </w:rPr>
        <w:t>author:</w:t>
      </w:r>
      <w:r w:rsidR="005B4B91" w:rsidRPr="0003073C">
        <w:rPr>
          <w:rFonts w:eastAsia="Calibri"/>
          <w:sz w:val="22"/>
          <w:szCs w:val="22"/>
          <w:lang w:val="en-GB" w:eastAsia="en-US"/>
        </w:rPr>
        <w:t xml:space="preserve"> </w:t>
      </w:r>
      <w:r w:rsidR="005B4B91" w:rsidRPr="0003073C">
        <w:rPr>
          <w:rFonts w:eastAsia="Calibri"/>
          <w:sz w:val="22"/>
          <w:szCs w:val="22"/>
          <w:lang w:val="en-GB" w:eastAsia="en-US"/>
        </w:rPr>
        <w:tab/>
        <w:t xml:space="preserve">Professor Carolyn S. P. Lam. MBBS, </w:t>
      </w:r>
      <w:r w:rsidR="00836A9B" w:rsidRPr="0003073C">
        <w:rPr>
          <w:rFonts w:eastAsia="Calibri"/>
          <w:sz w:val="22"/>
          <w:szCs w:val="22"/>
          <w:lang w:val="en-GB" w:eastAsia="en-US"/>
        </w:rPr>
        <w:t xml:space="preserve">MD, </w:t>
      </w:r>
      <w:r w:rsidR="005B4B91" w:rsidRPr="0003073C">
        <w:rPr>
          <w:rFonts w:eastAsia="Calibri"/>
          <w:sz w:val="22"/>
          <w:szCs w:val="22"/>
          <w:lang w:val="en-GB" w:eastAsia="en-US"/>
        </w:rPr>
        <w:t>PhD</w:t>
      </w:r>
    </w:p>
    <w:p w14:paraId="1993ADF8" w14:textId="77777777" w:rsidR="005B4B91" w:rsidRPr="0003073C" w:rsidRDefault="005B4B91" w:rsidP="007419B4">
      <w:pPr>
        <w:ind w:firstLine="720"/>
        <w:jc w:val="both"/>
        <w:rPr>
          <w:rFonts w:eastAsia="Calibri"/>
          <w:sz w:val="22"/>
          <w:szCs w:val="22"/>
          <w:lang w:val="en-GB" w:eastAsia="en-US"/>
        </w:rPr>
      </w:pPr>
      <w:r w:rsidRPr="0003073C">
        <w:rPr>
          <w:rFonts w:eastAsia="Calibri"/>
          <w:sz w:val="22"/>
          <w:szCs w:val="22"/>
          <w:lang w:val="en-GB" w:eastAsia="en-US"/>
        </w:rPr>
        <w:t>National Heart Centre Singapore.</w:t>
      </w:r>
    </w:p>
    <w:p w14:paraId="5185D4EA" w14:textId="77777777" w:rsidR="005B4B91" w:rsidRPr="0003073C" w:rsidRDefault="005B4B91" w:rsidP="007419B4">
      <w:pPr>
        <w:ind w:firstLine="720"/>
        <w:jc w:val="both"/>
        <w:rPr>
          <w:rFonts w:eastAsia="Calibri"/>
          <w:sz w:val="22"/>
          <w:szCs w:val="22"/>
          <w:lang w:val="en-GB" w:eastAsia="en-US"/>
        </w:rPr>
      </w:pPr>
      <w:r w:rsidRPr="0003073C">
        <w:rPr>
          <w:rFonts w:eastAsia="Calibri"/>
          <w:sz w:val="22"/>
          <w:szCs w:val="22"/>
          <w:lang w:val="en-GB" w:eastAsia="en-US"/>
        </w:rPr>
        <w:t>5 Hospital Dr, Singapore 169609, Singapore.</w:t>
      </w:r>
    </w:p>
    <w:p w14:paraId="1645FC56" w14:textId="77777777" w:rsidR="005B4B91" w:rsidRPr="00E30D79" w:rsidRDefault="005B4B91" w:rsidP="007419B4">
      <w:pPr>
        <w:ind w:firstLine="720"/>
        <w:jc w:val="both"/>
        <w:rPr>
          <w:rFonts w:eastAsia="Calibri"/>
          <w:sz w:val="22"/>
          <w:szCs w:val="22"/>
          <w:lang w:val="fr-FR" w:eastAsia="en-US"/>
        </w:rPr>
      </w:pPr>
      <w:r w:rsidRPr="00E30D79">
        <w:rPr>
          <w:rFonts w:eastAsia="Calibri"/>
          <w:sz w:val="22"/>
          <w:szCs w:val="22"/>
          <w:lang w:val="fr-FR" w:eastAsia="en-US"/>
        </w:rPr>
        <w:t>Tel. +65 67048965; Fax +65 68449069.</w:t>
      </w:r>
    </w:p>
    <w:p w14:paraId="2FE67B0F" w14:textId="77777777" w:rsidR="005B4B91" w:rsidRPr="00E30D79" w:rsidRDefault="005B4B91" w:rsidP="007419B4">
      <w:pPr>
        <w:ind w:right="41" w:firstLine="720"/>
        <w:rPr>
          <w:rFonts w:eastAsia="Calibri"/>
          <w:sz w:val="22"/>
          <w:szCs w:val="22"/>
          <w:u w:val="single"/>
          <w:lang w:val="fr-FR" w:eastAsia="en-US"/>
        </w:rPr>
      </w:pPr>
      <w:r w:rsidRPr="00E30D79">
        <w:rPr>
          <w:rFonts w:eastAsia="Calibri"/>
          <w:sz w:val="22"/>
          <w:szCs w:val="22"/>
          <w:lang w:val="fr-FR" w:eastAsia="en-US"/>
        </w:rPr>
        <w:t xml:space="preserve">E-mail: </w:t>
      </w:r>
      <w:hyperlink r:id="rId8" w:history="1">
        <w:r w:rsidRPr="00E30D79">
          <w:rPr>
            <w:rFonts w:eastAsia="Calibri"/>
            <w:sz w:val="22"/>
            <w:szCs w:val="22"/>
            <w:u w:val="single"/>
            <w:lang w:val="fr-FR" w:eastAsia="en-US"/>
          </w:rPr>
          <w:t>carolyn.lam@duke-nus.edu.sg</w:t>
        </w:r>
      </w:hyperlink>
    </w:p>
    <w:p w14:paraId="36E7525E" w14:textId="77777777" w:rsidR="005B4B91" w:rsidRPr="00E30D79" w:rsidRDefault="005B4B91" w:rsidP="007419B4">
      <w:pPr>
        <w:widowControl w:val="0"/>
        <w:rPr>
          <w:rFonts w:eastAsia="Calibri"/>
          <w:sz w:val="22"/>
          <w:szCs w:val="22"/>
          <w:lang w:val="fr-FR" w:eastAsia="en-US"/>
        </w:rPr>
      </w:pPr>
      <w:r w:rsidRPr="00E30D79">
        <w:rPr>
          <w:rFonts w:eastAsia="Calibri"/>
          <w:sz w:val="22"/>
          <w:szCs w:val="22"/>
          <w:lang w:val="fr-FR" w:eastAsia="en-US"/>
        </w:rPr>
        <w:br w:type="page"/>
      </w:r>
    </w:p>
    <w:p w14:paraId="7794BC28" w14:textId="77777777" w:rsidR="00A13DAE" w:rsidRPr="00E30D79" w:rsidRDefault="00A13DAE" w:rsidP="00923F50">
      <w:pPr>
        <w:spacing w:line="480" w:lineRule="auto"/>
        <w:ind w:right="40"/>
        <w:rPr>
          <w:b/>
          <w:bCs/>
          <w:w w:val="115"/>
          <w:lang w:val="fr-FR"/>
        </w:rPr>
        <w:sectPr w:rsidR="00A13DAE" w:rsidRPr="00E30D79" w:rsidSect="00A13DAE">
          <w:footerReference w:type="default" r:id="rId9"/>
          <w:type w:val="continuous"/>
          <w:pgSz w:w="11906" w:h="16840"/>
          <w:pgMar w:top="1560" w:right="820" w:bottom="2600" w:left="1680" w:header="708" w:footer="708" w:gutter="0"/>
          <w:lnNumType w:countBy="1"/>
          <w:cols w:space="708"/>
          <w:docGrid w:linePitch="326"/>
        </w:sectPr>
      </w:pPr>
    </w:p>
    <w:p w14:paraId="4D2A033A" w14:textId="0C7ECD40" w:rsidR="00923F50" w:rsidRPr="00E30D79" w:rsidRDefault="00923F50" w:rsidP="00923F50">
      <w:pPr>
        <w:spacing w:line="480" w:lineRule="auto"/>
        <w:ind w:right="40"/>
        <w:rPr>
          <w:b/>
          <w:bCs/>
          <w:lang w:val="fr-FR"/>
        </w:rPr>
      </w:pPr>
      <w:r w:rsidRPr="00E30D79">
        <w:rPr>
          <w:b/>
          <w:bCs/>
          <w:w w:val="115"/>
          <w:lang w:val="fr-FR"/>
        </w:rPr>
        <w:lastRenderedPageBreak/>
        <w:t>Key Points</w:t>
      </w:r>
    </w:p>
    <w:p w14:paraId="4463828D" w14:textId="07B0ED8E" w:rsidR="00923F50" w:rsidRPr="0003073C" w:rsidRDefault="00923F50" w:rsidP="00AF20D5">
      <w:pPr>
        <w:spacing w:line="480" w:lineRule="auto"/>
        <w:rPr>
          <w:lang w:val="en-US"/>
        </w:rPr>
      </w:pPr>
      <w:r w:rsidRPr="0003073C">
        <w:rPr>
          <w:rFonts w:eastAsia="Times New Roman"/>
          <w:b/>
          <w:bCs/>
          <w:lang w:val="en-US"/>
        </w:rPr>
        <w:t>Question:</w:t>
      </w:r>
      <w:r w:rsidRPr="0003073C">
        <w:rPr>
          <w:lang w:val="en-US"/>
        </w:rPr>
        <w:t xml:space="preserve"> Are better outcomes associated with lower combined doses of both </w:t>
      </w:r>
      <w:proofErr w:type="spellStart"/>
      <w:r w:rsidRPr="0003073C">
        <w:rPr>
          <w:rFonts w:eastAsiaTheme="minorEastAsia"/>
          <w:lang w:val="en-US" w:eastAsia="ja-JP"/>
        </w:rPr>
        <w:t>ACEi</w:t>
      </w:r>
      <w:proofErr w:type="spellEnd"/>
      <w:r w:rsidRPr="0003073C">
        <w:rPr>
          <w:rFonts w:eastAsiaTheme="minorEastAsia"/>
          <w:lang w:val="en-US" w:eastAsia="ja-JP"/>
        </w:rPr>
        <w:t xml:space="preserve">/ARB and </w:t>
      </w:r>
      <w:r w:rsidRPr="0003073C">
        <w:rPr>
          <w:lang w:val="en-GB"/>
        </w:rPr>
        <w:t xml:space="preserve">β-blockers, versus </w:t>
      </w:r>
      <w:r w:rsidRPr="0003073C">
        <w:rPr>
          <w:lang w:val="en-US"/>
        </w:rPr>
        <w:t xml:space="preserve">the high target doses of either β-blockers or </w:t>
      </w:r>
      <w:proofErr w:type="spellStart"/>
      <w:r w:rsidRPr="0003073C">
        <w:rPr>
          <w:lang w:val="en-GB"/>
        </w:rPr>
        <w:t>ACEi</w:t>
      </w:r>
      <w:proofErr w:type="spellEnd"/>
      <w:r w:rsidRPr="0003073C">
        <w:rPr>
          <w:lang w:val="en-GB"/>
        </w:rPr>
        <w:t xml:space="preserve">/ARBs </w:t>
      </w:r>
      <w:r w:rsidRPr="0003073C">
        <w:rPr>
          <w:lang w:val="en-US"/>
        </w:rPr>
        <w:t>alone, and which should have priority during up-titration?</w:t>
      </w:r>
    </w:p>
    <w:p w14:paraId="72B02E1D" w14:textId="073D60A0" w:rsidR="00923F50" w:rsidRPr="0003073C" w:rsidRDefault="00923F50" w:rsidP="00AF20D5">
      <w:pPr>
        <w:spacing w:after="300" w:line="480" w:lineRule="auto"/>
        <w:rPr>
          <w:rFonts w:eastAsia="Times New Roman"/>
          <w:lang w:val="en-US"/>
        </w:rPr>
      </w:pPr>
      <w:r w:rsidRPr="0003073C">
        <w:rPr>
          <w:rFonts w:eastAsia="Times New Roman"/>
          <w:b/>
          <w:bCs/>
          <w:lang w:val="en-US"/>
        </w:rPr>
        <w:t>Findings:</w:t>
      </w:r>
      <w:r w:rsidRPr="0003073C">
        <w:rPr>
          <w:lang w:val="en-GB"/>
        </w:rPr>
        <w:t xml:space="preserve"> In our cohort study we found that lower dose of combined therapy was associated with better outcomes than guideline recommended target doses of either monotherapy. Up-titrating β-blockers was associated with a consistent and greater reduction in hazards of all-cause mortality (HR for 100% GRTD: 0.40, 95% CI 0.25-0.63</w:t>
      </w:r>
      <w:r w:rsidR="00047B8C" w:rsidRPr="0003073C">
        <w:rPr>
          <w:lang w:val="en-GB"/>
        </w:rPr>
        <w:t>, compared to no treatment</w:t>
      </w:r>
      <w:r w:rsidRPr="0003073C">
        <w:rPr>
          <w:lang w:val="en-GB"/>
        </w:rPr>
        <w:t xml:space="preserve">) than corresponding </w:t>
      </w:r>
      <w:proofErr w:type="spellStart"/>
      <w:r w:rsidRPr="0003073C">
        <w:rPr>
          <w:lang w:val="en-GB"/>
        </w:rPr>
        <w:t>ACEi</w:t>
      </w:r>
      <w:proofErr w:type="spellEnd"/>
      <w:r w:rsidRPr="0003073C">
        <w:rPr>
          <w:lang w:val="en-GB"/>
        </w:rPr>
        <w:t>/ARB up-titration (HR: 0.75, 95% CI 0.53-1.07).</w:t>
      </w:r>
    </w:p>
    <w:p w14:paraId="2C55D7F8" w14:textId="7E7FB6B3" w:rsidR="00AF20D5" w:rsidRPr="0003073C" w:rsidRDefault="00923F50" w:rsidP="00AF20D5">
      <w:pPr>
        <w:spacing w:line="480" w:lineRule="auto"/>
        <w:rPr>
          <w:lang w:val="en-US"/>
        </w:rPr>
      </w:pPr>
      <w:r w:rsidRPr="0003073C">
        <w:rPr>
          <w:rFonts w:eastAsia="Times New Roman"/>
          <w:b/>
          <w:bCs/>
          <w:lang w:val="en-US"/>
        </w:rPr>
        <w:t>Meaning:</w:t>
      </w:r>
      <w:r w:rsidR="00AF20D5" w:rsidRPr="0003073C">
        <w:rPr>
          <w:lang w:val="en-GB"/>
        </w:rPr>
        <w:t xml:space="preserve"> Achieving lower doses of both β-blocker and </w:t>
      </w:r>
      <w:proofErr w:type="spellStart"/>
      <w:r w:rsidR="00AF20D5" w:rsidRPr="0003073C">
        <w:rPr>
          <w:lang w:val="en-GB"/>
        </w:rPr>
        <w:t>ACEi</w:t>
      </w:r>
      <w:proofErr w:type="spellEnd"/>
      <w:r w:rsidR="00AF20D5" w:rsidRPr="0003073C">
        <w:rPr>
          <w:lang w:val="en-GB"/>
        </w:rPr>
        <w:t>/ARB was associated with better outcome than high dose of monotherapy, where up-titrating β-blockers to target dose resulted in greater mortality reduction.</w:t>
      </w:r>
    </w:p>
    <w:p w14:paraId="12EBD7B3" w14:textId="77777777" w:rsidR="00923F50" w:rsidRPr="0003073C" w:rsidRDefault="00923F50">
      <w:pPr>
        <w:widowControl w:val="0"/>
        <w:rPr>
          <w:b/>
          <w:bCs/>
          <w:w w:val="115"/>
          <w:lang w:val="en-US"/>
        </w:rPr>
      </w:pPr>
      <w:r w:rsidRPr="0003073C">
        <w:rPr>
          <w:b/>
          <w:bCs/>
          <w:w w:val="115"/>
          <w:lang w:val="en-US"/>
        </w:rPr>
        <w:br w:type="page"/>
      </w:r>
    </w:p>
    <w:p w14:paraId="1E03D8F7" w14:textId="3E8BC405" w:rsidR="00924B1E" w:rsidRPr="0003073C" w:rsidRDefault="0048289E" w:rsidP="007419B4">
      <w:pPr>
        <w:spacing w:line="480" w:lineRule="auto"/>
        <w:ind w:right="40"/>
        <w:rPr>
          <w:b/>
          <w:bCs/>
          <w:lang w:val="en-US"/>
        </w:rPr>
      </w:pPr>
      <w:r w:rsidRPr="0003073C">
        <w:rPr>
          <w:b/>
          <w:bCs/>
          <w:w w:val="115"/>
          <w:lang w:val="en-US"/>
        </w:rPr>
        <w:lastRenderedPageBreak/>
        <w:t>Abstract</w:t>
      </w:r>
    </w:p>
    <w:p w14:paraId="55D6C14A" w14:textId="0C898D6B" w:rsidR="0046605C" w:rsidRPr="0003073C" w:rsidRDefault="00F97D47" w:rsidP="007419B4">
      <w:pPr>
        <w:spacing w:line="480" w:lineRule="auto"/>
        <w:rPr>
          <w:rFonts w:eastAsia="Times New Roman"/>
          <w:lang w:val="en-US"/>
        </w:rPr>
      </w:pPr>
      <w:r w:rsidRPr="0003073C">
        <w:rPr>
          <w:b/>
          <w:bCs/>
          <w:lang w:val="en-US"/>
        </w:rPr>
        <w:t>Background.</w:t>
      </w:r>
      <w:r w:rsidRPr="0003073C">
        <w:rPr>
          <w:lang w:val="en-US"/>
        </w:rPr>
        <w:t xml:space="preserve"> </w:t>
      </w:r>
      <w:r w:rsidR="0096441B" w:rsidRPr="0003073C">
        <w:rPr>
          <w:shd w:val="clear" w:color="auto" w:fill="FFFFFF"/>
          <w:lang w:val="en-US"/>
        </w:rPr>
        <w:t>Angiotensin-converting</w:t>
      </w:r>
      <w:r w:rsidR="00293275" w:rsidRPr="0003073C">
        <w:rPr>
          <w:shd w:val="clear" w:color="auto" w:fill="FFFFFF"/>
          <w:lang w:val="en-US"/>
        </w:rPr>
        <w:t>-</w:t>
      </w:r>
      <w:r w:rsidR="0096441B" w:rsidRPr="0003073C">
        <w:rPr>
          <w:shd w:val="clear" w:color="auto" w:fill="FFFFFF"/>
          <w:lang w:val="en-US"/>
        </w:rPr>
        <w:t>enzyme</w:t>
      </w:r>
      <w:r w:rsidR="0096441B" w:rsidRPr="0003073C">
        <w:rPr>
          <w:rStyle w:val="apple-converted-space"/>
          <w:shd w:val="clear" w:color="auto" w:fill="FFFFFF"/>
          <w:lang w:val="en-US"/>
        </w:rPr>
        <w:t xml:space="preserve"> </w:t>
      </w:r>
      <w:r w:rsidR="0096441B" w:rsidRPr="0003073C">
        <w:rPr>
          <w:rFonts w:eastAsiaTheme="minorEastAsia"/>
          <w:lang w:val="en-US" w:eastAsia="ja-JP"/>
        </w:rPr>
        <w:t>inhibitors (</w:t>
      </w:r>
      <w:proofErr w:type="spellStart"/>
      <w:r w:rsidR="0096441B" w:rsidRPr="0003073C">
        <w:rPr>
          <w:rFonts w:eastAsiaTheme="minorEastAsia"/>
          <w:lang w:val="en-US" w:eastAsia="ja-JP"/>
        </w:rPr>
        <w:t>ACE</w:t>
      </w:r>
      <w:r w:rsidR="00450900" w:rsidRPr="0003073C">
        <w:rPr>
          <w:rFonts w:eastAsiaTheme="minorEastAsia"/>
          <w:lang w:val="en-US" w:eastAsia="ja-JP"/>
        </w:rPr>
        <w:t>i</w:t>
      </w:r>
      <w:proofErr w:type="spellEnd"/>
      <w:r w:rsidR="0096441B" w:rsidRPr="0003073C">
        <w:rPr>
          <w:rFonts w:eastAsiaTheme="minorEastAsia"/>
          <w:lang w:val="en-US" w:eastAsia="ja-JP"/>
        </w:rPr>
        <w:t>)/Angiotensin receptor blockers (ARB) and β-blockers are guideline-recommended first</w:t>
      </w:r>
      <w:r w:rsidR="00017E14" w:rsidRPr="0003073C">
        <w:rPr>
          <w:rFonts w:eastAsiaTheme="minorEastAsia"/>
          <w:lang w:val="en-US" w:eastAsia="ja-JP"/>
        </w:rPr>
        <w:t>-</w:t>
      </w:r>
      <w:r w:rsidR="0096441B" w:rsidRPr="0003073C">
        <w:rPr>
          <w:rFonts w:eastAsiaTheme="minorEastAsia"/>
          <w:lang w:val="en-US" w:eastAsia="ja-JP"/>
        </w:rPr>
        <w:t xml:space="preserve">line therapies in heart-failure </w:t>
      </w:r>
      <w:r w:rsidR="00352DA0" w:rsidRPr="0003073C">
        <w:rPr>
          <w:rFonts w:eastAsiaTheme="minorEastAsia"/>
          <w:lang w:val="en-US" w:eastAsia="ja-JP"/>
        </w:rPr>
        <w:t>with</w:t>
      </w:r>
      <w:r w:rsidR="0096441B" w:rsidRPr="0003073C">
        <w:rPr>
          <w:rFonts w:eastAsiaTheme="minorEastAsia"/>
          <w:lang w:val="en-US" w:eastAsia="ja-JP"/>
        </w:rPr>
        <w:t xml:space="preserve"> reduced ejection fraction (HFrEF). </w:t>
      </w:r>
      <w:r w:rsidR="00D82E79" w:rsidRPr="0003073C">
        <w:rPr>
          <w:rFonts w:eastAsiaTheme="minorEastAsia"/>
          <w:lang w:val="en-US" w:eastAsia="ja-JP"/>
        </w:rPr>
        <w:t>Previous studies showed</w:t>
      </w:r>
      <w:r w:rsidR="0096441B" w:rsidRPr="0003073C">
        <w:rPr>
          <w:rFonts w:eastAsiaTheme="minorEastAsia"/>
          <w:lang w:val="en-US" w:eastAsia="ja-JP"/>
        </w:rPr>
        <w:t xml:space="preserve"> that </w:t>
      </w:r>
      <w:r w:rsidR="0096441B" w:rsidRPr="0003073C">
        <w:rPr>
          <w:rFonts w:eastAsiaTheme="minorEastAsia"/>
          <w:i/>
          <w:lang w:val="en-US" w:eastAsia="ja-JP"/>
        </w:rPr>
        <w:t>individual</w:t>
      </w:r>
      <w:r w:rsidR="0096441B" w:rsidRPr="0003073C">
        <w:rPr>
          <w:rFonts w:eastAsiaTheme="minorEastAsia"/>
          <w:lang w:val="en-US" w:eastAsia="ja-JP"/>
        </w:rPr>
        <w:t xml:space="preserve"> drug classes were under-dosed in many parts of Europe and Asia</w:t>
      </w:r>
      <w:r w:rsidR="00293275" w:rsidRPr="0003073C">
        <w:rPr>
          <w:rFonts w:eastAsiaTheme="minorEastAsia"/>
          <w:lang w:val="en-US" w:eastAsia="ja-JP"/>
        </w:rPr>
        <w:t>.</w:t>
      </w:r>
      <w:r w:rsidR="0096441B" w:rsidRPr="0003073C">
        <w:rPr>
          <w:rFonts w:eastAsiaTheme="minorEastAsia"/>
          <w:lang w:val="en-US" w:eastAsia="ja-JP"/>
        </w:rPr>
        <w:t xml:space="preserve"> In th</w:t>
      </w:r>
      <w:r w:rsidR="00293275" w:rsidRPr="0003073C">
        <w:rPr>
          <w:rFonts w:eastAsiaTheme="minorEastAsia"/>
          <w:lang w:val="en-US" w:eastAsia="ja-JP"/>
        </w:rPr>
        <w:t>is</w:t>
      </w:r>
      <w:r w:rsidR="0096441B" w:rsidRPr="0003073C">
        <w:rPr>
          <w:rFonts w:eastAsiaTheme="minorEastAsia"/>
          <w:lang w:val="en-US" w:eastAsia="ja-JP"/>
        </w:rPr>
        <w:t xml:space="preserve"> study we </w:t>
      </w:r>
      <w:r w:rsidR="00F83AC8" w:rsidRPr="0003073C">
        <w:rPr>
          <w:rFonts w:eastAsiaTheme="minorEastAsia"/>
          <w:lang w:val="en-US" w:eastAsia="ja-JP"/>
        </w:rPr>
        <w:t>investigated</w:t>
      </w:r>
      <w:r w:rsidR="0096441B" w:rsidRPr="0003073C">
        <w:rPr>
          <w:rFonts w:eastAsiaTheme="minorEastAsia"/>
          <w:lang w:val="en-US" w:eastAsia="ja-JP"/>
        </w:rPr>
        <w:t xml:space="preserve"> the association of </w:t>
      </w:r>
      <w:r w:rsidR="0096441B" w:rsidRPr="0003073C">
        <w:rPr>
          <w:rFonts w:eastAsiaTheme="minorEastAsia"/>
          <w:i/>
          <w:lang w:val="en-US" w:eastAsia="ja-JP"/>
        </w:rPr>
        <w:t>combined</w:t>
      </w:r>
      <w:r w:rsidR="0096441B" w:rsidRPr="0003073C">
        <w:rPr>
          <w:rFonts w:eastAsiaTheme="minorEastAsia"/>
          <w:lang w:val="en-US" w:eastAsia="ja-JP"/>
        </w:rPr>
        <w:t xml:space="preserve"> up</w:t>
      </w:r>
      <w:r w:rsidR="00543603" w:rsidRPr="0003073C">
        <w:rPr>
          <w:rFonts w:eastAsiaTheme="minorEastAsia"/>
          <w:lang w:val="en-US" w:eastAsia="ja-JP"/>
        </w:rPr>
        <w:t>-</w:t>
      </w:r>
      <w:r w:rsidR="0096441B" w:rsidRPr="0003073C">
        <w:rPr>
          <w:rFonts w:eastAsiaTheme="minorEastAsia"/>
          <w:lang w:val="en-US" w:eastAsia="ja-JP"/>
        </w:rPr>
        <w:t xml:space="preserve">titration of </w:t>
      </w:r>
      <w:proofErr w:type="spellStart"/>
      <w:r w:rsidR="0096441B" w:rsidRPr="0003073C">
        <w:rPr>
          <w:rFonts w:eastAsiaTheme="minorEastAsia"/>
          <w:lang w:val="en-US" w:eastAsia="ja-JP"/>
        </w:rPr>
        <w:t>ACE</w:t>
      </w:r>
      <w:r w:rsidR="00450900" w:rsidRPr="0003073C">
        <w:rPr>
          <w:rFonts w:eastAsiaTheme="minorEastAsia"/>
          <w:lang w:val="en-US" w:eastAsia="ja-JP"/>
        </w:rPr>
        <w:t>i</w:t>
      </w:r>
      <w:proofErr w:type="spellEnd"/>
      <w:r w:rsidR="0096441B" w:rsidRPr="0003073C">
        <w:rPr>
          <w:rFonts w:eastAsiaTheme="minorEastAsia"/>
          <w:lang w:val="en-US" w:eastAsia="ja-JP"/>
        </w:rPr>
        <w:t xml:space="preserve">/ARBs and β-blockers on all-cause mortality </w:t>
      </w:r>
      <w:r w:rsidR="00F81AA0" w:rsidRPr="0003073C">
        <w:rPr>
          <w:rFonts w:eastAsiaTheme="minorEastAsia"/>
          <w:lang w:val="en-US" w:eastAsia="ja-JP"/>
        </w:rPr>
        <w:t>and</w:t>
      </w:r>
      <w:r w:rsidR="00CF1EBE" w:rsidRPr="0003073C">
        <w:rPr>
          <w:rFonts w:eastAsiaTheme="minorEastAsia"/>
          <w:lang w:val="en-US" w:eastAsia="ja-JP"/>
        </w:rPr>
        <w:t xml:space="preserve"> its combination with</w:t>
      </w:r>
      <w:r w:rsidR="0096441B" w:rsidRPr="0003073C">
        <w:rPr>
          <w:rFonts w:eastAsiaTheme="minorEastAsia"/>
          <w:lang w:val="en-US" w:eastAsia="ja-JP"/>
        </w:rPr>
        <w:t xml:space="preserve"> hospitalization for HF.</w:t>
      </w:r>
    </w:p>
    <w:p w14:paraId="207C240A" w14:textId="77777777" w:rsidR="00AD610D" w:rsidRPr="0003073C" w:rsidRDefault="00AD610D" w:rsidP="007419B4">
      <w:pPr>
        <w:spacing w:line="480" w:lineRule="auto"/>
        <w:rPr>
          <w:rFonts w:eastAsia="Times New Roman"/>
          <w:lang w:val="en-US"/>
        </w:rPr>
      </w:pPr>
    </w:p>
    <w:p w14:paraId="180B7602" w14:textId="5C41C11F" w:rsidR="00F97D47" w:rsidRPr="0003073C" w:rsidRDefault="00F97D47" w:rsidP="007419B4">
      <w:pPr>
        <w:spacing w:line="480" w:lineRule="auto"/>
        <w:rPr>
          <w:rFonts w:eastAsiaTheme="minorEastAsia"/>
          <w:lang w:val="en-US" w:eastAsia="ja-JP"/>
        </w:rPr>
      </w:pPr>
      <w:r w:rsidRPr="0003073C">
        <w:rPr>
          <w:b/>
          <w:bCs/>
          <w:lang w:val="en-US"/>
        </w:rPr>
        <w:t>Methods</w:t>
      </w:r>
      <w:r w:rsidR="00430273" w:rsidRPr="0003073C">
        <w:rPr>
          <w:b/>
          <w:bCs/>
          <w:lang w:val="en-US"/>
        </w:rPr>
        <w:t xml:space="preserve"> and Results</w:t>
      </w:r>
      <w:r w:rsidRPr="0003073C">
        <w:rPr>
          <w:b/>
          <w:bCs/>
          <w:lang w:val="en-US"/>
        </w:rPr>
        <w:t xml:space="preserve">. </w:t>
      </w:r>
      <w:r w:rsidR="008E39B5" w:rsidRPr="0003073C">
        <w:rPr>
          <w:lang w:val="en-GB"/>
        </w:rPr>
        <w:t>6</w:t>
      </w:r>
      <w:r w:rsidR="00B97B72" w:rsidRPr="0003073C">
        <w:rPr>
          <w:lang w:val="en-GB"/>
        </w:rPr>
        <w:t>,</w:t>
      </w:r>
      <w:r w:rsidR="008E39B5" w:rsidRPr="0003073C">
        <w:rPr>
          <w:lang w:val="en-GB"/>
        </w:rPr>
        <w:t>787</w:t>
      </w:r>
      <w:r w:rsidR="004E1655" w:rsidRPr="0003073C">
        <w:rPr>
          <w:lang w:val="en-GB"/>
        </w:rPr>
        <w:t xml:space="preserve"> HFrEF</w:t>
      </w:r>
      <w:r w:rsidR="00C25B7F" w:rsidRPr="0003073C">
        <w:rPr>
          <w:lang w:val="en-GB"/>
        </w:rPr>
        <w:t xml:space="preserve"> </w:t>
      </w:r>
      <w:r w:rsidRPr="0003073C">
        <w:rPr>
          <w:lang w:val="en-GB"/>
        </w:rPr>
        <w:t>patients</w:t>
      </w:r>
      <w:r w:rsidR="002F3B9B" w:rsidRPr="0003073C">
        <w:rPr>
          <w:lang w:val="en-GB"/>
        </w:rPr>
        <w:t xml:space="preserve"> (</w:t>
      </w:r>
      <w:r w:rsidR="00FF1266" w:rsidRPr="0003073C">
        <w:rPr>
          <w:lang w:val="en-GB"/>
        </w:rPr>
        <w:t>mean age 62.6 ±13.2 years, 77.7% men, mean LVEF 27.7 ±7.2%)</w:t>
      </w:r>
      <w:r w:rsidRPr="0003073C">
        <w:rPr>
          <w:lang w:val="en-GB"/>
        </w:rPr>
        <w:t xml:space="preserve"> </w:t>
      </w:r>
      <w:r w:rsidR="00DC4F87" w:rsidRPr="0003073C">
        <w:rPr>
          <w:lang w:val="en-GB"/>
        </w:rPr>
        <w:t xml:space="preserve">were </w:t>
      </w:r>
      <w:r w:rsidR="00352DA0" w:rsidRPr="0003073C">
        <w:rPr>
          <w:lang w:val="en-GB"/>
        </w:rPr>
        <w:t>enrolled</w:t>
      </w:r>
      <w:r w:rsidR="00352DA0" w:rsidRPr="0003073C" w:rsidDel="00352DA0">
        <w:rPr>
          <w:lang w:val="en-GB"/>
        </w:rPr>
        <w:t xml:space="preserve"> </w:t>
      </w:r>
      <w:r w:rsidR="00352DA0" w:rsidRPr="0003073C">
        <w:rPr>
          <w:lang w:val="en-GB"/>
        </w:rPr>
        <w:t>in</w:t>
      </w:r>
      <w:r w:rsidR="00E70062" w:rsidRPr="0003073C">
        <w:rPr>
          <w:lang w:val="en-GB"/>
        </w:rPr>
        <w:t xml:space="preserve"> </w:t>
      </w:r>
      <w:r w:rsidRPr="0003073C">
        <w:rPr>
          <w:lang w:val="en-GB"/>
        </w:rPr>
        <w:t>prospective multinational European (BIOSTAT-CHF; n=2,100) and Asian (ASIAN-HF; n=</w:t>
      </w:r>
      <w:r w:rsidR="00B97B72" w:rsidRPr="0003073C">
        <w:rPr>
          <w:lang w:val="en-US"/>
        </w:rPr>
        <w:t xml:space="preserve"> </w:t>
      </w:r>
      <w:r w:rsidR="00B97B72" w:rsidRPr="0003073C">
        <w:rPr>
          <w:lang w:val="en-GB"/>
        </w:rPr>
        <w:t>4,687</w:t>
      </w:r>
      <w:r w:rsidRPr="0003073C">
        <w:rPr>
          <w:lang w:val="en-GB"/>
        </w:rPr>
        <w:t xml:space="preserve">) studies. </w:t>
      </w:r>
      <w:r w:rsidR="00352DA0" w:rsidRPr="0003073C">
        <w:rPr>
          <w:lang w:val="en-GB"/>
        </w:rPr>
        <w:t>Outcomes</w:t>
      </w:r>
      <w:r w:rsidRPr="0003073C">
        <w:rPr>
          <w:lang w:val="en-GB"/>
        </w:rPr>
        <w:t xml:space="preserve"> were </w:t>
      </w:r>
      <w:r w:rsidR="00786184" w:rsidRPr="0003073C">
        <w:rPr>
          <w:lang w:val="en-GB"/>
        </w:rPr>
        <w:t>analysed</w:t>
      </w:r>
      <w:r w:rsidRPr="0003073C">
        <w:rPr>
          <w:lang w:val="en-GB"/>
        </w:rPr>
        <w:t xml:space="preserve"> according to achieved % </w:t>
      </w:r>
      <w:r w:rsidR="00910DDD" w:rsidRPr="0003073C">
        <w:rPr>
          <w:lang w:val="en-GB"/>
        </w:rPr>
        <w:t>guideline-recommended target dose</w:t>
      </w:r>
      <w:r w:rsidR="00E70062" w:rsidRPr="0003073C">
        <w:rPr>
          <w:lang w:val="en-GB"/>
        </w:rPr>
        <w:t>s</w:t>
      </w:r>
      <w:r w:rsidR="008E7DEC" w:rsidRPr="0003073C">
        <w:rPr>
          <w:lang w:val="en-GB"/>
        </w:rPr>
        <w:t xml:space="preserve"> (GR</w:t>
      </w:r>
      <w:r w:rsidR="00FE6045" w:rsidRPr="0003073C">
        <w:rPr>
          <w:lang w:val="en-GB"/>
        </w:rPr>
        <w:t>T</w:t>
      </w:r>
      <w:r w:rsidR="008E7DEC" w:rsidRPr="0003073C">
        <w:rPr>
          <w:lang w:val="en-GB"/>
        </w:rPr>
        <w:t>D)</w:t>
      </w:r>
      <w:r w:rsidR="00B37E30" w:rsidRPr="0003073C">
        <w:rPr>
          <w:lang w:val="en-GB"/>
        </w:rPr>
        <w:t xml:space="preserve"> </w:t>
      </w:r>
      <w:r w:rsidRPr="0003073C">
        <w:rPr>
          <w:lang w:val="en-GB"/>
        </w:rPr>
        <w:t xml:space="preserve">of combination </w:t>
      </w:r>
      <w:proofErr w:type="spellStart"/>
      <w:r w:rsidR="00A3648E" w:rsidRPr="0003073C">
        <w:rPr>
          <w:lang w:val="en-GB"/>
        </w:rPr>
        <w:t>ACEi</w:t>
      </w:r>
      <w:proofErr w:type="spellEnd"/>
      <w:r w:rsidRPr="0003073C">
        <w:rPr>
          <w:lang w:val="en-GB"/>
        </w:rPr>
        <w:t xml:space="preserve">/ARB and </w:t>
      </w:r>
      <w:r w:rsidR="006548A5" w:rsidRPr="0003073C">
        <w:rPr>
          <w:lang w:val="en-GB"/>
        </w:rPr>
        <w:t>β</w:t>
      </w:r>
      <w:r w:rsidRPr="0003073C">
        <w:rPr>
          <w:lang w:val="en-GB"/>
        </w:rPr>
        <w:t>-blocker therapy, adjust</w:t>
      </w:r>
      <w:r w:rsidR="00E70062" w:rsidRPr="0003073C">
        <w:rPr>
          <w:lang w:val="en-GB"/>
        </w:rPr>
        <w:t>ed</w:t>
      </w:r>
      <w:r w:rsidRPr="0003073C">
        <w:rPr>
          <w:lang w:val="en-GB"/>
        </w:rPr>
        <w:t xml:space="preserve"> for indication bias</w:t>
      </w:r>
      <w:r w:rsidR="00786184" w:rsidRPr="0003073C">
        <w:rPr>
          <w:lang w:val="en-GB"/>
        </w:rPr>
        <w:t>.</w:t>
      </w:r>
    </w:p>
    <w:p w14:paraId="38B462ED" w14:textId="77777777" w:rsidR="00C75CEE" w:rsidRPr="0003073C" w:rsidRDefault="00C75CEE" w:rsidP="007419B4">
      <w:pPr>
        <w:spacing w:line="480" w:lineRule="auto"/>
        <w:rPr>
          <w:b/>
          <w:bCs/>
          <w:lang w:val="en-US"/>
        </w:rPr>
      </w:pPr>
    </w:p>
    <w:p w14:paraId="25F04201" w14:textId="0448DF4D" w:rsidR="00450381" w:rsidRPr="0003073C" w:rsidRDefault="00F97D47" w:rsidP="007419B4">
      <w:pPr>
        <w:spacing w:line="480" w:lineRule="auto"/>
        <w:rPr>
          <w:lang w:val="en-GB"/>
        </w:rPr>
      </w:pPr>
      <w:r w:rsidRPr="0003073C">
        <w:rPr>
          <w:b/>
          <w:bCs/>
          <w:lang w:val="en-US"/>
        </w:rPr>
        <w:t xml:space="preserve">Results. </w:t>
      </w:r>
      <w:r w:rsidRPr="0003073C">
        <w:rPr>
          <w:lang w:val="en-GB"/>
        </w:rPr>
        <w:t xml:space="preserve">Only </w:t>
      </w:r>
      <w:r w:rsidR="009E44E4" w:rsidRPr="0003073C">
        <w:rPr>
          <w:lang w:val="en-GB"/>
        </w:rPr>
        <w:t>14</w:t>
      </w:r>
      <w:r w:rsidRPr="0003073C">
        <w:rPr>
          <w:lang w:val="en-GB"/>
        </w:rPr>
        <w:t xml:space="preserve">% (n=981) patients achieved </w:t>
      </w:r>
      <w:r w:rsidR="007973F6" w:rsidRPr="0003073C">
        <w:rPr>
          <w:lang w:val="en-GB"/>
        </w:rPr>
        <w:t>≥</w:t>
      </w:r>
      <w:r w:rsidRPr="0003073C">
        <w:rPr>
          <w:lang w:val="en-GB"/>
        </w:rPr>
        <w:t>50%</w:t>
      </w:r>
      <w:r w:rsidR="00D659B3" w:rsidRPr="0003073C">
        <w:rPr>
          <w:lang w:val="en-GB"/>
        </w:rPr>
        <w:t xml:space="preserve"> </w:t>
      </w:r>
      <w:r w:rsidR="002C7C6C" w:rsidRPr="0003073C">
        <w:rPr>
          <w:lang w:val="en-GB"/>
        </w:rPr>
        <w:t xml:space="preserve">GRTD </w:t>
      </w:r>
      <w:r w:rsidRPr="0003073C">
        <w:rPr>
          <w:lang w:val="en-GB"/>
        </w:rPr>
        <w:t xml:space="preserve">for both </w:t>
      </w:r>
      <w:proofErr w:type="spellStart"/>
      <w:r w:rsidR="00910DDD" w:rsidRPr="0003073C">
        <w:rPr>
          <w:lang w:val="en-GB"/>
        </w:rPr>
        <w:t>ACE</w:t>
      </w:r>
      <w:r w:rsidR="004E1655" w:rsidRPr="0003073C">
        <w:rPr>
          <w:lang w:val="en-GB"/>
        </w:rPr>
        <w:t>i</w:t>
      </w:r>
      <w:proofErr w:type="spellEnd"/>
      <w:r w:rsidRPr="0003073C">
        <w:rPr>
          <w:lang w:val="en-GB"/>
        </w:rPr>
        <w:t xml:space="preserve">/ARB and </w:t>
      </w:r>
      <w:r w:rsidR="0085068A" w:rsidRPr="0003073C">
        <w:rPr>
          <w:lang w:val="en-GB"/>
        </w:rPr>
        <w:t>β</w:t>
      </w:r>
      <w:r w:rsidRPr="0003073C">
        <w:rPr>
          <w:lang w:val="en-GB"/>
        </w:rPr>
        <w:t xml:space="preserve">-blocker. </w:t>
      </w:r>
      <w:r w:rsidR="00CF1EBE" w:rsidRPr="0003073C">
        <w:rPr>
          <w:lang w:val="en-GB"/>
        </w:rPr>
        <w:t>B</w:t>
      </w:r>
      <w:r w:rsidR="002B6333" w:rsidRPr="0003073C">
        <w:rPr>
          <w:lang w:val="en-GB"/>
        </w:rPr>
        <w:t>est outcomes were observed in patients who achieved</w:t>
      </w:r>
      <w:r w:rsidR="00352DA0" w:rsidRPr="0003073C">
        <w:rPr>
          <w:lang w:val="en-GB"/>
        </w:rPr>
        <w:t xml:space="preserve"> </w:t>
      </w:r>
      <w:r w:rsidR="0004432E" w:rsidRPr="0003073C">
        <w:rPr>
          <w:lang w:val="en-GB"/>
        </w:rPr>
        <w:t xml:space="preserve">100% </w:t>
      </w:r>
      <w:r w:rsidR="002C7C6C" w:rsidRPr="0003073C">
        <w:rPr>
          <w:lang w:val="en-GB"/>
        </w:rPr>
        <w:t xml:space="preserve">GRTD </w:t>
      </w:r>
      <w:r w:rsidR="0004432E" w:rsidRPr="0003073C">
        <w:rPr>
          <w:lang w:val="en-GB"/>
        </w:rPr>
        <w:t xml:space="preserve">of both </w:t>
      </w:r>
      <w:proofErr w:type="spellStart"/>
      <w:r w:rsidR="00A3648E" w:rsidRPr="0003073C">
        <w:rPr>
          <w:lang w:val="en-GB"/>
        </w:rPr>
        <w:t>ACEi</w:t>
      </w:r>
      <w:proofErr w:type="spellEnd"/>
      <w:r w:rsidR="00A3648E" w:rsidRPr="0003073C">
        <w:rPr>
          <w:lang w:val="en-GB"/>
        </w:rPr>
        <w:t xml:space="preserve">/ARB </w:t>
      </w:r>
      <w:r w:rsidR="0004432E" w:rsidRPr="0003073C">
        <w:rPr>
          <w:lang w:val="en-GB"/>
        </w:rPr>
        <w:t xml:space="preserve">and </w:t>
      </w:r>
      <w:r w:rsidR="00870911" w:rsidRPr="0003073C">
        <w:rPr>
          <w:lang w:val="en-GB"/>
        </w:rPr>
        <w:t>β</w:t>
      </w:r>
      <w:r w:rsidR="0004432E" w:rsidRPr="0003073C">
        <w:rPr>
          <w:lang w:val="en-GB"/>
        </w:rPr>
        <w:t>-blocker (</w:t>
      </w:r>
      <w:r w:rsidR="00BE30C8" w:rsidRPr="0003073C">
        <w:rPr>
          <w:lang w:val="en-GB"/>
        </w:rPr>
        <w:t>HR 0.3</w:t>
      </w:r>
      <w:r w:rsidR="00BD73CE" w:rsidRPr="0003073C">
        <w:rPr>
          <w:lang w:val="en-GB"/>
        </w:rPr>
        <w:t>2</w:t>
      </w:r>
      <w:r w:rsidR="00BE30C8" w:rsidRPr="0003073C">
        <w:rPr>
          <w:lang w:val="en-GB"/>
        </w:rPr>
        <w:t>, 95% CI 0.2</w:t>
      </w:r>
      <w:r w:rsidR="00BD73CE" w:rsidRPr="0003073C">
        <w:rPr>
          <w:lang w:val="en-GB"/>
        </w:rPr>
        <w:t>6</w:t>
      </w:r>
      <w:r w:rsidR="00BE30C8" w:rsidRPr="0003073C">
        <w:rPr>
          <w:lang w:val="en-GB"/>
        </w:rPr>
        <w:t>-0.</w:t>
      </w:r>
      <w:r w:rsidR="00BD73CE" w:rsidRPr="0003073C">
        <w:rPr>
          <w:lang w:val="en-GB"/>
        </w:rPr>
        <w:t>39</w:t>
      </w:r>
      <w:r w:rsidR="002B6333" w:rsidRPr="0003073C">
        <w:rPr>
          <w:lang w:val="en-GB"/>
        </w:rPr>
        <w:t xml:space="preserve"> vs. no</w:t>
      </w:r>
      <w:r w:rsidR="00C91405" w:rsidRPr="0003073C">
        <w:rPr>
          <w:lang w:val="en-GB"/>
        </w:rPr>
        <w:t>ne</w:t>
      </w:r>
      <w:r w:rsidR="0004432E" w:rsidRPr="0003073C">
        <w:rPr>
          <w:lang w:val="en-GB"/>
        </w:rPr>
        <w:t>)</w:t>
      </w:r>
      <w:r w:rsidR="00FB2552" w:rsidRPr="0003073C">
        <w:rPr>
          <w:lang w:val="en-GB"/>
        </w:rPr>
        <w:t>.</w:t>
      </w:r>
      <w:r w:rsidR="0004432E" w:rsidRPr="0003073C">
        <w:rPr>
          <w:lang w:val="en-GB"/>
        </w:rPr>
        <w:t xml:space="preserve"> </w:t>
      </w:r>
      <w:r w:rsidR="00CF1EBE" w:rsidRPr="0003073C">
        <w:rPr>
          <w:lang w:val="en-GB"/>
        </w:rPr>
        <w:t>L</w:t>
      </w:r>
      <w:r w:rsidR="005F2E1E" w:rsidRPr="0003073C">
        <w:rPr>
          <w:lang w:val="en-GB"/>
        </w:rPr>
        <w:t>ow</w:t>
      </w:r>
      <w:r w:rsidR="007625E9" w:rsidRPr="0003073C">
        <w:rPr>
          <w:lang w:val="en-GB"/>
        </w:rPr>
        <w:t>er</w:t>
      </w:r>
      <w:r w:rsidR="005F2E1E" w:rsidRPr="0003073C">
        <w:rPr>
          <w:lang w:val="en-GB"/>
        </w:rPr>
        <w:t xml:space="preserve"> dose of </w:t>
      </w:r>
      <w:r w:rsidR="00CF1EBE" w:rsidRPr="0003073C">
        <w:rPr>
          <w:lang w:val="en-GB"/>
        </w:rPr>
        <w:t>combined</w:t>
      </w:r>
      <w:r w:rsidR="005F2E1E" w:rsidRPr="0003073C">
        <w:rPr>
          <w:lang w:val="en-GB"/>
        </w:rPr>
        <w:t xml:space="preserve"> </w:t>
      </w:r>
      <w:r w:rsidR="00352DA0" w:rsidRPr="0003073C">
        <w:rPr>
          <w:lang w:val="en-GB"/>
        </w:rPr>
        <w:t>therap</w:t>
      </w:r>
      <w:r w:rsidR="00CF1EBE" w:rsidRPr="0003073C">
        <w:rPr>
          <w:lang w:val="en-GB"/>
        </w:rPr>
        <w:t>y</w:t>
      </w:r>
      <w:r w:rsidR="00352DA0" w:rsidRPr="0003073C">
        <w:rPr>
          <w:lang w:val="en-GB"/>
        </w:rPr>
        <w:t xml:space="preserve"> </w:t>
      </w:r>
      <w:r w:rsidR="00511E61" w:rsidRPr="0003073C">
        <w:rPr>
          <w:lang w:val="en-GB"/>
        </w:rPr>
        <w:t>w</w:t>
      </w:r>
      <w:r w:rsidR="006E1C18" w:rsidRPr="0003073C">
        <w:rPr>
          <w:lang w:val="en-GB"/>
        </w:rPr>
        <w:t>as</w:t>
      </w:r>
      <w:r w:rsidR="00511E61" w:rsidRPr="0003073C">
        <w:rPr>
          <w:lang w:val="en-GB"/>
        </w:rPr>
        <w:t xml:space="preserve"> associated with </w:t>
      </w:r>
      <w:r w:rsidR="005F2E1E" w:rsidRPr="0003073C">
        <w:rPr>
          <w:lang w:val="en-GB"/>
        </w:rPr>
        <w:t xml:space="preserve">better outcomes than </w:t>
      </w:r>
      <w:r w:rsidR="007625E9" w:rsidRPr="0003073C">
        <w:rPr>
          <w:lang w:val="en-GB"/>
        </w:rPr>
        <w:t>100% GRTD</w:t>
      </w:r>
      <w:r w:rsidR="005F2E1E" w:rsidRPr="0003073C">
        <w:rPr>
          <w:lang w:val="en-GB"/>
        </w:rPr>
        <w:t xml:space="preserve"> </w:t>
      </w:r>
      <w:r w:rsidR="00A3648E" w:rsidRPr="0003073C">
        <w:rPr>
          <w:lang w:val="en-GB"/>
        </w:rPr>
        <w:t xml:space="preserve">of either </w:t>
      </w:r>
      <w:r w:rsidR="005F2E1E" w:rsidRPr="0003073C">
        <w:rPr>
          <w:lang w:val="en-GB"/>
        </w:rPr>
        <w:t>monotherapy.</w:t>
      </w:r>
      <w:r w:rsidR="001E16F0" w:rsidRPr="0003073C">
        <w:rPr>
          <w:lang w:val="en-GB"/>
        </w:rPr>
        <w:t xml:space="preserve"> </w:t>
      </w:r>
      <w:r w:rsidR="00CF1EBE" w:rsidRPr="0003073C">
        <w:rPr>
          <w:lang w:val="en-GB"/>
        </w:rPr>
        <w:t>U</w:t>
      </w:r>
      <w:r w:rsidR="00201E8F" w:rsidRPr="0003073C">
        <w:rPr>
          <w:lang w:val="en-GB"/>
        </w:rPr>
        <w:t xml:space="preserve">p-titrating </w:t>
      </w:r>
      <w:r w:rsidR="0039603B" w:rsidRPr="0003073C">
        <w:rPr>
          <w:lang w:val="en-GB"/>
        </w:rPr>
        <w:t>β-blockers</w:t>
      </w:r>
      <w:r w:rsidR="00201E8F" w:rsidRPr="0003073C">
        <w:rPr>
          <w:lang w:val="en-GB"/>
        </w:rPr>
        <w:t xml:space="preserve"> </w:t>
      </w:r>
      <w:r w:rsidR="005F16D5" w:rsidRPr="0003073C">
        <w:rPr>
          <w:lang w:val="en-GB"/>
        </w:rPr>
        <w:t>was associated with</w:t>
      </w:r>
      <w:r w:rsidR="00201E8F" w:rsidRPr="0003073C">
        <w:rPr>
          <w:lang w:val="en-GB"/>
        </w:rPr>
        <w:t xml:space="preserve"> a consistent</w:t>
      </w:r>
      <w:r w:rsidR="0039603B" w:rsidRPr="0003073C">
        <w:rPr>
          <w:lang w:val="en-GB"/>
        </w:rPr>
        <w:t xml:space="preserve"> and</w:t>
      </w:r>
      <w:r w:rsidR="00201E8F" w:rsidRPr="0003073C">
        <w:rPr>
          <w:lang w:val="en-GB"/>
        </w:rPr>
        <w:t xml:space="preserve"> greater reduction in hazards of </w:t>
      </w:r>
      <w:r w:rsidR="00E910ED" w:rsidRPr="0003073C">
        <w:rPr>
          <w:lang w:val="en-GB"/>
        </w:rPr>
        <w:t xml:space="preserve">all-cause </w:t>
      </w:r>
      <w:r w:rsidR="00201E8F" w:rsidRPr="0003073C">
        <w:rPr>
          <w:lang w:val="en-GB"/>
        </w:rPr>
        <w:t>mortality (HR for 100%</w:t>
      </w:r>
      <w:r w:rsidR="00352DA0" w:rsidRPr="0003073C">
        <w:rPr>
          <w:lang w:val="en-GB"/>
        </w:rPr>
        <w:t xml:space="preserve"> </w:t>
      </w:r>
      <w:r w:rsidR="002C7C6C" w:rsidRPr="0003073C">
        <w:rPr>
          <w:lang w:val="en-GB"/>
        </w:rPr>
        <w:t>GRTD</w:t>
      </w:r>
      <w:r w:rsidR="000A74A6" w:rsidRPr="0003073C">
        <w:rPr>
          <w:lang w:val="en-GB"/>
        </w:rPr>
        <w:t>:</w:t>
      </w:r>
      <w:r w:rsidR="00201E8F" w:rsidRPr="0003073C">
        <w:rPr>
          <w:lang w:val="en-GB"/>
        </w:rPr>
        <w:t xml:space="preserve"> 0.4</w:t>
      </w:r>
      <w:r w:rsidR="00CA04A9" w:rsidRPr="0003073C">
        <w:rPr>
          <w:lang w:val="en-GB"/>
        </w:rPr>
        <w:t>0</w:t>
      </w:r>
      <w:r w:rsidR="00201E8F" w:rsidRPr="0003073C">
        <w:rPr>
          <w:lang w:val="en-GB"/>
        </w:rPr>
        <w:t>, 95% CI 0.2</w:t>
      </w:r>
      <w:r w:rsidR="00CA04A9" w:rsidRPr="0003073C">
        <w:rPr>
          <w:lang w:val="en-GB"/>
        </w:rPr>
        <w:t>5</w:t>
      </w:r>
      <w:r w:rsidR="00201E8F" w:rsidRPr="0003073C">
        <w:rPr>
          <w:lang w:val="en-GB"/>
        </w:rPr>
        <w:t>-0.6</w:t>
      </w:r>
      <w:r w:rsidR="00CA04A9" w:rsidRPr="0003073C">
        <w:rPr>
          <w:lang w:val="en-GB"/>
        </w:rPr>
        <w:t>3</w:t>
      </w:r>
      <w:r w:rsidR="00201E8F" w:rsidRPr="0003073C">
        <w:rPr>
          <w:lang w:val="en-GB"/>
        </w:rPr>
        <w:t xml:space="preserve">) than </w:t>
      </w:r>
      <w:r w:rsidR="001A1BAD" w:rsidRPr="0003073C">
        <w:rPr>
          <w:lang w:val="en-GB"/>
        </w:rPr>
        <w:t xml:space="preserve">corresponding </w:t>
      </w:r>
      <w:proofErr w:type="spellStart"/>
      <w:r w:rsidR="00A3648E" w:rsidRPr="0003073C">
        <w:rPr>
          <w:lang w:val="en-GB"/>
        </w:rPr>
        <w:t>ACEi</w:t>
      </w:r>
      <w:proofErr w:type="spellEnd"/>
      <w:r w:rsidR="00A3648E" w:rsidRPr="0003073C">
        <w:rPr>
          <w:lang w:val="en-GB"/>
        </w:rPr>
        <w:t xml:space="preserve">/ARB </w:t>
      </w:r>
      <w:r w:rsidR="005F16D5" w:rsidRPr="0003073C">
        <w:rPr>
          <w:lang w:val="en-GB"/>
        </w:rPr>
        <w:t xml:space="preserve">up-titration </w:t>
      </w:r>
      <w:r w:rsidR="00E62112" w:rsidRPr="0003073C">
        <w:rPr>
          <w:lang w:val="en-GB"/>
        </w:rPr>
        <w:t>(HR</w:t>
      </w:r>
      <w:r w:rsidR="00206EEC" w:rsidRPr="0003073C">
        <w:rPr>
          <w:lang w:val="en-GB"/>
        </w:rPr>
        <w:t xml:space="preserve">: </w:t>
      </w:r>
      <w:r w:rsidR="00E62112" w:rsidRPr="0003073C">
        <w:rPr>
          <w:lang w:val="en-GB"/>
        </w:rPr>
        <w:t>0.7</w:t>
      </w:r>
      <w:r w:rsidR="00CA04A9" w:rsidRPr="0003073C">
        <w:rPr>
          <w:lang w:val="en-GB"/>
        </w:rPr>
        <w:t>5</w:t>
      </w:r>
      <w:r w:rsidR="002340DC" w:rsidRPr="0003073C">
        <w:rPr>
          <w:lang w:val="en-GB"/>
        </w:rPr>
        <w:t>, 95% CI 0.5</w:t>
      </w:r>
      <w:r w:rsidR="00CA04A9" w:rsidRPr="0003073C">
        <w:rPr>
          <w:lang w:val="en-GB"/>
        </w:rPr>
        <w:t>3</w:t>
      </w:r>
      <w:r w:rsidR="002340DC" w:rsidRPr="0003073C">
        <w:rPr>
          <w:lang w:val="en-GB"/>
        </w:rPr>
        <w:t>-1.0</w:t>
      </w:r>
      <w:r w:rsidR="00CA04A9" w:rsidRPr="0003073C">
        <w:rPr>
          <w:lang w:val="en-GB"/>
        </w:rPr>
        <w:t>7</w:t>
      </w:r>
      <w:r w:rsidR="002340DC" w:rsidRPr="0003073C">
        <w:rPr>
          <w:lang w:val="en-GB"/>
        </w:rPr>
        <w:t>)</w:t>
      </w:r>
      <w:r w:rsidR="00201E8F" w:rsidRPr="0003073C">
        <w:rPr>
          <w:lang w:val="en-GB"/>
        </w:rPr>
        <w:t xml:space="preserve">. </w:t>
      </w:r>
    </w:p>
    <w:p w14:paraId="27D9BEC7" w14:textId="77777777" w:rsidR="00C83A3A" w:rsidRPr="0003073C" w:rsidRDefault="00C83A3A" w:rsidP="007419B4">
      <w:pPr>
        <w:spacing w:line="480" w:lineRule="auto"/>
        <w:rPr>
          <w:b/>
          <w:lang w:val="en-GB"/>
        </w:rPr>
      </w:pPr>
    </w:p>
    <w:p w14:paraId="12B1E85B" w14:textId="77777777" w:rsidR="00CF1EBE" w:rsidRPr="0003073C" w:rsidRDefault="00CF1EBE" w:rsidP="007419B4">
      <w:pPr>
        <w:spacing w:line="480" w:lineRule="auto"/>
        <w:rPr>
          <w:b/>
          <w:lang w:val="en-GB"/>
        </w:rPr>
      </w:pPr>
    </w:p>
    <w:p w14:paraId="38B6B1FE" w14:textId="2D258025" w:rsidR="00DB2D55" w:rsidRPr="0003073C" w:rsidRDefault="0004432E" w:rsidP="007419B4">
      <w:pPr>
        <w:spacing w:line="480" w:lineRule="auto"/>
        <w:rPr>
          <w:lang w:val="en-GB"/>
        </w:rPr>
      </w:pPr>
      <w:r w:rsidRPr="0003073C">
        <w:rPr>
          <w:b/>
          <w:lang w:val="en-GB"/>
        </w:rPr>
        <w:lastRenderedPageBreak/>
        <w:t>Conclusion</w:t>
      </w:r>
      <w:r w:rsidRPr="0003073C">
        <w:rPr>
          <w:lang w:val="en-GB"/>
        </w:rPr>
        <w:t xml:space="preserve">. </w:t>
      </w:r>
    </w:p>
    <w:p w14:paraId="620186C7" w14:textId="31B5B817" w:rsidR="0080561E" w:rsidRPr="0003073C" w:rsidRDefault="000D1D25" w:rsidP="007419B4">
      <w:pPr>
        <w:spacing w:line="480" w:lineRule="auto"/>
        <w:rPr>
          <w:lang w:val="en-US"/>
        </w:rPr>
      </w:pPr>
      <w:r w:rsidRPr="0003073C">
        <w:rPr>
          <w:lang w:val="en-GB"/>
        </w:rPr>
        <w:t>This study</w:t>
      </w:r>
      <w:r w:rsidR="00D659B3" w:rsidRPr="0003073C">
        <w:rPr>
          <w:lang w:val="en-GB"/>
        </w:rPr>
        <w:t xml:space="preserve"> </w:t>
      </w:r>
      <w:r w:rsidR="00CF1EBE" w:rsidRPr="0003073C">
        <w:rPr>
          <w:lang w:val="en-GB"/>
        </w:rPr>
        <w:t>shows</w:t>
      </w:r>
      <w:r w:rsidR="00D659B3" w:rsidRPr="0003073C">
        <w:rPr>
          <w:lang w:val="en-GB"/>
        </w:rPr>
        <w:t xml:space="preserve"> that</w:t>
      </w:r>
      <w:r w:rsidR="005F16D5" w:rsidRPr="0003073C">
        <w:rPr>
          <w:lang w:val="en-GB"/>
        </w:rPr>
        <w:t xml:space="preserve"> </w:t>
      </w:r>
      <w:r w:rsidR="00D659B3" w:rsidRPr="0003073C">
        <w:rPr>
          <w:lang w:val="en-GB"/>
        </w:rPr>
        <w:t>b</w:t>
      </w:r>
      <w:r w:rsidR="002F1550" w:rsidRPr="0003073C">
        <w:rPr>
          <w:lang w:val="en-GB"/>
        </w:rPr>
        <w:t>est outcomes were observed in patients</w:t>
      </w:r>
      <w:r w:rsidR="00D659B3" w:rsidRPr="0003073C">
        <w:rPr>
          <w:lang w:val="en-GB"/>
        </w:rPr>
        <w:t xml:space="preserve"> attaining</w:t>
      </w:r>
      <w:r w:rsidR="002F1550" w:rsidRPr="0003073C">
        <w:rPr>
          <w:lang w:val="en-GB"/>
        </w:rPr>
        <w:t xml:space="preserve"> </w:t>
      </w:r>
      <w:r w:rsidR="002C7C6C" w:rsidRPr="0003073C">
        <w:rPr>
          <w:lang w:val="en-GB"/>
        </w:rPr>
        <w:t xml:space="preserve">GRTD </w:t>
      </w:r>
      <w:r w:rsidR="002F1550" w:rsidRPr="0003073C">
        <w:rPr>
          <w:lang w:val="en-GB"/>
        </w:rPr>
        <w:t xml:space="preserve">for both </w:t>
      </w:r>
      <w:proofErr w:type="spellStart"/>
      <w:r w:rsidR="002F1550" w:rsidRPr="0003073C">
        <w:rPr>
          <w:lang w:val="en-GB"/>
        </w:rPr>
        <w:t>ACE</w:t>
      </w:r>
      <w:r w:rsidR="00CD7F36" w:rsidRPr="0003073C">
        <w:rPr>
          <w:lang w:val="en-GB"/>
        </w:rPr>
        <w:t>i</w:t>
      </w:r>
      <w:proofErr w:type="spellEnd"/>
      <w:r w:rsidR="002F1550" w:rsidRPr="0003073C">
        <w:rPr>
          <w:lang w:val="en-GB"/>
        </w:rPr>
        <w:t>/ARB and β-blockers</w:t>
      </w:r>
      <w:r w:rsidR="005F16D5" w:rsidRPr="0003073C">
        <w:rPr>
          <w:lang w:val="en-GB"/>
        </w:rPr>
        <w:t xml:space="preserve">, </w:t>
      </w:r>
      <w:r w:rsidR="00214333" w:rsidRPr="0003073C">
        <w:rPr>
          <w:lang w:val="en-GB"/>
        </w:rPr>
        <w:t>unfortunately</w:t>
      </w:r>
      <w:r w:rsidR="00CF1EBE" w:rsidRPr="0003073C">
        <w:rPr>
          <w:lang w:val="en-GB"/>
        </w:rPr>
        <w:t xml:space="preserve"> this </w:t>
      </w:r>
      <w:r w:rsidR="001561C2" w:rsidRPr="0003073C">
        <w:rPr>
          <w:lang w:val="en-GB"/>
        </w:rPr>
        <w:t>was rarely achieved</w:t>
      </w:r>
      <w:r w:rsidR="00F03A67" w:rsidRPr="0003073C">
        <w:rPr>
          <w:lang w:val="en-GB"/>
        </w:rPr>
        <w:t>.</w:t>
      </w:r>
      <w:r w:rsidR="002F1550" w:rsidRPr="0003073C">
        <w:rPr>
          <w:lang w:val="en-GB"/>
        </w:rPr>
        <w:t xml:space="preserve"> </w:t>
      </w:r>
      <w:r w:rsidR="00640182" w:rsidRPr="0003073C">
        <w:rPr>
          <w:lang w:val="en-GB"/>
        </w:rPr>
        <w:t xml:space="preserve">Achieving </w:t>
      </w:r>
      <w:r w:rsidR="00934C71" w:rsidRPr="0003073C">
        <w:rPr>
          <w:lang w:val="en-GB"/>
        </w:rPr>
        <w:t xml:space="preserve">&gt;50% GRTD </w:t>
      </w:r>
      <w:r w:rsidR="00640182" w:rsidRPr="0003073C">
        <w:rPr>
          <w:lang w:val="en-GB"/>
        </w:rPr>
        <w:t xml:space="preserve">of both drug classes </w:t>
      </w:r>
      <w:r w:rsidR="001561C2" w:rsidRPr="0003073C">
        <w:rPr>
          <w:lang w:val="en-GB"/>
        </w:rPr>
        <w:t xml:space="preserve">was associated with better outcome than </w:t>
      </w:r>
      <w:r w:rsidR="00934C71" w:rsidRPr="0003073C">
        <w:rPr>
          <w:lang w:val="en-GB"/>
        </w:rPr>
        <w:t>target</w:t>
      </w:r>
      <w:r w:rsidR="001561C2" w:rsidRPr="0003073C">
        <w:rPr>
          <w:lang w:val="en-GB"/>
        </w:rPr>
        <w:t xml:space="preserve"> dose o</w:t>
      </w:r>
      <w:r w:rsidR="00056473" w:rsidRPr="0003073C">
        <w:rPr>
          <w:lang w:val="en-GB"/>
        </w:rPr>
        <w:t>f</w:t>
      </w:r>
      <w:r w:rsidR="001561C2" w:rsidRPr="0003073C">
        <w:rPr>
          <w:lang w:val="en-GB"/>
        </w:rPr>
        <w:t xml:space="preserve"> </w:t>
      </w:r>
      <w:r w:rsidR="00214333" w:rsidRPr="0003073C">
        <w:rPr>
          <w:lang w:val="en-GB"/>
        </w:rPr>
        <w:t>monotherapy. U</w:t>
      </w:r>
      <w:r w:rsidR="0004432E" w:rsidRPr="0003073C">
        <w:rPr>
          <w:lang w:val="en-GB"/>
        </w:rPr>
        <w:t>p</w:t>
      </w:r>
      <w:r w:rsidR="00C83A3A" w:rsidRPr="0003073C">
        <w:rPr>
          <w:lang w:val="en-GB"/>
        </w:rPr>
        <w:t>-</w:t>
      </w:r>
      <w:r w:rsidR="0004432E" w:rsidRPr="0003073C">
        <w:rPr>
          <w:lang w:val="en-GB"/>
        </w:rPr>
        <w:t xml:space="preserve">titrating </w:t>
      </w:r>
      <w:r w:rsidR="008F4706" w:rsidRPr="0003073C">
        <w:rPr>
          <w:lang w:val="en-GB"/>
        </w:rPr>
        <w:t>β-blockers</w:t>
      </w:r>
      <w:r w:rsidR="001561C2" w:rsidRPr="0003073C">
        <w:rPr>
          <w:lang w:val="en-GB"/>
        </w:rPr>
        <w:t xml:space="preserve"> </w:t>
      </w:r>
      <w:r w:rsidR="008263A1" w:rsidRPr="0003073C">
        <w:rPr>
          <w:lang w:val="en-GB"/>
        </w:rPr>
        <w:t xml:space="preserve">to </w:t>
      </w:r>
      <w:r w:rsidR="00DE7AB4" w:rsidRPr="0003073C">
        <w:rPr>
          <w:lang w:val="en-GB"/>
        </w:rPr>
        <w:t>target dose</w:t>
      </w:r>
      <w:r w:rsidR="008263A1" w:rsidRPr="0003073C">
        <w:rPr>
          <w:lang w:val="en-GB"/>
        </w:rPr>
        <w:t xml:space="preserve"> </w:t>
      </w:r>
      <w:r w:rsidR="001561C2" w:rsidRPr="0003073C">
        <w:rPr>
          <w:lang w:val="en-GB"/>
        </w:rPr>
        <w:t xml:space="preserve">was associated with </w:t>
      </w:r>
      <w:r w:rsidR="0004432E" w:rsidRPr="0003073C">
        <w:rPr>
          <w:lang w:val="en-GB"/>
        </w:rPr>
        <w:t>greater</w:t>
      </w:r>
      <w:r w:rsidR="00087D5B" w:rsidRPr="0003073C">
        <w:rPr>
          <w:lang w:val="en-GB"/>
        </w:rPr>
        <w:t xml:space="preserve"> mortality</w:t>
      </w:r>
      <w:r w:rsidR="0004432E" w:rsidRPr="0003073C">
        <w:rPr>
          <w:lang w:val="en-GB"/>
        </w:rPr>
        <w:t xml:space="preserve"> </w:t>
      </w:r>
      <w:r w:rsidR="00DE7AB4" w:rsidRPr="0003073C">
        <w:rPr>
          <w:lang w:val="en-GB"/>
        </w:rPr>
        <w:t>reduction</w:t>
      </w:r>
      <w:r w:rsidR="0004432E" w:rsidRPr="0003073C">
        <w:rPr>
          <w:lang w:val="en-GB"/>
        </w:rPr>
        <w:t xml:space="preserve"> than up</w:t>
      </w:r>
      <w:r w:rsidR="00C83A3A" w:rsidRPr="0003073C">
        <w:rPr>
          <w:lang w:val="en-GB"/>
        </w:rPr>
        <w:t>-</w:t>
      </w:r>
      <w:r w:rsidR="0004432E" w:rsidRPr="0003073C">
        <w:rPr>
          <w:lang w:val="en-GB"/>
        </w:rPr>
        <w:t xml:space="preserve">titrating </w:t>
      </w:r>
      <w:proofErr w:type="spellStart"/>
      <w:r w:rsidR="008F4706" w:rsidRPr="0003073C">
        <w:rPr>
          <w:lang w:val="en-GB"/>
        </w:rPr>
        <w:t>ACE</w:t>
      </w:r>
      <w:r w:rsidR="00CD7F36" w:rsidRPr="0003073C">
        <w:rPr>
          <w:lang w:val="en-GB"/>
        </w:rPr>
        <w:t>i</w:t>
      </w:r>
      <w:proofErr w:type="spellEnd"/>
      <w:r w:rsidR="008F4706" w:rsidRPr="0003073C">
        <w:rPr>
          <w:lang w:val="en-GB"/>
        </w:rPr>
        <w:t>/ARB.</w:t>
      </w:r>
      <w:r w:rsidR="008F4706" w:rsidRPr="0003073C">
        <w:rPr>
          <w:lang w:val="en-US"/>
        </w:rPr>
        <w:t xml:space="preserve"> </w:t>
      </w:r>
    </w:p>
    <w:p w14:paraId="75FA4B29" w14:textId="66672A66" w:rsidR="007E61B3" w:rsidRPr="0003073C" w:rsidRDefault="007E61B3" w:rsidP="007419B4">
      <w:pPr>
        <w:spacing w:line="480" w:lineRule="auto"/>
        <w:rPr>
          <w:lang w:val="en-GB"/>
        </w:rPr>
      </w:pPr>
    </w:p>
    <w:p w14:paraId="1ED2742E" w14:textId="77777777" w:rsidR="008E13B7" w:rsidRPr="0003073C" w:rsidRDefault="008E13B7" w:rsidP="007419B4">
      <w:pPr>
        <w:spacing w:line="480" w:lineRule="auto"/>
        <w:rPr>
          <w:b/>
          <w:bCs/>
          <w:lang w:val="en-US"/>
        </w:rPr>
      </w:pPr>
    </w:p>
    <w:p w14:paraId="7A7532BA" w14:textId="4F0B0CE3" w:rsidR="004D0F23" w:rsidRPr="0003073C" w:rsidRDefault="004D0F23" w:rsidP="007419B4">
      <w:pPr>
        <w:spacing w:line="480" w:lineRule="auto"/>
        <w:rPr>
          <w:b/>
          <w:bCs/>
          <w:lang w:val="en-US"/>
        </w:rPr>
      </w:pPr>
      <w:r w:rsidRPr="0003073C">
        <w:rPr>
          <w:b/>
          <w:bCs/>
          <w:lang w:val="en-US"/>
        </w:rPr>
        <w:t>Key words:</w:t>
      </w:r>
    </w:p>
    <w:p w14:paraId="480D7B84" w14:textId="72BD765A" w:rsidR="004D0F23" w:rsidRPr="0003073C" w:rsidRDefault="00847F51" w:rsidP="007419B4">
      <w:pPr>
        <w:spacing w:line="480" w:lineRule="auto"/>
        <w:rPr>
          <w:bCs/>
          <w:lang w:val="en-US"/>
        </w:rPr>
      </w:pPr>
      <w:r w:rsidRPr="0003073C">
        <w:rPr>
          <w:bCs/>
          <w:lang w:val="en-US"/>
        </w:rPr>
        <w:t xml:space="preserve">Heart failure, reduced ejection fraction, evidence-based pharmacotherapy, </w:t>
      </w:r>
      <w:r w:rsidR="009C5CD4" w:rsidRPr="0003073C">
        <w:rPr>
          <w:bCs/>
          <w:lang w:val="en-US"/>
        </w:rPr>
        <w:t>outcomes, up</w:t>
      </w:r>
      <w:r w:rsidR="00F21A00" w:rsidRPr="0003073C">
        <w:rPr>
          <w:bCs/>
          <w:lang w:val="en-US"/>
        </w:rPr>
        <w:t>-</w:t>
      </w:r>
      <w:r w:rsidR="009C5CD4" w:rsidRPr="0003073C">
        <w:rPr>
          <w:bCs/>
          <w:lang w:val="en-US"/>
        </w:rPr>
        <w:t>titration</w:t>
      </w:r>
    </w:p>
    <w:p w14:paraId="636C1F2B" w14:textId="77777777" w:rsidR="009C5CD4" w:rsidRPr="0003073C" w:rsidRDefault="009C5CD4" w:rsidP="007419B4">
      <w:pPr>
        <w:spacing w:line="480" w:lineRule="auto"/>
        <w:rPr>
          <w:bCs/>
          <w:lang w:val="en-US"/>
        </w:rPr>
      </w:pPr>
    </w:p>
    <w:p w14:paraId="4667BF03" w14:textId="78F9ADF1" w:rsidR="004D0F23" w:rsidRPr="0003073C" w:rsidRDefault="004D0F23" w:rsidP="007419B4">
      <w:pPr>
        <w:spacing w:line="480" w:lineRule="auto"/>
        <w:rPr>
          <w:lang w:val="en-GB"/>
        </w:rPr>
      </w:pPr>
      <w:r w:rsidRPr="0003073C">
        <w:rPr>
          <w:b/>
          <w:bCs/>
          <w:lang w:val="en-US"/>
        </w:rPr>
        <w:t>Translational Perspective</w:t>
      </w:r>
      <w:r w:rsidRPr="0003073C">
        <w:rPr>
          <w:bCs/>
          <w:lang w:val="en-US"/>
        </w:rPr>
        <w:t>:</w:t>
      </w:r>
      <w:r w:rsidR="00847F51" w:rsidRPr="0003073C">
        <w:rPr>
          <w:bCs/>
          <w:lang w:val="en-US"/>
        </w:rPr>
        <w:t xml:space="preserve"> </w:t>
      </w:r>
      <w:r w:rsidR="00847F51" w:rsidRPr="0003073C">
        <w:rPr>
          <w:lang w:val="en-GB"/>
        </w:rPr>
        <w:t xml:space="preserve">Our findings </w:t>
      </w:r>
      <w:r w:rsidR="00A94E62" w:rsidRPr="0003073C">
        <w:rPr>
          <w:lang w:val="en-GB"/>
        </w:rPr>
        <w:t xml:space="preserve">can </w:t>
      </w:r>
      <w:r w:rsidR="00847F51" w:rsidRPr="0003073C">
        <w:rPr>
          <w:lang w:val="en-GB"/>
        </w:rPr>
        <w:t xml:space="preserve">inform clinical practice, particularly when managing </w:t>
      </w:r>
      <w:r w:rsidR="00E0020E" w:rsidRPr="0003073C">
        <w:rPr>
          <w:lang w:val="en-GB"/>
        </w:rPr>
        <w:t>sick</w:t>
      </w:r>
      <w:r w:rsidR="00847F51" w:rsidRPr="0003073C">
        <w:rPr>
          <w:lang w:val="en-GB"/>
        </w:rPr>
        <w:t xml:space="preserve"> patients with multi</w:t>
      </w:r>
      <w:r w:rsidR="009A0D5F" w:rsidRPr="0003073C">
        <w:rPr>
          <w:lang w:val="en-GB"/>
        </w:rPr>
        <w:t>-</w:t>
      </w:r>
      <w:r w:rsidR="00847F51" w:rsidRPr="0003073C">
        <w:rPr>
          <w:lang w:val="en-GB"/>
        </w:rPr>
        <w:t>morbidity</w:t>
      </w:r>
      <w:r w:rsidR="006047B3" w:rsidRPr="0003073C">
        <w:rPr>
          <w:lang w:val="en-GB"/>
        </w:rPr>
        <w:t xml:space="preserve"> </w:t>
      </w:r>
      <w:r w:rsidR="00847F51" w:rsidRPr="0003073C">
        <w:rPr>
          <w:lang w:val="en-GB"/>
        </w:rPr>
        <w:t>requir</w:t>
      </w:r>
      <w:r w:rsidR="00A94E62" w:rsidRPr="0003073C">
        <w:rPr>
          <w:lang w:val="en-GB"/>
        </w:rPr>
        <w:t>ing</w:t>
      </w:r>
      <w:r w:rsidR="00847F51" w:rsidRPr="0003073C">
        <w:rPr>
          <w:lang w:val="en-GB"/>
        </w:rPr>
        <w:t xml:space="preserve"> polypharmacy. </w:t>
      </w:r>
      <w:r w:rsidR="00CA0027" w:rsidRPr="0003073C">
        <w:rPr>
          <w:lang w:val="en-GB"/>
        </w:rPr>
        <w:t xml:space="preserve">Best outcomes are obtained with </w:t>
      </w:r>
      <w:r w:rsidR="008263A1" w:rsidRPr="0003073C">
        <w:rPr>
          <w:lang w:val="en-GB"/>
        </w:rPr>
        <w:t xml:space="preserve">100% </w:t>
      </w:r>
      <w:r w:rsidR="002C7C6C" w:rsidRPr="0003073C">
        <w:rPr>
          <w:lang w:val="en-GB"/>
        </w:rPr>
        <w:t>GRTD</w:t>
      </w:r>
      <w:r w:rsidR="00CA0027" w:rsidRPr="0003073C">
        <w:rPr>
          <w:lang w:val="en-GB"/>
        </w:rPr>
        <w:t xml:space="preserve">s, however, </w:t>
      </w:r>
      <w:r w:rsidR="003640FE" w:rsidRPr="0003073C">
        <w:rPr>
          <w:lang w:val="en-GB"/>
        </w:rPr>
        <w:t>u</w:t>
      </w:r>
      <w:r w:rsidR="00847F51" w:rsidRPr="0003073C">
        <w:rPr>
          <w:lang w:val="en-GB"/>
        </w:rPr>
        <w:t>nder circumstances when it is challenging to up</w:t>
      </w:r>
      <w:r w:rsidR="00935879" w:rsidRPr="0003073C">
        <w:rPr>
          <w:lang w:val="en-GB"/>
        </w:rPr>
        <w:t>-</w:t>
      </w:r>
      <w:r w:rsidR="00847F51" w:rsidRPr="0003073C">
        <w:rPr>
          <w:lang w:val="en-GB"/>
        </w:rPr>
        <w:t xml:space="preserve">titrate both </w:t>
      </w:r>
      <w:proofErr w:type="spellStart"/>
      <w:r w:rsidR="006047B3" w:rsidRPr="0003073C">
        <w:rPr>
          <w:lang w:val="en-GB"/>
        </w:rPr>
        <w:t>ACEi</w:t>
      </w:r>
      <w:proofErr w:type="spellEnd"/>
      <w:r w:rsidR="006047B3" w:rsidRPr="0003073C">
        <w:rPr>
          <w:lang w:val="en-GB"/>
        </w:rPr>
        <w:t>/ARB a</w:t>
      </w:r>
      <w:r w:rsidR="00847F51" w:rsidRPr="0003073C">
        <w:rPr>
          <w:lang w:val="en-GB"/>
        </w:rPr>
        <w:t xml:space="preserve">nd β-blockers, </w:t>
      </w:r>
      <w:r w:rsidR="00087D5B" w:rsidRPr="0003073C">
        <w:rPr>
          <w:lang w:val="en-GB"/>
        </w:rPr>
        <w:t>achieving moderate</w:t>
      </w:r>
      <w:r w:rsidR="004262B8" w:rsidRPr="0003073C">
        <w:rPr>
          <w:lang w:val="en-GB"/>
        </w:rPr>
        <w:t xml:space="preserve"> doses of both drug classes is more important than reaching maximal </w:t>
      </w:r>
      <w:r w:rsidR="008263A1" w:rsidRPr="0003073C">
        <w:rPr>
          <w:lang w:val="en-GB"/>
        </w:rPr>
        <w:t xml:space="preserve">target </w:t>
      </w:r>
      <w:r w:rsidR="004262B8" w:rsidRPr="0003073C">
        <w:rPr>
          <w:lang w:val="en-GB"/>
        </w:rPr>
        <w:t xml:space="preserve">doses of </w:t>
      </w:r>
      <w:r w:rsidR="00087D5B" w:rsidRPr="0003073C">
        <w:rPr>
          <w:lang w:val="en-GB"/>
        </w:rPr>
        <w:t xml:space="preserve">only one class of </w:t>
      </w:r>
      <w:r w:rsidR="004262B8" w:rsidRPr="0003073C">
        <w:rPr>
          <w:lang w:val="en-GB"/>
        </w:rPr>
        <w:t xml:space="preserve">drug, and further </w:t>
      </w:r>
      <w:r w:rsidR="00847F51" w:rsidRPr="0003073C">
        <w:rPr>
          <w:lang w:val="en-GB"/>
        </w:rPr>
        <w:t>up</w:t>
      </w:r>
      <w:r w:rsidR="00F21A00" w:rsidRPr="0003073C">
        <w:rPr>
          <w:lang w:val="en-GB"/>
        </w:rPr>
        <w:t>-</w:t>
      </w:r>
      <w:r w:rsidR="00847F51" w:rsidRPr="0003073C">
        <w:rPr>
          <w:lang w:val="en-GB"/>
        </w:rPr>
        <w:t xml:space="preserve">titrating </w:t>
      </w:r>
      <w:r w:rsidR="004D365D" w:rsidRPr="0003073C">
        <w:rPr>
          <w:lang w:val="en-GB"/>
        </w:rPr>
        <w:t>β-blockers</w:t>
      </w:r>
      <w:r w:rsidR="00F21A00" w:rsidRPr="0003073C">
        <w:rPr>
          <w:lang w:val="en-GB"/>
        </w:rPr>
        <w:t xml:space="preserve"> </w:t>
      </w:r>
      <w:r w:rsidR="008263A1" w:rsidRPr="0003073C">
        <w:rPr>
          <w:lang w:val="en-GB"/>
        </w:rPr>
        <w:t xml:space="preserve">to 100% GRTD </w:t>
      </w:r>
      <w:r w:rsidR="00847F51" w:rsidRPr="0003073C">
        <w:rPr>
          <w:lang w:val="en-GB"/>
        </w:rPr>
        <w:t xml:space="preserve">may </w:t>
      </w:r>
      <w:r w:rsidR="00087D5B" w:rsidRPr="0003073C">
        <w:rPr>
          <w:lang w:val="en-GB"/>
        </w:rPr>
        <w:t xml:space="preserve">be associated with greater mortality benefit </w:t>
      </w:r>
      <w:r w:rsidR="0005024E" w:rsidRPr="0003073C">
        <w:rPr>
          <w:lang w:val="en-GB"/>
        </w:rPr>
        <w:t>than up</w:t>
      </w:r>
      <w:r w:rsidR="00F21A00" w:rsidRPr="0003073C">
        <w:rPr>
          <w:lang w:val="en-GB"/>
        </w:rPr>
        <w:t>-</w:t>
      </w:r>
      <w:r w:rsidR="0005024E" w:rsidRPr="0003073C">
        <w:rPr>
          <w:lang w:val="en-GB"/>
        </w:rPr>
        <w:t xml:space="preserve">titrating </w:t>
      </w:r>
      <w:proofErr w:type="spellStart"/>
      <w:r w:rsidR="006047B3" w:rsidRPr="0003073C">
        <w:rPr>
          <w:lang w:val="en-GB"/>
        </w:rPr>
        <w:t>ACEi</w:t>
      </w:r>
      <w:proofErr w:type="spellEnd"/>
      <w:r w:rsidR="006047B3" w:rsidRPr="0003073C">
        <w:rPr>
          <w:lang w:val="en-GB"/>
        </w:rPr>
        <w:t>/ARB</w:t>
      </w:r>
      <w:r w:rsidR="00CA0027" w:rsidRPr="0003073C">
        <w:rPr>
          <w:lang w:val="en-GB"/>
        </w:rPr>
        <w:t xml:space="preserve">. </w:t>
      </w:r>
    </w:p>
    <w:p w14:paraId="7366C8D8" w14:textId="77777777" w:rsidR="00720A84" w:rsidRPr="0003073C" w:rsidRDefault="00720A84" w:rsidP="007419B4">
      <w:pPr>
        <w:pStyle w:val="Titre1"/>
        <w:ind w:left="0"/>
        <w:rPr>
          <w:rFonts w:ascii="Arial" w:hAnsi="Arial" w:cs="Arial"/>
          <w:sz w:val="20"/>
          <w:szCs w:val="20"/>
          <w:lang w:val="en-GB"/>
        </w:rPr>
        <w:sectPr w:rsidR="00720A84" w:rsidRPr="0003073C" w:rsidSect="00A13DAE">
          <w:pgSz w:w="11906" w:h="16840"/>
          <w:pgMar w:top="1559" w:right="822" w:bottom="2603" w:left="1678" w:header="709" w:footer="709" w:gutter="0"/>
          <w:lnNumType w:countBy="1"/>
          <w:cols w:space="708"/>
          <w:docGrid w:linePitch="326"/>
        </w:sectPr>
      </w:pPr>
    </w:p>
    <w:p w14:paraId="453005EA" w14:textId="33CD14E7" w:rsidR="003215EF" w:rsidRPr="0003073C" w:rsidRDefault="0048289E" w:rsidP="007419B4">
      <w:pPr>
        <w:pStyle w:val="Titre1"/>
        <w:ind w:left="0"/>
        <w:rPr>
          <w:rFonts w:cs="Times New Roman"/>
          <w:sz w:val="24"/>
          <w:szCs w:val="24"/>
        </w:rPr>
      </w:pPr>
      <w:r w:rsidRPr="0003073C">
        <w:rPr>
          <w:rFonts w:cs="Times New Roman"/>
          <w:w w:val="110"/>
          <w:sz w:val="24"/>
          <w:szCs w:val="24"/>
        </w:rPr>
        <w:lastRenderedPageBreak/>
        <w:t>I</w:t>
      </w:r>
      <w:r w:rsidRPr="0003073C">
        <w:rPr>
          <w:rFonts w:cs="Times New Roman"/>
          <w:spacing w:val="-11"/>
          <w:w w:val="110"/>
          <w:sz w:val="24"/>
          <w:szCs w:val="24"/>
        </w:rPr>
        <w:t>n</w:t>
      </w:r>
      <w:r w:rsidRPr="0003073C">
        <w:rPr>
          <w:rFonts w:cs="Times New Roman"/>
          <w:w w:val="110"/>
          <w:sz w:val="24"/>
          <w:szCs w:val="24"/>
        </w:rPr>
        <w:t>tr</w:t>
      </w:r>
      <w:r w:rsidRPr="0003073C">
        <w:rPr>
          <w:rFonts w:cs="Times New Roman"/>
          <w:spacing w:val="10"/>
          <w:w w:val="110"/>
          <w:sz w:val="24"/>
          <w:szCs w:val="24"/>
        </w:rPr>
        <w:t>o</w:t>
      </w:r>
      <w:r w:rsidRPr="0003073C">
        <w:rPr>
          <w:rFonts w:cs="Times New Roman"/>
          <w:w w:val="110"/>
          <w:sz w:val="24"/>
          <w:szCs w:val="24"/>
        </w:rPr>
        <w:t>duction</w:t>
      </w:r>
    </w:p>
    <w:p w14:paraId="76437E98" w14:textId="47020AB3" w:rsidR="00536C8D" w:rsidRPr="0003073C" w:rsidRDefault="00AE4B32" w:rsidP="007419B4">
      <w:pPr>
        <w:spacing w:line="480" w:lineRule="auto"/>
        <w:rPr>
          <w:lang w:val="en-US"/>
        </w:rPr>
      </w:pPr>
      <w:r w:rsidRPr="0003073C">
        <w:rPr>
          <w:lang w:val="en-GB"/>
        </w:rPr>
        <w:t>Current international guidelines</w:t>
      </w:r>
      <w:r w:rsidRPr="0003073C">
        <w:rPr>
          <w:lang w:val="en-GB"/>
        </w:rPr>
        <w:fldChar w:fldCharType="begin" w:fldLock="1"/>
      </w:r>
      <w:r w:rsidR="003E15D4" w:rsidRPr="0003073C">
        <w:rPr>
          <w:lang w:val="en-GB"/>
        </w:rPr>
        <w:instrText>ADDIN CSL_CITATION {"citationItems":[{"id":"ITEM-1","itemData":{"DOI":"10.1002/ejhf.592","ISSN":"1879-0844","PMID":"27207191","author":[{"dropping-particle":"","family":"Ponikowski","given":"Piotr","non-dropping-particle":"","parse-names":false,"suffix":""},{"dropping-particle":"","family":"Voors","given":"Adriaan A","non-dropping-particle":"","parse-names":false,"suffix":""},{"dropping-particle":"","family":"Anker","given":"Stefan D","non-dropping-particle":"","parse-names":false,"suffix":""},{"dropping-particle":"","family":"Bueno","given":"Héctor","non-dropping-particle":"","parse-names":false,"suffix":""},{"dropping-particle":"","family":"Cleland","given":"John G F","non-dropping-particle":"","parse-names":false,"suffix":""},{"dropping-particle":"","family":"Coats","given":"Andrew J S","non-dropping-particle":"","parse-names":false,"suffix":""},{"dropping-particle":"","family":"Falk","given":"Volkmar","non-dropping-particle":"","parse-names":false,"suffix":""},{"dropping-particle":"","family":"González-Juanatey","given":"José Ramón","non-dropping-particle":"","parse-names":false,"suffix":""},{"dropping-particle":"","family":"Harjola","given":"Veli-Pekka","non-dropping-particle":"","parse-names":false,"suffix":""},{"dropping-particle":"","family":"Jankowska","given":"Ewa A","non-dropping-particle":"","parse-names":false,"suffix":""},{"dropping-particle":"","family":"Jessup","given":"Mariell","non-dropping-particle":"","parse-names":false,"suffix":""},{"dropping-particle":"","family":"Linde","given":"Cecilia","non-dropping-particle":"","parse-names":false,"suffix":""},{"dropping-particle":"","family":"Nihoyannopoulos","given":"Petros","non-dropping-particle":"","parse-names":false,"suffix":""},{"dropping-particle":"","family":"Parissis","given":"John T","non-dropping-particle":"","parse-names":false,"suffix":""},{"dropping-particle":"","family":"Pieske","given":"Burkert","non-dropping-particle":"","parse-names":false,"suffix":""},{"dropping-particle":"","family":"Riley","given":"Jillian P","non-dropping-particle":"","parse-names":false,"suffix":""},{"dropping-particle":"","family":"Rosano","given":"Giuseppe M C","non-dropping-particle":"","parse-names":false,"suffix":""},{"dropping-particle":"","family":"Ruilope","given":"Luis M","non-dropping-particle":"","parse-names":false,"suffix":""},{"dropping-particle":"","family":"Ruschitzka","given":"Frank","non-dropping-particle":"","parse-names":false,"suffix":""},{"dropping-particle":"","family":"Rutten","given":"Frans H","non-dropping-particle":"","parse-names":false,"suffix":""},{"dropping-particle":"","family":"Meer","given":"Peter","non-dropping-particle":"van der","parse-names":false,"suffix":""},{"dropping-particle":"","family":"Authors/Task Force Members","given":"","non-dropping-particle":"","parse-names":false,"suffix":""},{"dropping-particle":"","family":"Document Reviewers","given":"","non-dropping-particle":"","parse-names":false,"suffix":""}],"container-title":"European journal of heart failure","id":"ITEM-1","issue":"8","issued":{"date-parts":[["2016","8","20"]]},"page":"891-975","title":"2016 ESC Guidelines for the diagnosis and treatment of acute and chronic heart failure: The Task Force for the diagnosis and treatment of acute and chronic heart failure of the European Society of Cardiology (ESC). Developed with the special contribution","type":"article-journal","volume":"18"},"uris":["http://www.mendeley.com/documents/?uuid=b52716cf-f7ad-4c20-84c1-bf81fa7ae1a7"]},{"id":"ITEM-2","itemData":{"DOI":"10.1161/CIR.0000000000000509","ISBN":"0000000000000","ISSN":"0009-7322","PMID":"28315732","abstract":"Second malignancies occur with increased frequency in patients with chronic lymphocytic leukemia (CLL) regardless of treatment, but they may be more frequent and more aggressive after nucleoside analog therapy of CLL. In as many as 33% of patients with CLL who develop a second malignancy, a spontaneous remission of CLL precedes the diagnosis of the second malignancy by months or years. Richter's syndrome, whether manifested by anaplastic large cell lymphoma or Hodgkin's disease, is not truly a second malignancy because the CLL clone appears to be involved. However, all other malignancies developing in patients with CLL appear to be derived from a different clone. CLL and the second malignancy may have a common viral etiology. Second malignancies in patients with CLL should be treated as they would be in patients without CLL.","author":[{"dropping-particle":"","family":"Yancy","given":"Clyde W.","non-dropping-particle":"","parse-names":false,"suffix":""},{"dropping-particle":"","family":"Jessup","given":"Mariell","non-dropping-particle":"","parse-names":false,"suffix":""},{"dropping-particle":"","family":"Bozkurt","given":"Biykem","non-dropping-particle":"","parse-names":false,"suffix":""},{"dropping-particle":"","family":"Butler","given":"Javed","non-dropping-particle":"","parse-names":false,"suffix":""},{"dropping-particle":"","family":"Casey","given":"Donald E.","non-dropping-particle":"","parse-names":false,"suffix":""},{"dropping-particle":"","family":"Colvin","given":"Monica M.","non-dropping-particle":"","parse-names":false,"suffix":""},{"dropping-particle":"","family":"Drazner","given":"Mark H.","non-dropping-particle":"","parse-names":false,"suffix":""},{"dropping-particle":"","family":"Filippatos","given":"Gerasimos S.","non-dropping-particle":"","parse-names":false,"suffix":""},{"dropping-particle":"","family":"Fonarow","given":"Gregg C.","non-dropping-particle":"","parse-names":false,"suffix":""},{"dropping-particle":"","family":"Givertz","given":"Michael M.","non-dropping-particle":"","parse-names":false,"suffix":""},{"dropping-particle":"","family":"Hollenberg","given":"Steven M.","non-dropping-particle":"","parse-names":false,"suffix":""},{"dropping-particle":"","family":"Lindenfeld","given":"JoAnn","non-dropping-particle":"","parse-names":false,"suffix":""},{"dropping-particle":"","family":"Masoudi","given":"Frederick A.","non-dropping-particle":"","parse-names":false,"suffix":""},{"dropping-particle":"","family":"McBride","given":"Patrick E.","non-dropping-particle":"","parse-names":false,"suffix":""},{"dropping-particle":"","family":"Peterson","given":"Pamela N.","non-dropping-particle":"","parse-names":false,"suffix":""},{"dropping-particle":"","family":"Stevenson","given":"Lynne Warner","non-dropping-particle":"","parse-names":false,"suffix":""},{"dropping-particle":"","family":"Westlake","given":"Cheryl","non-dropping-particle":"","parse-names":false,"suffix":""}],"container-title":"Circulation","id":"ITEM-2","issue":"6","issued":{"date-parts":[["2017","8","8"]]},"page":"252-289","title":"2017 ACC/AHA/HFSA Focused Update of the 2013 ACCF/AHA Guideline for the Management of Heart Failure: A Report of the American College of Cardiology/American Heart Association Task Force on Clinical Practice Guidelines and the Heart Failure Society of Amer","type":"article-journal","volume":"136"},"uris":["http://www.mendeley.com/documents/?uuid=642b5150-bf69-4b56-98bd-d9b8db96c975"]}],"mendeley":{"formattedCitation":"&lt;sup&gt;1,2&lt;/sup&gt;","plainTextFormattedCitation":"1,2","previouslyFormattedCitation":"&lt;sup&gt;1,2&lt;/sup&gt;"},"properties":{"noteIndex":0},"schema":"https://github.com/citation-style-language/schema/raw/master/csl-citation.json"}</w:instrText>
      </w:r>
      <w:r w:rsidRPr="0003073C">
        <w:rPr>
          <w:lang w:val="en-GB"/>
        </w:rPr>
        <w:fldChar w:fldCharType="separate"/>
      </w:r>
      <w:r w:rsidR="00142ACE" w:rsidRPr="0003073C">
        <w:rPr>
          <w:noProof/>
          <w:vertAlign w:val="superscript"/>
          <w:lang w:val="en-GB"/>
        </w:rPr>
        <w:t>1,2</w:t>
      </w:r>
      <w:r w:rsidRPr="0003073C">
        <w:rPr>
          <w:lang w:val="en-GB"/>
        </w:rPr>
        <w:fldChar w:fldCharType="end"/>
      </w:r>
      <w:r w:rsidRPr="0003073C">
        <w:rPr>
          <w:lang w:val="en-GB"/>
        </w:rPr>
        <w:t xml:space="preserve"> recommend up-titration of evidence-based medication</w:t>
      </w:r>
      <w:r w:rsidR="00EA69B5" w:rsidRPr="0003073C">
        <w:rPr>
          <w:lang w:val="en-GB"/>
        </w:rPr>
        <w:t>s</w:t>
      </w:r>
      <w:r w:rsidR="00634CCB" w:rsidRPr="0003073C">
        <w:rPr>
          <w:lang w:val="en-GB"/>
        </w:rPr>
        <w:t xml:space="preserve"> [angiotensin-converting enzyme</w:t>
      </w:r>
      <w:r w:rsidR="004B2FA1" w:rsidRPr="0003073C">
        <w:rPr>
          <w:lang w:val="en-GB"/>
        </w:rPr>
        <w:t>-inhibitors</w:t>
      </w:r>
      <w:r w:rsidR="00634CCB" w:rsidRPr="0003073C">
        <w:rPr>
          <w:lang w:val="en-GB"/>
        </w:rPr>
        <w:t xml:space="preserve"> (</w:t>
      </w:r>
      <w:proofErr w:type="spellStart"/>
      <w:r w:rsidRPr="0003073C">
        <w:rPr>
          <w:lang w:val="en-GB"/>
        </w:rPr>
        <w:t>ACE</w:t>
      </w:r>
      <w:r w:rsidR="004B2FA1" w:rsidRPr="0003073C">
        <w:rPr>
          <w:lang w:val="en-GB"/>
        </w:rPr>
        <w:t>i</w:t>
      </w:r>
      <w:proofErr w:type="spellEnd"/>
      <w:r w:rsidR="00634CCB" w:rsidRPr="0003073C">
        <w:rPr>
          <w:lang w:val="en-GB"/>
        </w:rPr>
        <w:t>)</w:t>
      </w:r>
      <w:r w:rsidRPr="0003073C">
        <w:rPr>
          <w:lang w:val="en-GB"/>
        </w:rPr>
        <w:t>/</w:t>
      </w:r>
      <w:r w:rsidR="00634CCB" w:rsidRPr="0003073C">
        <w:rPr>
          <w:lang w:val="en-GB"/>
        </w:rPr>
        <w:t>angiotensin</w:t>
      </w:r>
      <w:r w:rsidR="0018516F" w:rsidRPr="0003073C">
        <w:rPr>
          <w:lang w:val="en-GB"/>
        </w:rPr>
        <w:t xml:space="preserve"> II </w:t>
      </w:r>
      <w:r w:rsidR="00634CCB" w:rsidRPr="0003073C">
        <w:rPr>
          <w:lang w:val="en-GB"/>
        </w:rPr>
        <w:t>receptor blockers (</w:t>
      </w:r>
      <w:r w:rsidRPr="0003073C">
        <w:rPr>
          <w:lang w:val="en-GB"/>
        </w:rPr>
        <w:t>ARB</w:t>
      </w:r>
      <w:r w:rsidR="00634CCB" w:rsidRPr="0003073C">
        <w:rPr>
          <w:lang w:val="en-GB"/>
        </w:rPr>
        <w:t>)</w:t>
      </w:r>
      <w:r w:rsidRPr="0003073C">
        <w:rPr>
          <w:lang w:val="en-GB"/>
        </w:rPr>
        <w:t xml:space="preserve"> and β-blocker</w:t>
      </w:r>
      <w:r w:rsidR="00634CCB" w:rsidRPr="0003073C">
        <w:rPr>
          <w:lang w:val="en-GB"/>
        </w:rPr>
        <w:t>]</w:t>
      </w:r>
      <w:r w:rsidRPr="0003073C">
        <w:rPr>
          <w:lang w:val="en-GB"/>
        </w:rPr>
        <w:t xml:space="preserve"> in patients with heart failure and reduced ejection fraction (HFrEF) to </w:t>
      </w:r>
      <w:r w:rsidR="00FD5A07" w:rsidRPr="0003073C">
        <w:rPr>
          <w:lang w:val="en-GB"/>
        </w:rPr>
        <w:t xml:space="preserve">target doses used in clinical trials. </w:t>
      </w:r>
      <w:r w:rsidR="0048289E" w:rsidRPr="0003073C">
        <w:rPr>
          <w:lang w:val="en-GB"/>
        </w:rPr>
        <w:t>The</w:t>
      </w:r>
      <w:r w:rsidR="008C5082" w:rsidRPr="0003073C">
        <w:rPr>
          <w:lang w:val="en-GB"/>
        </w:rPr>
        <w:t xml:space="preserve"> recommendations are based on </w:t>
      </w:r>
      <w:r w:rsidR="0048289E" w:rsidRPr="0003073C">
        <w:rPr>
          <w:lang w:val="en-GB"/>
        </w:rPr>
        <w:t xml:space="preserve">evidence from large randomized clinical trials that both </w:t>
      </w:r>
      <w:proofErr w:type="spellStart"/>
      <w:r w:rsidR="00247554" w:rsidRPr="0003073C">
        <w:rPr>
          <w:lang w:val="en-GB"/>
        </w:rPr>
        <w:t>ACE</w:t>
      </w:r>
      <w:r w:rsidR="007B4F1C" w:rsidRPr="0003073C">
        <w:rPr>
          <w:lang w:val="en-GB"/>
        </w:rPr>
        <w:t>i</w:t>
      </w:r>
      <w:proofErr w:type="spellEnd"/>
      <w:r w:rsidR="00247554" w:rsidRPr="0003073C">
        <w:rPr>
          <w:lang w:val="en-GB"/>
        </w:rPr>
        <w:t xml:space="preserve"> </w:t>
      </w:r>
      <w:r w:rsidR="0048289E" w:rsidRPr="0003073C">
        <w:rPr>
          <w:lang w:val="en-GB"/>
        </w:rPr>
        <w:t xml:space="preserve">and </w:t>
      </w:r>
      <w:r w:rsidR="00634CCB" w:rsidRPr="0003073C">
        <w:rPr>
          <w:lang w:val="en-GB"/>
        </w:rPr>
        <w:t>β</w:t>
      </w:r>
      <w:r w:rsidR="0048289E" w:rsidRPr="0003073C">
        <w:rPr>
          <w:lang w:val="en-GB"/>
        </w:rPr>
        <w:t>-blockers</w:t>
      </w:r>
      <w:r w:rsidR="008C5082" w:rsidRPr="0003073C">
        <w:rPr>
          <w:lang w:val="en-GB"/>
        </w:rPr>
        <w:t>, up-titrated to respective target doses,</w:t>
      </w:r>
      <w:r w:rsidR="0048289E" w:rsidRPr="0003073C">
        <w:rPr>
          <w:lang w:val="en-GB"/>
        </w:rPr>
        <w:t xml:space="preserve"> improve clinical outcome</w:t>
      </w:r>
      <w:r w:rsidR="009A0D5F" w:rsidRPr="0003073C">
        <w:rPr>
          <w:lang w:val="en-GB"/>
        </w:rPr>
        <w:t>s</w:t>
      </w:r>
      <w:r w:rsidR="0048289E" w:rsidRPr="0003073C">
        <w:rPr>
          <w:lang w:val="en-GB"/>
        </w:rPr>
        <w:t xml:space="preserve"> in patients with mild to moderate </w:t>
      </w:r>
      <w:r w:rsidR="008C5082" w:rsidRPr="0003073C">
        <w:rPr>
          <w:lang w:val="en-GB"/>
        </w:rPr>
        <w:t>HFrEF</w:t>
      </w:r>
      <w:r w:rsidR="003377A8" w:rsidRPr="0003073C">
        <w:rPr>
          <w:lang w:val="en-GB"/>
        </w:rPr>
        <w:fldChar w:fldCharType="begin" w:fldLock="1"/>
      </w:r>
      <w:r w:rsidR="0041427D" w:rsidRPr="0003073C">
        <w:rPr>
          <w:lang w:val="en-GB"/>
        </w:rPr>
        <w:instrText>ADDIN CSL_CITATION {"citationItems":[{"id":"ITEM-1","itemData":{"DOI":"10.1056/NEJM199108013250501","ISSN":"0028-4793","PMID":"2057034","abstract":"BACKGROUND Patients with congestive heart failure have a high mortality rate and are also hospitalized frequently. We studied the effect of an angiotensin-converting-enzyme inhibitor, enalapril, on mortality and hospitalization in patients with chronic heart failure and ejection fractions less than or equal to 0.35. METHODS Patients receiving conventional treatment for heart failure were randomly assigned to receive either placebo (n = 1284) or enalapril (n = 1285) at doses of 2.5 to 20 mg per day in a double-bind trial. Approximately 90 percent of the patients were in New York Heart Association functional classes II and III. The follow-up averaged 41.4 months. RESULTS There were 510 deaths in the placebo group (39.7 percent), as compared with 452 in the enalapril group (35.2 percent) (reduction in risk, 16 percent; 95 percent confidence interval, 5 to 26 percent; P = 0.0036). Although reductions in mortality were observed in several categories of cardiac deaths, the largest reduction occurred among the deaths attributed to progressive heart failure (251 in the placebo group vs. 209 in the enalapril group; reduction in risk, 22 percent; 95 percent confidence interval, 6 to 35 percent). There was little apparent effect of treatment on deaths classified as due to arrhythmia without pump failure. Fewer patients died or were hospitalized for worsening heart failure (736 in the placebo group and 613 in the enalapril group; risk reduction, 26 percent; 95 percent confidence interval, 18 to 34 percent; P less than 0.0001). CONCLUSIONS The addition of enalapril to conventional therapy significantly reduced mortality and hospitalizations for heart failure in patients with chronic congestive heart failure and reduced ejection fractions.","author":[{"dropping-particle":"","family":"The SOLVD Investigators","given":"","non-dropping-particle":"","parse-names":false,"suffix":""}],"container-title":"The New England journal of medicine","id":"ITEM-1","issue":"5","issued":{"date-parts":[["1991","8","1"]]},"note":"From Duplicate 2 (Effect of enalapril on survival in patients with reduced left ventricular ejection fractions and congestive heart failure - The SOLVD Investigators)\n\nFrom Duplicate 2 (Effect of enalapril on survival in patients with reduced left ventricular ejection fractions and congestive heart failure - SOLVD Investigators, The)\n\nFrom Duplicate 2 ( \n\nEffect of enalapril on survival in patients with reduced left ventricular ejection fractions and congestive heart failure\n\n- SOLVD Investigators, The )\n\n\n\nFrom Duplicate 3 (Effect of enalapril on survival in patients with reduced left ventricular ejection fractions and congestive heart failure - SOLVD Investigators, The)\n\nFrom Duplicate 2 ( \n\nEffect of enalapril on survival in patients with reduced left ventricular ejection fractions and congestive heart failure\n\n- SOLVD Investigators, The )\n\n","page":"293-302","title":"Effect of enalapril on survival in patients with reduced left ventricular ejection fractions and congestive heart failure.","type":"article-journal","volume":"325"},"uris":["http://www.mendeley.com/documents/?uuid=41b2281a-bf6a-4f0c-95b6-b41450c895d2"]},{"id":"ITEM-2","itemData":{"DOI":"10.1001/jama.1995.03520420066040","ISSN":"0098-7484","PMID":"7654275","abstract":"OBJECTIVE To evaluate the effect of angiotensin-converting enzyme (ACE) inhibitors on mortality and morbidity in patients with symptomatic congestive heart failure. DATA SOURCE AND STUDY SELECTION Data were obtained for all completed, published or unpublished, randomized, placebo-controlled trials of ACE inhibitors that were at least 8 weeks in duration and had determined total mortality by intention to treat, regardless of sample size. Trials were identified based on literature review and correspondence with investigators and pharmaceutical firms. DATA EXTRACTION Using standard tables, data were extracted by one author and confirmed where necessary by the other author or the principal investigator of the trial. Unpublished data were obtained by direct correspondence with the principal investigator of each study or pharmaceutical firm. DATA SYNTHESIS The data for each outcome were combined using the Yusuf-Peto adaptation of the Mantel-Haenszel method. Overall, there was a statistically significant reduction in total mortality (odds ratio [OR], 0.77; 95% confidence interval [CI], 0.67 to 0.88; P &lt; .001) and in the combined endpoint of mortality or hospitalization for congestive heart failure (OR, 0.65; 95% CI, 0.57 to 0.74; P &lt; .001). Similar benefits were observed with several different ACE inhibitors, although the data were largely based on enalapril maleate, captopril, ramipril, quinapril hydrochloride, and lisinopril. Reductions for total mortality and the combined endpoint were similar for various subgroups examined (age, sex, etiology, and New York Heart Association class). However, patients with the lowest ejection fraction appeared to have the greatest benefit. The greatest effect was seen during the first 3 months, but additional benefit was observed during further treatment. The reduction in mortality was primarily due to fewer deaths from progressive heart failure (OR, 0.69; 95% CI, 0.58 to 0.83); point estimates for effects on sudden or presumed arrhythmic deaths (OR, 0.91; 95% CI, 0.73 to 1.12) and fatal myocardial infarction (OR, 0.82; 95% CI, 0.60 to 1.11) were less than 1 but were not significant. CONCLUSIONS Total mortality and hospitalization for congestive heart failure are significantly reduced by ACE inhibitors with consistent effects in a broad range of patients.","author":[{"dropping-particle":"","family":"Garg","given":"Rekha","non-dropping-particle":"","parse-names":false,"suffix":""},{"dropping-particle":"","family":"Yusuf","given":"Salim","non-dropping-particle":"","parse-names":false,"suffix":""}],"container-title":"JAMA","id":"ITEM-2","issue":"18","issued":{"date-parts":[["1995","5","10"]]},"page":"1450-6","title":"Overview of randomized trials of angiotensin-converting enzyme inhibitors on mortality and morbidity in patients with heart failure. Collaborative Group on ACE Inhibitor Trials.","type":"article-journal","volume":"273"},"uris":["http://www.mendeley.com/documents/?uuid=10302d85-77f1-47ac-b93d-3916c869a1dc"]},{"id":"ITEM-3","itemData":{"DOI":"10.1056/NEJM199605233342101","ISSN":"0028-4793","PMID":"8614419","abstract":"BACKGROUND Controlled clinical trials have shown that beta-blockers can produce hemodynamic and symptomatic improvement in chronic heart failure, but the effect of these drugs on survival has not been determined. METHODS We enrolled 1094 patients with chronic heart failure in a double-blind, placebo-controlled, stratified program, in which patients were assigned to one of the four treatment protocols on the basis of their exercise capacity. Within each of the four protocols patients with mild, moderate, or severe heart failure with left ventricular ejection fractions &lt; or = 0.35 were randomly assigned to receive either placebo (n = 398) or the beta-blocker carvedilol (n = 696); background therapy with digoxin, diuretics, and an angiotensin-converting-enzyme inhibitor remained constant. Patient were observed for the occurrence death or hospitalization for cardiovascular reasons during the following 6 months, after the beginning (12 months for the group with mild heart failure). RESULTS The overall mortality rate was 7.8 percent in the placebo group and 3.2 percent in the carvedilol group; the reduction in risk attributable to carvedilol was 65 percent (95 percent confidence interval, 39 to 80 percent; P &lt; 0.001). This finding led the Data and Safety Monitoring Board to recommend termination of the study before its scheduled completion. In addition, as compared with placebo, carvedilol therapy was accompanied by a 27 percent reduction in the risk of hospitalization for cardiovascular causes (19.6 percent vs. 14.1 percent, P = 0.036), as well as a 38 percent reduction in the combined risk of hospitalization or death (24.6 percent vs, 15.8 percent, P &lt; 0.001). Worsening heart failure as an adverse reaction during treatment was less frequent in the carvedilol than in the placebo group. CONCLUSIONS Carvedilol reduces the risk or death as well as the risk of hospitalization for cardiovascular causes in patients with heart failure who are receiving treatment with digoxin, diuretics, and an angiotensin-converting-enzyme inhibitor.","author":[{"dropping-particle":"","family":"Packer","given":"Milton","non-dropping-particle":"","parse-names":false,"suffix":""},{"dropping-particle":"","family":"Bristow","given":"Michael R.","non-dropping-particle":"","parse-names":false,"suffix":""},{"dropping-particle":"","family":"Cohn","given":"Jay N.","non-dropping-particle":"","parse-names":false,"suffix":""},{"dropping-particle":"","family":"Colucci","given":"Wilson S.","non-dropping-particle":"","parse-names":false,"suffix":""},{"dropping-particle":"","family":"Fowler","given":"Michael B.","non-dropping-particle":"","parse-names":false,"suffix":""},{"dropping-particle":"","family":"Gilbert","given":"Edward M.","non-dropping-particle":"","parse-names":false,"suffix":""},{"dropping-particle":"","family":"Shusterman","given":"Neil H.","non-dropping-particle":"","parse-names":false,"suffix":""}],"container-title":"The New England journal of medicine","id":"ITEM-3","issue":"21","issued":{"date-parts":[["1996","5","23"]]},"page":"1349-55","title":"The effect of carvedilol on morbidity and mortality in patients with chronic heart failure. U.S. Carvedilol Heart Failure Study Group.","type":"article-journal","volume":"334"},"uris":["http://www.mendeley.com/documents/?uuid=e8631f56-3abf-4538-a48a-9bc03619c00a"]},{"id":"ITEM-4","itemData":{"ISSN":"0098-7484","PMID":"10714728","abstract":"CONTEXT Results from recent studies on the effects of beta1-blockade in patients with heart failure demonstrated a 34% reduction in total mortality. However, the effect of beta1-blockade on the frequency of hospitalizations, symptoms, and quality of life in patients with heart failure has not been fully explored. OBJECTIVE To examine the effects of the beta1-blocker controlled-release/extended-release metoprolol succinate (metoprolol CR/XL) on mortality, hospitalization, symptoms, and quality of life in patients with heart failure. DESIGN Randomized, double-blind controlled trial, preceded by a 2-week single-blind placebo run-in period, conducted from February 14, 1997, to October 31, 1998, with a mean follow-up of 1 year. SETTING Three hundred thirteen sites in 14 countries. PARTICIPANTS Patients (n = 3991) with chronic heart failure, New York Heart Association (NYHA) functional class II to IV, and ejection fraction of 0.40 or less who were stabilized with optimum standard therapy. INTERVENTIONS Patients were randomized to metoprolol CR/XL, 25 mg once per day (NYHA class II), or 12.5 mg once per day (NYHA class III or IV), titrated for 6 to 8 weeks up to a target dosage of 200 mg once per day (n = 1990); or matching placebo (n = 2001). MAIN OUTCOME MEASURES Total mortality or any hospitalization (time to first event), number of hospitalizations for worsening heart failure, and change in NYHA class, by intervention group; quality of life was assessed in a substudy of 741 patients. RESULTS The incidence of all predefined end points was lower in the metoprolol CR/XL group than in the placebo group, including total mortality or all-cause hospitalizations (the prespecified second primary end point; 641 vs 767 events; risk reduction, 19%; 95% confidence interval [CI], 10%-27%; P&lt;.001); total mortality or hospitalizations due to worsening heart failure (311 vs 439 events; risk reduction, 31%; 95% CI, 20%-40%; P&lt;.001), number of hospitalizations due to worsening heart failure (317 vs 451; P&lt;.001); and number of days in hospital due to worsening heart failure (3401 vs 5303 days; P&lt;.001). NYHA functional class, assessed by physicians, and McMaster Overall Treatment Evaluation score, assessed by patients, both improved in the metoprolol CR/XL group compared with the placebo group (P = .003 and P = .009, respectively). CONCLUSIONS In this study of patients with symptomatic heartfailure, metoprolol CR/XL improved survival, reduced the need for hospitalizations due …","author":[{"dropping-particle":"","family":"Hjalmarson","given":"A","non-dropping-particle":"","parse-names":false,"suffix":""},{"dropping-particle":"","family":"Goldstein","given":"Sidney","non-dropping-particle":"","parse-names":false,"suffix":""},{"dropping-particle":"","family":"Fagerberg","given":"Björn","non-dropping-particle":"","parse-names":false,"suffix":""},{"dropping-particle":"","family":"Wedel","given":"Hans","non-dropping-particle":"","parse-names":false,"suffix":""},{"dropping-particle":"","family":"Waagstein","given":"Finn","non-dropping-particle":"","parse-names":false,"suffix":""},{"dropping-particle":"","family":"Kjekshus","given":"John","non-dropping-particle":"","parse-names":false,"suffix":""},{"dropping-particle":"","family":"Wikstrand","given":"John","non-dropping-particle":"","parse-names":false,"suffix":""},{"dropping-particle":"","family":"Allaf","given":"D","non-dropping-particle":"El","parse-names":false,"suffix":""},{"dropping-particle":"","family":"Vítovec","given":"Jirí","non-dropping-particle":"","parse-names":false,"suffix":""},{"dropping-particle":"","family":"Aldershvile","given":"Jan","non-dropping-particle":"","parse-names":false,"suffix":""},{"dropping-particle":"","family":"Halinen","given":"Matti","non-dropping-particle":"","parse-names":false,"suffix":""},{"dropping-particle":"","family":"Dietz","given":"Rainer","non-dropping-particle":"","parse-names":false,"suffix":""},{"dropping-particle":"","family":"Neuhaus","given":"K L","non-dropping-particle":"","parse-names":false,"suffix":""},{"dropping-particle":"","family":"Jánosi","given":"András","non-dropping-particle":"","parse-names":false,"suffix":""},{"dropping-particle":"","family":"Thorgeirsson","given":"Gudmundur","non-dropping-particle":"","parse-names":false,"suffix":""},{"dropping-particle":"","family":"Dunselman","given":"P H","non-dropping-particle":"","parse-names":false,"suffix":""},{"dropping-particle":"","family":"Gullestad","given":"Lars","non-dropping-particle":"","parse-names":false,"suffix":""},{"dropping-particle":"","family":"Kuch","given":"Jerzy","non-dropping-particle":"","parse-names":false,"suffix":""},{"dropping-particle":"","family":"Herlitz","given":"Johan","non-dropping-particle":"","parse-names":false,"suffix":""},{"dropping-particle":"","family":"Rickenbacher","given":"Peter","non-dropping-particle":"","parse-names":false,"suffix":""},{"dropping-particle":"","family":"Ball","given":"Stephen","non-dropping-particle":"","parse-names":false,"suffix":""},{"dropping-particle":"","family":"Gottlieb","given":"Stephen","non-dropping-particle":"","parse-names":false,"suffix":""},{"dropping-particle":"","family":"Deedwania","given":"Prakash","non-dropping-particle":"","parse-names":false,"suffix":""}],"container-title":"JAMA","id":"ITEM-4","issue":"10","issued":{"date-parts":[["2000","3","8"]]},"page":"1295-302","title":"Effects of controlled-release metoprolol on total mortality, hospitalizations, and well-being in patients with heart failure: the Metoprolol CR/XL Randomized Intervention Trial in congestive heart failure (MERIT-HF). MERIT-HF Study Group.","type":"article-journal","volume":"283"},"uris":["http://www.mendeley.com/documents/?uuid=4960f195-0de6-4fec-a852-724db1babf72"]},{"id":"ITEM-5","itemData":{"DOI":"10.1056/NEJM200105313442201","ISSN":"0028-4793","PMID":"11386263","abstract":"BACKGROUND Beta-blocking agents reduce the risk of hospitalization and death in patients with mild-to-moderate heart failure, but little is known about their effects in severe heart failure. METHODS We evaluated 2289 patients who had symptoms of heart failure at rest or on minimal exertion, who were clinically euvolemic, and who had an ejection fraction of less than 25 percent. In a double-blind fashion, we randomly assigned 1133 patients to placebo and 1156 patients to treatment with carvedilol for a mean period of 10.4 months, during which standard therapy for heart failure was continued. Patients who required intensive care, had marked fluid retention, or were receiving intravenous vasodilators or positive inotropic drugs were excluded. RESULTS There were 190 deaths in the placebo group and 130 deaths in the carvedilol group. This difference reflected a 35 percent decrease in the risk of death with carvedilol (95 percent confidence interval, 19 to 48 percent; P=0.00013, unadjusted; P=0.0014, adjusted for interim analyses). A total of 507 patients died or were hospitalized in the placebo group, as compared with 425 in the carvedilol group. This difference reflected a 24 percent decrease in the combined risk of death or hospitalization with carvedilol (95 percent confidence interval, 13 to 33 percent; P&lt;0.001). The favorable effects on both end points were seen consistently in all the subgroups we examined, including patients with a history of recent or recurrent cardiac decompensation. Fewer patients in the carvedilol group than in the placebo group withdrew because of adverse effects or for other reasons (P=0.02). CONCLUSIONS The previously reported benefits of carvedilol with regard to morbidity and mortality in patients with mild-to-moderate heart failure were also apparent in the patients with severe heart failure who were evaluated in this trial.","author":[{"dropping-particle":"","family":"Packer","given":"Milton","non-dropping-particle":"","parse-names":false,"suffix":""},{"dropping-particle":"","family":"Coats","given":"Andrew J.S.","non-dropping-particle":"","parse-names":false,"suffix":""},{"dropping-particle":"","family":"Fowler","given":"Michael B.","non-dropping-particle":"","parse-names":false,"suffix":""},{"dropping-particle":"","family":"Katus","given":"Hugo A.","non-dropping-particle":"","parse-names":false,"suffix":""},{"dropping-particle":"","family":"Krum","given":"Henry","non-dropping-particle":"","parse-names":false,"suffix":""},{"dropping-particle":"","family":"Mohacsi","given":"Paul","non-dropping-particle":"","parse-names":false,"suffix":""},{"dropping-particle":"","family":"Rouleau","given":"Jean L.","non-dropping-particle":"","parse-names":false,"suffix":""},{"dropping-particle":"","family":"Tendera","given":"Michal","non-dropping-particle":"","parse-names":false,"suffix":""},{"dropping-particle":"","family":"Castaigne","given":"Alain","non-dropping-particle":"","parse-names":false,"suffix":""},{"dropping-particle":"","family":"Roecker","given":"Ellen B.","non-dropping-particle":"","parse-names":false,"suffix":""},{"dropping-particle":"","family":"Schultz","given":"Melissa K.","non-dropping-particle":"","parse-names":false,"suffix":""},{"dropping-particle":"","family":"DeMets","given":"David L.","non-dropping-particle":"","parse-names":false,"suffix":""},{"dropping-particle":"","family":"Carvedilol Prospective Randomized Cumulative Survival Study Group","given":"","non-dropping-particle":"","parse-names":false,"suffix":""}],"container-title":"The New England journal of medicine","id":"ITEM-5","issue":"22","issued":{"date-parts":[["2001","5","31"]]},"page":"1651-8","title":"Effect of carvedilol on survival in severe chronic heart failure.","type":"article-journal","volume":"344"},"uris":["http://www.mendeley.com/documents/?uuid=029522b9-a6cd-4dc2-ab75-87185481df75"]},{"id":"ITEM-6","itemData":{"DOI":"10.1016/S0140-6736(03)13800-7","ISBN":"1468-201X (Electronic)\\n1355-6037 (Linking)","ISSN":"1474-547X","PMID":"12853193","abstract":"BACKGROUND Beta blockers reduce mortality in patients who have chronic heart failure, systolic dysfunction, and are on background treatment with diuretics and angiotensin-converting enzyme inhibitors. We aimed to compare the effects of carvedilol and metoprolol on clinical outcome. METHODS In a multicentre, double-blind, and randomised parallel group trial, we assigned 1511 patients with chronic heart failure to treatment with carvedilol (target dose 25 mg twice daily) and 1518 to metoprolol (metoprolol tartrate, target dose 50 mg twice daily). Patients were required to have chronic heart failure (NYHA II-IV), previous admission for a cardiovascular reason, an ejection fraction of less than 0.35, and to have been treated optimally with diuretics and angiotensin-converting enzyme inhibitors unless not tolerated. The primary endpoints were all-cause mortality and the composite endpoint of all-cause mortality or all-cause admission. Analysis was done by intention to treat. FINDINGS The mean study duration was 58 months (SD 6). The mean ejection fraction was 0.26 (0.07) and the mean age 62 years (11). The all-cause mortality was 34% (512 of 1511) for carvedilol and 40% (600 of 1518) for metoprolol (hazard ratio 0.83 [95% CI 0.74-0.93], p=0.0017). The reduction of all-cause mortality was consistent across predefined subgroups. The composite endpoint of mortality or all-cause admission occurred in 1116 (74%) of 1511 on carvedilol and in 1160 (76%) of 1518 on metoprolol (0.94 [0.86-1.02], p=0.122). Incidence of side-effects and drug withdrawals did not differ by much between the two study groups. INTERPRETATION Our results suggest that carvedilol extends survival compared with metoprolol.","author":[{"dropping-particle":"","family":"Poole-Wilson","given":"Philip a","non-dropping-particle":"","parse-names":false,"suffix":""},{"dropping-particle":"","family":"Swedberg","given":"Karl","non-dropping-particle":"","parse-names":false,"suffix":""},{"dropping-particle":"","family":"Cleland","given":"John G F","non-dropping-particle":"","parse-names":false,"suffix":""},{"dropping-particle":"","family":"Lenarda","given":"Andrea","non-dropping-particle":"Di","parse-names":false,"suffix":""},{"dropping-particle":"","family":"Hanrath","given":"Peter","non-dropping-particle":"","parse-names":false,"suffix":""},{"dropping-particle":"","family":"Komajda","given":"Michel","non-dropping-particle":"","parse-names":false,"suffix":""},{"dropping-particle":"","family":"Lubsen","given":"Jacobus","non-dropping-particle":"","parse-names":false,"suffix":""},{"dropping-particle":"","family":"Lutiger","given":"Beatrix","non-dropping-particle":"","parse-names":false,"suffix":""},{"dropping-particle":"","family":"Metra","given":"Marco","non-dropping-particle":"","parse-names":false,"suffix":""},{"dropping-particle":"","family":"Remme","given":"Willem J","non-dropping-particle":"","parse-names":false,"suffix":""},{"dropping-particle":"","family":"Torp-Pedersen","given":"Christian","non-dropping-particle":"","parse-names":false,"suffix":""},{"dropping-particle":"","family":"Scherhag","given":"Armin","non-dropping-particle":"","parse-names":false,"suffix":""},{"dropping-particle":"","family":"Skene","given":"Allan","non-dropping-particle":"","parse-names":false,"suffix":""},{"dropping-particle":"","family":"Carvedilol Or Metoprolol European Trial Investigators","given":"","non-dropping-particle":"","parse-names":false,"suffix":""}],"container-title":"Lancet (London, England)","id":"ITEM-6","issue":"9377","issued":{"date-parts":[["2003","7","5"]]},"page":"7-13","title":"Comparison of carvedilol and metoprolol on clinical outcomes in patients with chronic heart failure in the Carvedilol Or Metoprolol European Trial (COMET): randomised controlled trial.","type":"article-journal","volume":"362"},"uris":["http://www.mendeley.com/documents/?uuid=fd1b8368-164b-487d-9619-dc7436776d4a"]},{"id":"ITEM-7","itemData":{"DOI":"10.1016/S0140-6736(98)11181-9","ISBN":"0140-6736 (Print) 0140-6736 (Linking)","ISSN":"0140-6736","PMID":"10023943","abstract":"BACKGROUND In patients with heart failure, beta-blockade has improved morbidity and left-ventricular function, but the impact on survival is uncertain. We investigated the efficacy of bisoprolol, a beta1 selective adrenoceptor blocker in decreasing all-cause mortality in chronic heart failure. METHODS In a multicentre double-blind randomised placebo-controlled trial in Europe, we enrolled 2647 symptomatic patients in New York Heart Association class III or IV, with left-ventricular ejection fraction of 35% or less receiving standard therapy with diuretics and inhibitors of angiotensin-converting enzyme. We randomly assigned patients bisoprolol 1.25 mg (n=1327) or placebo (n=1320) daily, the drug being progressively increased to a maximum of 10 mg per day. Patients were followed up for a mean of 1.3 years. Analysis was by intention to treat. FINDINGS CIBIS-II was stopped early, after the second interim analysis, because bisoprolol showed a significant mortality benefit. All-cause mortality was significantly lower with bisoprolol than on placebo (156 [11.8%] vs 228 [17.3%] deaths with a hazard ratio of 0.66 (95% CI 0.54-0.81, p&lt;0.0001). There were significantly fewer sudden deaths among patients on bisoprolol than in those on placebo (48 [3.6%] vs 83 [6.3%] deaths), with a hazard ratio of 0.56 (0.39-0.80, p=0.0011). Treatment effects were independent of the severity or cause of heart failure. INTERPRETATION Beta-blocker therapy had benefits for survival in stable heart-failure patients. Results should not, however, be extrapolated to patients with severe class IV symptoms and recent instability because safety and efficacy has not been established in these patients.","author":[{"dropping-particle":"","family":"CIBIS-II Investigators and Committees","given":"","non-dropping-particle":"","parse-names":false,"suffix":""}],"container-title":"Lancet (London, England)","id":"ITEM-7","issue":"9146","issued":{"date-parts":[["1999","1","2"]]},"page":"9-13","title":"The Cardiac Insufficiency Bisoprolol Study II (CIBIS-II): a randomised trial.","type":"article-journal","volume":"353"},"uris":["http://www.mendeley.com/documents/?uuid=bf6fa4b9-9dc6-460c-85e8-d52be28d93c6"]},{"id":"ITEM-8","itemData":{"DOI":"10.1093/eurheartj/ehi115","ISBN":"0195-668X","ISSN":"0195-668X","PMID":"15642700","abstract":"AIMS Large randomized trials have shown that beta-blockers reduce mortality and hospital admissions in patients with heart failure. The effects of beta-blockers in elderly patients with a broad range of left ventricular ejection fraction are uncertain. The SENIORS study was performed to assess effects of the beta-blocker, nebivolol, in patients &gt;/=70 years, regardless of ejection fraction. METHODS AND RESULTS We randomly assigned 2128 patients aged &gt;/=70 years with a history of heart failure (hospital admission for heart failure within the previous year or known ejection fraction &lt;/=35%), 1067 to nebivolol (titrated from 1.25 mg once daily to 10 mg once daily), and 1061 to placebo. The primary outcome was a composite of all cause mortality or cardiovascular hospital admission (time to first event). Analysis was by intention to treat. Mean duration of follow-up was 21 months. Mean age was 76 years (SD 4.7), 37% were female, mean ejection fraction was 36% (with 35% having ejection fraction &gt;35%), and 68% had a prior history of coronary heart disease. The mean maintenance dose of nebivolol was 7.7 mg and of placebo 8.5 mg. The primary outcome occurred in 332 patients (31.1%) on nebivolol compared with 375 (35.3%) on placebo [hazard ratio (HR) 0.86, 95% CI 0.74-0.99; P=0.039]. There was no significant influence of age, gender, or ejection fraction on the effect of nebivolol on the primary outcome. Death (all causes) occurred in 169 (15.8%) on nebivolol and 192 (18.1%) on placebo (HR 0.88, 95% CI 0.71-1.08; P=0.21). CONCLUSION Nebivolol, a beta-blocker with vasodilating properties, is an effective and well-tolerated treatment for heart failure in the elderly.","author":[{"dropping-particle":"","family":"Flather","given":"Marcus D","non-dropping-particle":"","parse-names":false,"suffix":""},{"dropping-particle":"","family":"Shibata","given":"Marcelo C","non-dropping-particle":"","parse-names":false,"suffix":""},{"dropping-particle":"","family":"Coats","given":"Andrew J S","non-dropping-particle":"","parse-names":false,"suffix":""},{"dropping-particle":"","family":"Veldhuisen","given":"Dirk J","non-dropping-particle":"Van","parse-names":false,"suffix":""},{"dropping-particle":"","family":"Parkhomenko","given":"Aleksandr","non-dropping-particle":"","parse-names":false,"suffix":""},{"dropping-particle":"","family":"Borbola","given":"Joszef","non-dropping-particle":"","parse-names":false,"suffix":""},{"dropping-particle":"","family":"Cohen-Solal","given":"Alain","non-dropping-particle":"","parse-names":false,"suffix":""},{"dropping-particle":"","family":"Dumitrascu","given":"Dan","non-dropping-particle":"","parse-names":false,"suffix":""},{"dropping-particle":"","family":"Ferrari","given":"Roberto","non-dropping-particle":"","parse-names":false,"suffix":""},{"dropping-particle":"","family":"Lechat","given":"Philippe","non-dropping-particle":"","parse-names":false,"suffix":""},{"dropping-particle":"","family":"Soler-Soler","given":"Jordi","non-dropping-particle":"","parse-names":false,"suffix":""},{"dropping-particle":"","family":"Tavazzi","given":"Luigi","non-dropping-particle":"","parse-names":false,"suffix":""},{"dropping-particle":"","family":"Spinarova","given":"Lenka","non-dropping-particle":"","parse-names":false,"suffix":""},{"dropping-particle":"","family":"Toman","given":"Jiri","non-dropping-particle":"","parse-names":false,"suffix":""},{"dropping-particle":"","family":"Böhm","given":"Michael","non-dropping-particle":"","parse-names":false,"suffix":""},{"dropping-particle":"","family":"Anker","given":"Stefan D","non-dropping-particle":"","parse-names":false,"suffix":""},{"dropping-particle":"","family":"Thompson","given":"Simon G","non-dropping-particle":"","parse-names":false,"suffix":""},{"dropping-particle":"","family":"Poole-Wilson","given":"Philip A","non-dropping-particle":"","parse-names":false,"suffix":""},{"dropping-particle":"","family":"SENIORS Investigators","given":"","non-dropping-particle":"","parse-names":false,"suffix":""}],"container-title":"European heart journal","id":"ITEM-8","issue":"3","issued":{"date-parts":[["2005","2","1"]]},"page":"215-25","title":"Randomized trial to determine the effect of nebivolol on mortality and cardiovascular hospital admission in elderly patients with heart failure (SENIORS).","type":"article-journal","volume":"26"},"uris":["http://www.mendeley.com/documents/?uuid=b2ef0c8d-6eb2-4b16-b430-417a9bc3355a"]},{"id":"ITEM-9","itemData":{"DOI":"10.1056/NEJM198706043162301","ISSN":"0028-4793","PMID":"2883575","abstract":"To evaluate the influence of the angiotensin-converting-enzyme inhibitor enalapril (2.5 to 40 mg per day) on the prognosis of severe congestive heart failure (New York Heart Association [NYHA] functional class IV), we randomly assigned 253 patients in a double-blind study to receive either placebo (n = 126) or enalapril (n = 127). Conventional treatment for heart failure, including the use of other vasodilators, was continued in both groups. Follow-up averaged 188 days (range, 1 day to 20 months). The crude mortality at the end of six months (primary end point) was 26 percent in the enalapril group and 44 percent in the placebo group--a reduction of 40 percent (P = 0.002). Mortality was reduced by 31 percent at one year (P = 0.001). By the end of the study, there had been 68 deaths in the placebo group and 50 in the enalapril group--a reduction of 27 percent (P = 0.003). The entire reduction in total mortality was found to be among patients with progressive heart failure (a reduction of 50 percent), whereas no difference was seen in the incidence of sudden cardiac death. A significant improvement in NYHA classification was observed in the enalapril group, together with a reduction in heart size and a reduced requirement for other medication for heart failure. The overall withdrawal rate was similar in both groups, but hypotension requiring withdrawal occurred in seven patients in the enalapril group and in no patients in the placebo group. After the initial dose of enalapril was reduced to 2.5 mg daily in high-risk patients, this side effect was less frequent. We conclude that the addition of enalapril to conventional therapy in patients with severe congestive heart failure can reduce mortality and improve symptoms. The beneficial effect on mortality is due to a reduction in death from the progression of heart failure.","author":[{"dropping-particle":"","family":"The CONSENSUS Trial Study Group","given":"","non-dropping-particle":"","parse-names":false,"suffix":""}],"container-title":"The New England journal of medicine","id":"ITEM-9","issue":"23","issued":{"date-parts":[["1987","6","4"]]},"page":"1429-35","title":"Effects of enalapril on mortality in severe congestive heart failure. Results of the Cooperative North Scandinavian Enalapril Survival Study (CONSENSUS).","type":"article-journal","volume":"316"},"uris":["http://www.mendeley.com/documents/?uuid=f0e4fdf7-5ac4-47cd-9065-c269cd3dc86d"]},{"id":"ITEM-10","itemData":{"DOI":"10.1056/NEJM199209033271003","ISSN":"0028-4793","PMID":"1463530","abstract":"BACKGROUND It is not known whether the treatment of patients with asymptomatic left ventricular dysfunction reduces mortality and morbidity. We studied the effect of an angiotensin-converting--enzyme inhibitor, enalapril, on total mortality and mortality from cardiovascular causes, the development of heart failure, and hospitalization for heart failure among patients with ejection fractions of 0.35 or less who were not receiving drug treatment for heart failure. METHODS Patients were randomly assigned to receive either placebo (n = 2117) or enalapril (n = 2111) at doses of 2.5 to 20 mg per day in a double-blind trial. Follow-up averaged 37.4 months. RESULTS There were 334 deaths in the placebo group, as compared with 313 in the enalapril group (reduction in risk, 8 percent by the log-rank test; 95 percent confidence interval, -8 percent [an increase of 8 percent] to 21 percent; P = 0.30). The reduction in mortality from cardiovascular causes was larger but was not statistically significant (298 deaths in the placebo group vs. 265 in the enalapril group; risk reduction, 12 percent; 95 percent confidence interval, -3 to 26 percent; P = 0.12). When we combined patients in whom heart failure developed and those who died, the total number of deaths and cases of heart failure was lower in the enalapril group than in the placebo group (630 vs. 818; risk reduction, 29 percent; 95 percent confidence interval, 21 to 36 percent; P less than 0.001). In addition, fewer patients given enalapril died or were hospitalized for heart failure (434 in the enalapril group; vs. 518 in the placebo group; risk reduction, 20 percent; 95 percent confidence interval, 9 to 30 percent; P less than 0.001). CONCLUSIONS The angiotensin-converting--enzyme inhibitor enalapril significantly reduced the incidence of heart failure and the rate of related hospitalizations, as compared with the rates in the group given placebo, among patients with asymptomatic left ventricular dysfunction. There was also a trend toward fewer deaths due to cardiovascular causes among the patients who received enalapril.","author":[{"dropping-particle":"","family":"The SOLVD Investigators","given":"","non-dropping-particle":"","parse-names":false,"suffix":""}],"container-title":"The New England journal of medicine","id":"ITEM-10","issue":"10","issued":{"date-parts":[["1992","9","3"]]},"page":"685-91","title":"Effect of enalapril on mortality and the development of heart failure in asymptomatic patients with reduced left ventricular ejection fractions.","type":"article-journal","volume":"327"},"uris":["http://www.mendeley.com/documents/?uuid=bcb32587-1220-40d0-8d85-a465ba835092"]},{"id":"ITEM-11","itemData":{"DOI":"10.1056/NEJM199108013250502","ISSN":"0028-4793","PMID":"2057035","abstract":"BACKGROUND To define better the efficacy of vasodilator therapy in the treatment of chronic congestive heart failure, we compared the effects of hydralazine and isosorbide dinitrate with those of enalapril in 804 men receiving digoxin and diuretic therapy for heart failure. The patients were randomly assigned in a double-blind manner to receive 20 mg of enalapril daily or 300 mg of hydralazine plus 160 mg of isosorbide dinitrate daily. The latter regimen was identical to that used with a similar patient population in the effective-treatment arm of our previous Vasodilator-Heart Failure Trial. RESULTS Mortality after two years was significantly lower in the enalapril arm (18 percent) than in the hydralazine-isosorbide dinitrate arm (25 percent) (P = 0.016; reduction in mortality, 28.0 percent), and overall mortality tended to be lower (P = 0.08). The lower mortality in the enalapril arm was attributable to a reduction in the incidence of sudden death, and this beneficial effect was more prominent in patients with less severe symptoms (New York Heart Association class I or II). In contrast, body oxygen consumption at peak exercise was increased only by hydralazine-isosorbide dinitrate treatment (P less than 0.05), and left ventricular ejection fraction, which increased with both regimens during the 2 years after randomization, increased more (P less than 0.05) during the first 13 weeks in the hydralazine-isosorbide dinitrate group. CONCLUSIONS The similar two-year mortality in the hydralazine-isosorbide dinitrate arms in our previous Vasodilator-Heart Failure Trial (26 percent) and in the present trial (25 percent), as compared with that in the placebo arm in the previous trial, (34 percent) and the further survival benefit with enalapril in the present trial (18 percent) strengthen the conclusion that vasodilator therapy should be included in the standard treatment for heart failure. The different effects of the two regimens (enalapril and hydralazine-isosorbide dinitrate) on mortality and physiologic end points suggest that the profile of effects might be enhanced if the regimens were used in combination.","author":[{"dropping-particle":"","family":"Cohn","given":"Jay N","non-dropping-particle":"","parse-names":false,"suffix":""},{"dropping-particle":"","family":"Johnson","given":"Gary","non-dropping-particle":"","parse-names":false,"suffix":""},{"dropping-particle":"","family":"Ziesche","given":"Susan","non-dropping-particle":"","parse-names":false,"suffix":""},{"dropping-particle":"","family":"Cobb","given":"Frederick","non-dropping-particle":"","parse-names":false,"suffix":""},{"dropping-particle":"","family":"Francis","given":"Gary","non-dropping-particle":"","parse-names":false,"suffix":""},{"dropping-particle":"","family":"Tristani","given":"Felix","non-dropping-particle":"","parse-names":false,"suffix":""},{"dropping-particle":"","family":"Smith","given":"Raphael","non-dropping-particle":"","parse-names":false,"suffix":""},{"dropping-particle":"","family":"Dunkman","given":"W Bruce","non-dropping-particle":"","parse-names":false,"suffix":""},{"dropping-particle":"","family":"Loeb","given":"Henry","non-dropping-particle":"","parse-names":false,"suffix":""},{"dropping-particle":"","family":"Wong","given":"Maylene","non-dropping-particle":"","parse-names":false,"suffix":""}],"container-title":"The New England journal of medicine","id":"ITEM-11","issue":"5","issued":{"date-parts":[["1991","8","1"]]},"page":"303-10","title":"A comparison of enalapril with hydralazine-isosorbide dinitrate in the treatment of chronic congestive heart failure.","type":"article-journal","volume":"325"},"uris":["http://www.mendeley.com/documents/?uuid=4dffc1ce-0c1c-4c41-8f14-fa4f1f440ebe"]}],"mendeley":{"formattedCitation":"&lt;sup&gt;3–13&lt;/sup&gt;","plainTextFormattedCitation":"3–13","previouslyFormattedCitation":"&lt;sup&gt;3–13&lt;/sup&gt;"},"properties":{"noteIndex":0},"schema":"https://github.com/citation-style-language/schema/raw/master/csl-citation.json"}</w:instrText>
      </w:r>
      <w:r w:rsidR="003377A8" w:rsidRPr="0003073C">
        <w:rPr>
          <w:lang w:val="en-GB"/>
        </w:rPr>
        <w:fldChar w:fldCharType="separate"/>
      </w:r>
      <w:r w:rsidR="0041427D" w:rsidRPr="0003073C">
        <w:rPr>
          <w:noProof/>
          <w:vertAlign w:val="superscript"/>
          <w:lang w:val="en-GB"/>
        </w:rPr>
        <w:t>3–13</w:t>
      </w:r>
      <w:r w:rsidR="003377A8" w:rsidRPr="0003073C">
        <w:rPr>
          <w:lang w:val="en-GB"/>
        </w:rPr>
        <w:fldChar w:fldCharType="end"/>
      </w:r>
      <w:r w:rsidR="006F3AB0" w:rsidRPr="0003073C">
        <w:rPr>
          <w:w w:val="105"/>
          <w:lang w:val="en-GB"/>
        </w:rPr>
        <w:t>.</w:t>
      </w:r>
      <w:r w:rsidR="00142146" w:rsidRPr="0003073C">
        <w:rPr>
          <w:w w:val="105"/>
          <w:lang w:val="en-GB"/>
        </w:rPr>
        <w:t xml:space="preserve"> </w:t>
      </w:r>
      <w:r w:rsidR="008C5082" w:rsidRPr="0003073C">
        <w:rPr>
          <w:w w:val="105"/>
          <w:lang w:val="en-GB"/>
        </w:rPr>
        <w:t>Furthermore,</w:t>
      </w:r>
      <w:r w:rsidR="0048289E" w:rsidRPr="0003073C">
        <w:rPr>
          <w:lang w:val="en-GB"/>
        </w:rPr>
        <w:t xml:space="preserve"> studies </w:t>
      </w:r>
      <w:r w:rsidR="00D671F9" w:rsidRPr="0003073C">
        <w:rPr>
          <w:lang w:val="en-GB"/>
        </w:rPr>
        <w:t xml:space="preserve">directly comparing low versus high doses </w:t>
      </w:r>
      <w:r w:rsidR="008C5082" w:rsidRPr="0003073C">
        <w:rPr>
          <w:lang w:val="en-GB"/>
        </w:rPr>
        <w:t>showed</w:t>
      </w:r>
      <w:r w:rsidR="0048289E" w:rsidRPr="0003073C">
        <w:rPr>
          <w:lang w:val="en-GB"/>
        </w:rPr>
        <w:t xml:space="preserve"> </w:t>
      </w:r>
      <w:r w:rsidR="00DB0C40" w:rsidRPr="0003073C">
        <w:rPr>
          <w:lang w:val="en-GB"/>
        </w:rPr>
        <w:t xml:space="preserve">(trends towards) </w:t>
      </w:r>
      <w:r w:rsidR="0048289E" w:rsidRPr="0003073C">
        <w:rPr>
          <w:lang w:val="en-GB"/>
        </w:rPr>
        <w:t xml:space="preserve">superiority of higher doses of </w:t>
      </w:r>
      <w:proofErr w:type="spellStart"/>
      <w:r w:rsidR="007B4F1C" w:rsidRPr="0003073C">
        <w:rPr>
          <w:lang w:val="en-GB"/>
        </w:rPr>
        <w:t>ACEi</w:t>
      </w:r>
      <w:proofErr w:type="spellEnd"/>
      <w:r w:rsidR="007B4F1C" w:rsidRPr="0003073C">
        <w:rPr>
          <w:lang w:val="en-GB"/>
        </w:rPr>
        <w:t xml:space="preserve">/ARB </w:t>
      </w:r>
      <w:r w:rsidR="0048289E" w:rsidRPr="0003073C">
        <w:rPr>
          <w:lang w:val="en-GB"/>
        </w:rPr>
        <w:t xml:space="preserve">and </w:t>
      </w:r>
      <w:r w:rsidR="00247554" w:rsidRPr="0003073C">
        <w:rPr>
          <w:lang w:val="en-GB"/>
        </w:rPr>
        <w:t>β</w:t>
      </w:r>
      <w:r w:rsidR="0048289E" w:rsidRPr="0003073C">
        <w:rPr>
          <w:lang w:val="en-GB"/>
        </w:rPr>
        <w:t>-blocker compared with lower doses</w:t>
      </w:r>
      <w:r w:rsidR="006F3AB0" w:rsidRPr="0003073C">
        <w:rPr>
          <w:lang w:val="en-GB"/>
        </w:rPr>
        <w:fldChar w:fldCharType="begin" w:fldLock="1"/>
      </w:r>
      <w:r w:rsidR="00891E5E" w:rsidRPr="0003073C">
        <w:rPr>
          <w:lang w:val="en-GB"/>
        </w:rPr>
        <w:instrText>ADDIN CSL_CITATION {"citationItems":[{"id":"ITEM-1","itemData":{"DOI":"10.1161/01.CIR.100.23.2312","ISSN":"0009-7322","PMID":"10587334","abstract":"BACKGROUND Angiotensin-converting enzyme (ACE) inhibitors are generally prescribed by physicians in doses lower than the large doses that have been shown to reduce morbidity and mortality in patients with heart failure. It is unclear, however, if low doses and high doses of ACE inhibitors have similar benefits. METHODS AND RESULTS We randomly assigned 3164 patients with New York Heart Association class II to IV heart failure and an ejection fraction &lt; or = 30% to double-blind treatment with either low doses (2.5 to 5.0 mg daily, n=1596) or high doses (32.5 to 35 mg daily, n=1568) of the ACE inhibitor, lisinopril, for 39 to 58 months, while background therapy for heart failure was continued. When compared with the low-dose group, patients in the high-dose group had a nonsignificant 8% lower risk of death (P=0.128) but a significant 12% lower risk of death or hospitalization for any reason (P=0.002) and 24% fewer hospitalizations for heart failure (P=0.002). Dizziness and renal insufficiency was observed more frequently in the high-dose group, but the 2 groups were similar in the number of patients requiring discontinuation of the study medication. Conclusions-These findings indicate that patients with heart failure should not generally be maintained on very low doses of an ACE inhibitor (unless these are the only doses that can be tolerated) and suggest that the difference in efficacy between intermediate and high doses of an ACE inhibitor (if any) is likely to be very small.","author":[{"dropping-particle":"","family":"Packer","given":"M.","non-dropping-particle":"","parse-names":false,"suffix":""},{"dropping-particle":"","family":"Poole-Wilson","given":"P. a.","non-dropping-particle":"","parse-names":false,"suffix":""},{"dropping-particle":"","family":"Armstrong","given":"P. W.","non-dropping-particle":"","parse-names":false,"suffix":""},{"dropping-particle":"","family":"Cleland","given":"J G","non-dropping-particle":"","parse-names":false,"suffix":""},{"dropping-particle":"","family":"Horowitz","given":"J. D.","non-dropping-particle":"","parse-names":false,"suffix":""},{"dropping-particle":"","family":"Massie","given":"B. M.","non-dropping-particle":"","parse-names":false,"suffix":""},{"dropping-particle":"","family":"Rydén","given":"L","non-dropping-particle":"","parse-names":false,"suffix":""},{"dropping-particle":"","family":"Thygesen","given":"K.","non-dropping-particle":"","parse-names":false,"suffix":""},{"dropping-particle":"","family":"Uretsky","given":"B. F.","non-dropping-particle":"","parse-names":false,"suffix":""}],"container-title":"Circulation","id":"ITEM-1","issue":"23","issued":{"date-parts":[["1999","12","7"]]},"page":"2312-8","title":"Comparative effects of low and high doses of the angiotensin-converting enzyme inhibitor, lisinopril, on morbidity and mortality in chronic heart failure. ATLAS Study Group.","type":"article-journal","volume":"100"},"uris":["http://www.mendeley.com/documents/?uuid=d95b9e5f-9d64-440b-8d10-65839480d1aa"]},{"id":"ITEM-2","itemData":{"ISSN":"0009-7322","PMID":"8941106","abstract":"BACKGROUND We conducted a multicenter, placebo-controlled trial designed to establish the efficacy and safety of carvedilol, a \"third-generation\" beta -blocking agent with vasodilator properties, in chronic heart failure. METHODS AND RESULTS Three hundred forty-five subjects with mild to moderate, stable chronic heart failure were randomized to receive treatment with placebo, 6.25 mg BID carvedilol (low-dose group), 12.5 mg BID carvedilol (medium-dose group), or 25 mg BID carvedilol (high-dose group). After a 2- to 4-week up-titration period, subjects remained on study medication for a period of 6 months. The primary efficacy parameter was submaximal exercise measured by two different techniques, the 6-minute corridor walk test and the 9-minute self-powered treadmill test. Carvedilol had no detectable effect on submaximal exercise as measured by either technique. However, carvedilol was associated with dose-related improvements in LV function (by 5, 6, and 8 ejection fraction [EF] units in the low-, medium-, and high-dose carvedilol groups, respectively, compared with 2 EF units with placebo, P &lt; .001 for linear dose response) and survival (respective crude mortality rates of 6.0%, 6.7%, and 1.1% with increasing doses of carvedilol compared with 15.5% in the placebo group, P &lt; .001). When the three carvedilol groups were combined, the all-cause actuarial mortality risk was lowered by 73% in carvedilol-treated subjects (P &lt; .001). Carvedilol also lowered the hospitalization rate (by 58% to 64%, P = .01) and was generally well tolerated. CONCLUSIONS In subjects with mild to moderate heart failure from systolic dysfunction, carvedilol produced dose-related improvements in LV function and dose-related reductions in mortality and hospitalization rate.","author":[{"dropping-particle":"","family":"Bristow","given":"M R","non-dropping-particle":"","parse-names":false,"suffix":""},{"dropping-particle":"","family":"Gilbert","given":"E M","non-dropping-particle":"","parse-names":false,"suffix":""},{"dropping-particle":"","family":"Abraham","given":"W T","non-dropping-particle":"","parse-names":false,"suffix":""},{"dropping-particle":"","family":"Adams","given":"K F","non-dropping-particle":"","parse-names":false,"suffix":""},{"dropping-particle":"","family":"Fowler","given":"M B","non-dropping-particle":"","parse-names":false,"suffix":""},{"dropping-particle":"","family":"Hershberger","given":"R E","non-dropping-particle":"","parse-names":false,"suffix":""},{"dropping-particle":"","family":"Kubo","given":"S H","non-dropping-particle":"","parse-names":false,"suffix":""},{"dropping-particle":"","family":"Narahara","given":"K A","non-dropping-particle":"","parse-names":false,"suffix":""},{"dropping-particle":"","family":"Ingersoll","given":"H","non-dropping-particle":"","parse-names":false,"suffix":""},{"dropping-particle":"","family":"Krueger","given":"S","non-dropping-particle":"","parse-names":false,"suffix":""},{"dropping-particle":"","family":"Young","given":"S","non-dropping-particle":"","parse-names":false,"suffix":""},{"dropping-particle":"","family":"Shusterman","given":"N","non-dropping-particle":"","parse-names":false,"suffix":""}],"container-title":"Circulation","id":"ITEM-2","issue":"11","issued":{"date-parts":[["1996","12","1"]]},"page":"2807-16","title":"Carvedilol produces dose-related improvements in left ventricular function and survival in subjects with chronic heart failure. MOCHA Investigators.","type":"article-journal","volume":"94"},"uris":["http://www.mendeley.com/documents/?uuid=5362128c-9c9e-4dd7-bdbf-844ca0086860"]},{"id":"ITEM-3","itemData":{"DOI":"10.1016/S0140-6736(09)61913-9","ISSN":"1474-547X","PMID":"19922995","abstract":"BACKGROUND Angiotensin-receptor blockers (ARBs) are effective treatments for patients with heart failure, but the relation between dose and clinical outcomes has not been explored. We compared the effects of high-dose versus low-dose losartan on clinical outcomes in patients with heart failure. METHODS This double-blind trial was undertaken in 255 sites in 30 countries. 3846 patients with heart failure of New York Heart Association class II-IV, left-ventricular ejection fraction 40% or less, and intolerance to angiotensin-converting-enzyme (ACE) inhibitors were randomly assigned to losartan 150 mg (n=1927) or 50 mg daily (n=1919). Allocation was by block randomisation stratified by centre and presence or absence of beta-blocker therapy, and all patients and investigators were masked to assignment. The primary endpoint was death or admission for heart failure. Analysis was by intention to treat. This study is registered with ClinicalTrials.gov, number NCT00090259. FINDINGS Six patients in each group were excluded because of poor data quality. With 4.7-year median follow-up in each group (IQR 3.7-5.5 for losartan 150 mg; 3.4-5.5 for losartan 50 mg), 828 (43%) patients in the 150 mg group versus 889 (46%) in the 50 mg group died or were admitted for heart failure (hazard ratio [HR] 0.90, 95% CI 0.82-0.99; p=0.027). For the two primary endpoint components, 635 patients in the 150 mg group versus 665 in the 50 mg group died (HR 0.94, 95% CI 0.84-1.04; p=0.24), and 450 versus 503 patients were admitted for heart failure (0.87, 0.76-0.98; p=0.025). Renal impairment (n=454 vs 317), hypotension (203 vs 145), and hyperkalaemia (195 vs 131) were more common in the 150 mg group than in the 50 mg group, but these adverse events did not lead to significantly more treatment discontinuations in the 150 mg group. INTERPRETATION Losartan 150 mg daily reduced the rate of death or admission for heart failure in patients with heart failure, reduced left-ventricular ejection fraction, and intolerance to ACE inhibitors compared with losartan 50 mg daily. These findings show the value of up-titrating ARB doses to confer clinical benefit. FUNDING Merck (USA).","author":[{"dropping-particle":"","family":"Konstam","given":"Marvin A","non-dropping-particle":"","parse-names":false,"suffix":""},{"dropping-particle":"","family":"Neaton","given":"James D","non-dropping-particle":"","parse-names":false,"suffix":""},{"dropping-particle":"","family":"Dickstein","given":"Kenneth","non-dropping-particle":"","parse-names":false,"suffix":""},{"dropping-particle":"","family":"Drexler","given":"Helmut","non-dropping-particle":"","parse-names":false,"suffix":""},{"dropping-particle":"","family":"Komajda","given":"Michel","non-dropping-particle":"","parse-names":false,"suffix":""},{"dropping-particle":"","family":"Martinez","given":"Felipe A","non-dropping-particle":"","parse-names":false,"suffix":""},{"dropping-particle":"","family":"Riegger","given":"Gunter A J","non-dropping-particle":"","parse-names":false,"suffix":""},{"dropping-particle":"","family":"Malbecq","given":"William","non-dropping-particle":"","parse-names":false,"suffix":""},{"dropping-particle":"","family":"Smith","given":"Ronald D","non-dropping-particle":"","parse-names":false,"suffix":""},{"dropping-particle":"","family":"Guptha","given":"Soneil","non-dropping-particle":"","parse-names":false,"suffix":""},{"dropping-particle":"","family":"Poole-Wilson","given":"Philip A","non-dropping-particle":"","parse-names":false,"suffix":""},{"dropping-particle":"","family":"HEAAL Investigators","given":"","non-dropping-particle":"","parse-names":false,"suffix":""}],"container-title":"Lancet (London, England)","id":"ITEM-3","issue":"9704","issued":{"date-parts":[["2009","11","28"]]},"page":"1840-8","publisher":"Elsevier Ltd","title":"Effects of high-dose versus low-dose losartan on clinical outcomes in patients with heart failure (HEAAL study): a randomised, double-blind trial.","type":"article-journal","volume":"374"},"uris":["http://www.mendeley.com/documents/?uuid=1d39fc98-a21e-4959-8522-d87ba615befc"]}],"mendeley":{"formattedCitation":"&lt;sup&gt;14–16&lt;/sup&gt;","plainTextFormattedCitation":"14–16","previouslyFormattedCitation":"&lt;sup&gt;14–16&lt;/sup&gt;"},"properties":{"noteIndex":0},"schema":"https://github.com/citation-style-language/schema/raw/master/csl-citation.json"}</w:instrText>
      </w:r>
      <w:r w:rsidR="006F3AB0" w:rsidRPr="0003073C">
        <w:rPr>
          <w:lang w:val="en-GB"/>
        </w:rPr>
        <w:fldChar w:fldCharType="separate"/>
      </w:r>
      <w:r w:rsidR="00891E5E" w:rsidRPr="0003073C">
        <w:rPr>
          <w:noProof/>
          <w:vertAlign w:val="superscript"/>
          <w:lang w:val="en-GB"/>
        </w:rPr>
        <w:t>14–16</w:t>
      </w:r>
      <w:r w:rsidR="006F3AB0" w:rsidRPr="0003073C">
        <w:rPr>
          <w:lang w:val="en-GB"/>
        </w:rPr>
        <w:fldChar w:fldCharType="end"/>
      </w:r>
      <w:r w:rsidR="0048289E" w:rsidRPr="0003073C">
        <w:rPr>
          <w:lang w:val="en-GB"/>
        </w:rPr>
        <w:t>.</w:t>
      </w:r>
      <w:r w:rsidR="00F8676D" w:rsidRPr="0003073C">
        <w:rPr>
          <w:lang w:val="en-GB"/>
        </w:rPr>
        <w:t xml:space="preserve"> </w:t>
      </w:r>
      <w:r w:rsidR="008C5082" w:rsidRPr="0003073C">
        <w:rPr>
          <w:lang w:val="en-GB"/>
        </w:rPr>
        <w:t>However, i</w:t>
      </w:r>
      <w:r w:rsidR="0048289E" w:rsidRPr="0003073C">
        <w:rPr>
          <w:lang w:val="en-GB"/>
        </w:rPr>
        <w:t>n daily clinical practice</w:t>
      </w:r>
      <w:r w:rsidR="00132817" w:rsidRPr="0003073C">
        <w:rPr>
          <w:lang w:val="en-GB"/>
        </w:rPr>
        <w:t>,</w:t>
      </w:r>
      <w:r w:rsidR="00436337" w:rsidRPr="0003073C">
        <w:rPr>
          <w:lang w:val="en-GB"/>
        </w:rPr>
        <w:t xml:space="preserve"> </w:t>
      </w:r>
      <w:r w:rsidR="0048289E" w:rsidRPr="0003073C">
        <w:rPr>
          <w:lang w:val="en-GB"/>
        </w:rPr>
        <w:t xml:space="preserve">patients </w:t>
      </w:r>
      <w:r w:rsidR="009A0D5F" w:rsidRPr="0003073C">
        <w:rPr>
          <w:lang w:val="en-GB"/>
        </w:rPr>
        <w:t xml:space="preserve">often fail to </w:t>
      </w:r>
      <w:r w:rsidR="0048289E" w:rsidRPr="0003073C">
        <w:rPr>
          <w:lang w:val="en-GB"/>
        </w:rPr>
        <w:t xml:space="preserve">achieve </w:t>
      </w:r>
      <w:r w:rsidR="008C5082" w:rsidRPr="0003073C">
        <w:rPr>
          <w:lang w:val="en-GB"/>
        </w:rPr>
        <w:t>guideline-</w:t>
      </w:r>
      <w:r w:rsidR="0048289E" w:rsidRPr="0003073C">
        <w:rPr>
          <w:lang w:val="en-GB"/>
        </w:rPr>
        <w:t xml:space="preserve">recommended </w:t>
      </w:r>
      <w:r w:rsidR="008C5082" w:rsidRPr="0003073C">
        <w:rPr>
          <w:lang w:val="en-GB"/>
        </w:rPr>
        <w:t xml:space="preserve">target </w:t>
      </w:r>
      <w:r w:rsidR="0048289E" w:rsidRPr="0003073C">
        <w:rPr>
          <w:lang w:val="en-GB"/>
        </w:rPr>
        <w:t>doses</w:t>
      </w:r>
      <w:r w:rsidR="008C5082" w:rsidRPr="0003073C">
        <w:rPr>
          <w:lang w:val="en-GB"/>
        </w:rPr>
        <w:t xml:space="preserve"> (GRTD)</w:t>
      </w:r>
      <w:r w:rsidR="006F3AB0" w:rsidRPr="0003073C">
        <w:rPr>
          <w:lang w:val="en-GB"/>
        </w:rPr>
        <w:fldChar w:fldCharType="begin" w:fldLock="1"/>
      </w:r>
      <w:r w:rsidR="00891E5E" w:rsidRPr="0003073C">
        <w:rPr>
          <w:lang w:val="en-GB"/>
        </w:rPr>
        <w:instrText>ADDIN CSL_CITATION {"citationItems":[{"id":"ITEM-1","itemData":{"ISSN":"1468-201X","PMID":"12213792","author":[{"dropping-particle":"","family":"Cleland","given":"J G F","non-dropping-particle":"","parse-names":false,"suffix":""}],"container-title":"Heart (British Cardiac Society)","id":"ITEM-1","issued":{"date-parts":[["2002","10"]]},"page":"ii5-8","title":"Contemporary management of heart failure in clinical practice.","type":"article-journal","volume":"88 Suppl 2"},"uris":["http://www.mendeley.com/documents/?uuid=cccedad0-7940-4bc5-8e4a-db612b24a964"]},{"id":"ITEM-2","itemData":{"DOI":"10.1016/S0195-668X(02)00700-5","ISBN":"0195-668X (Print)\\r0195-668X (Linking)","ISSN":"0195-668X","PMID":"12633547","abstract":"BACKGROUND National surveys suggest that treatment of heart failure in daily practice differs from guidelines and is characterized by underuse of recommended medications. Accordingly, the Euro Heart Failure Survey was conducted to ascertain how patients hospitalized for heart failure are managed in Europe and if national variations occur in the treatment of this condition. METHODS The survey screened discharge summaries of 11304 patients over a 6-week period in 115 hospitals from 24 countries belonging to the ESC to study their medical treatment. RESULTS Diuretics (mainly loop diuretics) were prescribed in 86.9% followed by ACE inhibitors (61.8%), beta-blockers (36.9%), cardiac glycosides (35.7%), nitrates (32.1%), calcium channel blockers (21.2%) and spironolactone (20.5%). 44.6% of the population used four or more different drugs. Only 17.2% were under the combination of diuretic, ACE inhibitors and beta-blockers. Important local variations were found in the rate of prescription of ACE inhibitors and particularly beta-blockers. Daily dosage of ACE inhibitors and particularly of beta-blockers was on average below the recommended target dose. Modelling-analysis of the prescription of treatments indicated that the aetiology of heart failure, age, co-morbid factors and type of hospital ward influenced the rate of prescription. Age &lt;70 years, male gender and ischaemic aetiology were associated with an increased odds ratio for receiving an ACE inhibitor. Prescription of ACE inhibitors was also greater in diabetic patients and in patients with low ejection fraction (&lt;40%) and lower in patients with renal dysfunction. The odds ratio for receiving a beta-blocker was reduced in patients &gt;70 years, in patients with respiratory disease and increased in cardiology wards, in ischaemic heart failure and in male subjects. Prescription of cardiac glycosides was significantly increased in patients with supraventricular tachycardia/atrial fibrillation. Finally, the rate of prescription of antithrombotic agents was increased in the presence of supraventricular arrhythmia, ischaemic heart disease, male subjects but was decreased in patients over 70. CONCLUSION Our results suggest that the prescription of recommended medications including ACE inhibitors and beta-blockers remains limited and that the daily dosage remains low, particularly for beta-blockers. The survey also identifies several important factors including age, gender, type of hospital ward, co morbid factors w…","author":[{"dropping-particle":"","family":"Komajda","given":"M","non-dropping-particle":"","parse-names":false,"suffix":""},{"dropping-particle":"","family":"Follath","given":"F","non-dropping-particle":"","parse-names":false,"suffix":""},{"dropping-particle":"","family":"Swedberg","given":"K","non-dropping-particle":"","parse-names":false,"suffix":""},{"dropping-particle":"","family":"Cleland","given":"J","non-dropping-particle":"","parse-names":false,"suffix":""},{"dropping-particle":"","family":"Aguilar","given":"J C","non-dropping-particle":"","parse-names":false,"suffix":""},{"dropping-particle":"","family":"Cohen-Solal","given":"A","non-dropping-particle":"","parse-names":false,"suffix":""},{"dropping-particle":"","family":"Dietz","given":"R","non-dropping-particle":"","parse-names":false,"suffix":""},{"dropping-particle":"","family":"Gavazzi","given":"A","non-dropping-particle":"","parse-names":false,"suffix":""},{"dropping-particle":"","family":"Gilst","given":"W H","non-dropping-particle":"Van","parse-names":false,"suffix":""},{"dropping-particle":"","family":"Hobbs","given":"R","non-dropping-particle":"","parse-names":false,"suffix":""},{"dropping-particle":"","family":"Korewicki","given":"J","non-dropping-particle":"","parse-names":false,"suffix":""},{"dropping-particle":"","family":"Madeira","given":"H C","non-dropping-particle":"","parse-names":false,"suffix":""},{"dropping-particle":"","family":"Moiseyev","given":"V S","non-dropping-particle":"","parse-names":false,"suffix":""},{"dropping-particle":"","family":"Preda","given":"I","non-dropping-particle":"","parse-names":false,"suffix":""},{"dropping-particle":"","family":"Widimsky","given":"J","non-dropping-particle":"","parse-names":false,"suffix":""},{"dropping-particle":"","family":"Freemantle","given":"N","non-dropping-particle":"","parse-names":false,"suffix":""},{"dropping-particle":"","family":"Eastaugh","given":"Joanne","non-dropping-particle":"","parse-names":false,"suffix":""},{"dropping-particle":"","family":"Mason","given":"J","non-dropping-particle":"","parse-names":false,"suffix":""},{"dropping-particle":"","family":"Study Group on Diagnosis of the Working Group on Heart Failure of the European Society of Cardiology","given":"","non-dropping-particle":"","parse-names":false,"suffix":""}],"container-title":"European heart journal","id":"ITEM-2","issue":"5","issued":{"date-parts":[["2003","3"]]},"page":"464-74","title":"The EuroHeart Failure Survey programme--a survey on the quality of care among patients with heart failure in Europe. Part 2: treatment.","type":"article-journal","volume":"24"},"uris":["http://www.mendeley.com/documents/?uuid=10f12c3f-7f21-4ed6-8992-6a0d54806959"]},{"id":"ITEM-3","itemData":{"DOI":"10.1016/j.ijcard.2012.06.116","ISBN":"0167-5273","ISSN":"1874-1754","PMID":"22840685","abstract":"AIMS The present study aims to investigate patterns of beta-blocker usage in a national primary care cohort. METHODS AND RESULTS This is a retrospective cohort study utilising the UK General Practice Research Database from 2004 to 2008. Inclusion criteria were (i) a first diagnosis of chronic heart failure (CHF), myocardial infarction (MI) or angina, and (ii) first-ever prescription of beta-blocker on or after 1st April 2004. Outcome measures were discontinuation of beta-blockers over time, initiation dosages, titration patterns, incidence of adverse events (AEs) and associated prescribing actions. A total of 12,493 patients (68.0% male; mean age 58.0 ± SD 17.6 years) were included. Of these, 27% had discontinued beta-blockers within 1 year of initiation, increasing to 39% by 2 years and 50% by 3 years. Persistence appeared to be greater in the MI cohort compared with angina or CHF cohorts. Beta-blocker dose at initiation averaged approximately 33% of guideline recommended target, rising to 40% in those who continued with therapy. Dyspnoea, fatigue and dizziness were the most common incident AEs at 98, 53 and 49 per 1000 patient years, with little difference between indications. CONCLUSION A quarter of patients with cardiovascular disease who are commenced on a beta-blocker are no longer taking the drug by one year. This rises to 50% by three years, a finding that is consistent irrespective of whether the prescription is for prognostic (CHF or post MI) or symptomatic (angina) benefit. There is an urgent need to understand and address the prescribing difficulties of beta-blockers in these at-risk patients.","author":[{"dropping-particle":"","family":"Kalra","given":"Paul R","non-dropping-particle":"","parse-names":false,"suffix":""},{"dropping-particle":"","family":"Morley","given":"Chris","non-dropping-particle":"","parse-names":false,"suffix":""},{"dropping-particle":"","family":"Barnes","given":"Susie","non-dropping-particle":"","parse-names":false,"suffix":""},{"dropping-particle":"","family":"Menown","given":"Ian","non-dropping-particle":"","parse-names":false,"suffix":""},{"dropping-particle":"","family":"Kassianos","given":"George","non-dropping-particle":"","parse-names":false,"suffix":""},{"dropping-particle":"","family":"Padmanabhan","given":"Sandosh","non-dropping-particle":"","parse-names":false,"suffix":""},{"dropping-particle":"","family":"Gupta","given":"Sandeep","non-dropping-particle":"","parse-names":false,"suffix":""},{"dropping-particle":"","family":"Lang","given":"Chim C","non-dropping-particle":"","parse-names":false,"suffix":""}],"container-title":"International journal of cardiology","id":"ITEM-3","issue":"6","issued":{"date-parts":[["2013","9","10"]]},"page":"2695-9","publisher":"Elsevier Ireland Ltd","title":"Discontinuation of beta-blockers in cardiovascular disease: UK primary care cohort study.","type":"article-journal","volume":"167"},"uris":["http://www.mendeley.com/documents/?uuid=92daf48f-01ac-4d0f-9321-b59744c731b6"]},{"id":"ITEM-4","itemData":{"DOI":"10.1016/S2214-109X(18)30306-1","ISSN":"2214-109X","PMID":"30103979","abstract":"BACKGROUND Angiotensin-converting enzyme (ACE) inhibitors or angiotensin II receptor blockers (ARBs), β blockers, and mineralocorticoid receptor antagonists (MRAs) are of proven benefit and are recommended by guidelines for management of patients with heart failure and reduced ejection fraction (HFrEF). We aimed to examine the first prospective multinational data from Asia on prescribing patterns of guideline-directed medical therapies and analyse its effect on outcomes. METHODS In the prospective multinational ASIAN-HF registry (with enrolment from 46 centres in 11 countries in Asia), we enrolled patients aged 18 years or older, with symptomatic heart failure (stage C, with at least one episode of decompensated heart failure in the past 6 months that resulted in admission to hospital or was treated in an outpatient clinic) and left ventricular systolic dysfunction (ejection fraction ≤40% on baseline echocardiography, consistent with 2016 European Society of Cardiology guidelines). We excluded patients with heart failure caused by severe valvular heart disease, life-threatening comorbidity with a life expectancy of less than 1 year, who were unable or unwilling to give consent, or who had concurrent participation in a clinical trial. Patients were followed up for 3 years for the outcomes of death and cause-specific admittance to hospital. Primary outcomes were uptake of guideline-directed medical therapies (as proportions) by therapeutic class, achieved doses as proportions of guideline-recommended doses, and their association with 1-year composite outcome of all-cause death or admittance to hospital because of heart failure. This study is registered with ClinicalTrials.gov, number NCT01633398. FINDINGS Between Oct 1, 2012, and Dec 31, 2015, we enrolled 5276 patients with HFrEF (mean age 59·6 years [SD 13·2], 77% men, body-mass index 24·9 kg/m2 [5·1], 33% New York Heart Association class III or IV). Follow-up data were available for 4544 (90%) of 5061 eligible patients taking medication for heart failure, with median follow-up of 417 days (IQR 214-735). ACE inhibitors or ARBs were prescribed to 3868 (77%) of 5005 patients, β blockers to 3975 (79%) of 5061, and MRAs to 2998 (58%) of 5205, with substantial regional variation. Guideline-recommended dose was achieved in only 17% of cases for ACE inhibitors or ARB, 13% for β blockers, and 29% for MRAs. Country (all three drug classes), increasing body-mass index (ACE inhibitors or ARBs and MRAs), and in-pati…","author":[{"dropping-particle":"","family":"Teng","given":"Tiew-Hwa K","non-dropping-particle":"","parse-names":false,"suffix":""},{"dropping-particle":"","family":"Tromp","given":"Jasper","non-dropping-particle":"","parse-names":false,"suffix":""},{"dropping-particle":"","family":"Tay","given":"Wan Ting","non-dropping-particle":"","parse-names":false,"suffix":""},{"dropping-particle":"","family":"Anand","given":"Inder","non-dropping-particle":"","parse-names":false,"suffix":""},{"dropping-particle":"","family":"Ouwerkerk","given":"Wouter","non-dropping-particle":"","parse-names":false,"suffix":""},{"dropping-particle":"","family":"Chopra","given":"Vijay","non-dropping-particle":"","parse-names":false,"suffix":""},{"dropping-particle":"","family":"Wander","given":"Gurpreet S.","non-dropping-particle":"","parse-names":false,"suffix":""},{"dropping-particle":"","family":"Yap","given":"Jonathan JL","non-dropping-particle":"","parse-names":false,"suffix":""},{"dropping-particle":"","family":"MacDonald","given":"Michael R.","non-dropping-particle":"","parse-names":false,"suffix":""},{"dropping-particle":"","family":"Xu","given":"Chang Fen","non-dropping-particle":"","parse-names":false,"suffix":""},{"dropping-particle":"","family":"Chia","given":"Yvonne MF","non-dropping-particle":"","parse-names":false,"suffix":""},{"dropping-particle":"","family":"Shimizu","given":"Wataru","non-dropping-particle":"","parse-names":false,"suffix":""},{"dropping-particle":"","family":"ASIAN-HF investigators","given":"","non-dropping-particle":"","parse-names":false,"suffix":""},{"dropping-particle":"","family":"Richards","given":"A. Mark","non-dropping-particle":"","parse-names":false,"suffix":""},{"dropping-particle":"","family":"Voors","given":"Adriaan","non-dropping-particle":"","parse-names":false,"suffix":""},{"dropping-particle":"","family":"Lam","given":"Carolyn SP","non-dropping-particle":"","parse-names":false,"suffix":""}],"container-title":"The Lancet. Global health","id":"ITEM-4","issue":"9","issued":{"date-parts":[["2018"]]},"page":"e1008-e1018","publisher":"The Author(s). Published by Elsevier Ltd. This is an open access article under the CC BY-NC-ND 4.0 license","title":"Prescribing patterns of evidence-based heart failure pharmacotherapy and outcomes in the ASIAN-HF registry: a cohort study.","type":"article-journal","volume":"6"},"uris":["http://www.mendeley.com/documents/?uuid=62cfceaf-e285-4d45-9b45-888441d182f2"]},{"id":"ITEM-5","itemData":{"DOI":"10.1093/eurheartj/ehx026","ISBN":"2076792171","ISSN":"15229645","PMID":"27899565","abstract":"Introduction Despite clear guidelines recommendations, most patients with heart failure and reduced ejection–fraction (HFrEF) do not attain guideline-recommended target doses. We aimed to investigate characteristics and for treatment-indication-bias corrected clinical outcome of patients with HFrEF that did not reach recommended treatment doses of ACE-inhibitors/Angiotensin receptor blockers (ARBs) and/or beta-blockers. BIOSTAT-CHF was specifically designed to study uptitration of ACE-inhibitors/ARBs and/or beta-blockers in 2516 heart failure patients from 69 centres in 11 European countries who were selected if they were suboptimally treated while initiation or uptitration was anticipated and encouraged. Patients who died during the uptitration period (n = 151) and patients with a LVEF &gt; 40% (n = 242) were excluded. Median follow up was 21 months. We studied 2100 HFrEF patients (76% male; mean age 68 ±12), of which 22% achieved the recommended treatment dose for ACE-inhibitor/ ARB and 12% of beta-blocker. There were marked differences between European countries. Reaching &lt;50% of the rec-ommended ACE-inhibitor/ARB and beta-blocker dose was associated with an increased risk of death and/or heart fail-ure hospitalization. Patients reaching 50–99% of the recommended ACE-inhibitor/ARB and/or beta-blocker dose had comparable risk of death and/or heart failure hospitalization to those reaching &gt; _100%. Patients not reaching recom-mended dose because of symptoms, side effects and non-cardiac organ dysfunction had the highest mortality rate (for ACE-inhibitor/ARB: HR 1.72; 95% CI 1.43–2.01; for beta-blocker: HR 1.70; 95% CI 1.36–2.05). Patients with HFrEF who were treated with less than 50% of recommended dose of ACE-inhibitors/ARBs and beta-blockers seemed to have a greater risk of death and/or heart failure hospitalization compared with patients reaching &gt; _100%.","author":[{"dropping-particle":"","family":"Ouwerkerk","given":"W.","non-dropping-particle":"","parse-names":false,"suffix":""},{"dropping-particle":"","family":"Voors","given":"A. A.","non-dropping-particle":"","parse-names":false,"suffix":""},{"dropping-particle":"","family":"Anker","given":"S. D.","non-dropping-particle":"","parse-names":false,"suffix":""},{"dropping-particle":"","family":"Cleland","given":"J. G.","non-dropping-particle":"","parse-names":false,"suffix":""},{"dropping-particle":"","family":"Dickstein","given":"K.","non-dropping-particle":"","parse-names":false,"suffix":""},{"dropping-particle":"","family":"Filippatos","given":"G.","non-dropping-particle":"","parse-names":false,"suffix":""},{"dropping-particle":"","family":"Harst","given":"P.","non-dropping-particle":"Van Der","parse-names":false,"suffix":""},{"dropping-particle":"","family":"Hillege","given":"H. L.","non-dropping-particle":"","parse-names":false,"suffix":""},{"dropping-particle":"","family":"Lang","given":"C. C.","non-dropping-particle":"","parse-names":false,"suffix":""},{"dropping-particle":"","family":"Maaten","given":"J. M.","non-dropping-particle":"Ter","parse-names":false,"suffix":""},{"dropping-particle":"","family":"Ng","given":"L. L.","non-dropping-particle":"","parse-names":false,"suffix":""},{"dropping-particle":"","family":"Ponikowski","given":"P.","non-dropping-particle":"","parse-names":false,"suffix":""},{"dropping-particle":"","family":"Samani","given":"N. J.","non-dropping-particle":"","parse-names":false,"suffix":""},{"dropping-particle":"","family":"Veldhuisen","given":"D. J.","non-dropping-particle":"Van","parse-names":false,"suffix":""},{"dropping-particle":"","family":"Zannad","given":"F.","non-dropping-particle":"","parse-names":false,"suffix":""},{"dropping-particle":"","family":"Metra","given":"M.","non-dropping-particle":"","parse-names":false,"suffix":""},{"dropping-particle":"","family":"Zwinderman","given":"A. H.","non-dropping-particle":"","parse-names":false,"suffix":""}],"container-title":"European Heart Journal","id":"ITEM-5","issue":"24","issued":{"date-parts":[["2017"]]},"page":"1883-1890","title":"Determinants and clinical outcome of uptitration of ACE-inhibitors and beta-blockers in patients with heart failure: A prospective European study","type":"article-journal","volume":"38"},"uris":["http://www.mendeley.com/documents/?uuid=a4fb182b-b848-48db-aa90-64a5852de2da"]}],"mendeley":{"formattedCitation":"&lt;sup&gt;17–21&lt;/sup&gt;","plainTextFormattedCitation":"17–21","previouslyFormattedCitation":"&lt;sup&gt;17–21&lt;/sup&gt;"},"properties":{"noteIndex":0},"schema":"https://github.com/citation-style-language/schema/raw/master/csl-citation.json"}</w:instrText>
      </w:r>
      <w:r w:rsidR="006F3AB0" w:rsidRPr="0003073C">
        <w:rPr>
          <w:lang w:val="en-GB"/>
        </w:rPr>
        <w:fldChar w:fldCharType="separate"/>
      </w:r>
      <w:r w:rsidR="00891E5E" w:rsidRPr="0003073C">
        <w:rPr>
          <w:noProof/>
          <w:vertAlign w:val="superscript"/>
          <w:lang w:val="en-GB"/>
        </w:rPr>
        <w:t>17–21</w:t>
      </w:r>
      <w:r w:rsidR="006F3AB0" w:rsidRPr="0003073C">
        <w:rPr>
          <w:lang w:val="en-GB"/>
        </w:rPr>
        <w:fldChar w:fldCharType="end"/>
      </w:r>
      <w:r w:rsidR="006F3AB0" w:rsidRPr="0003073C">
        <w:rPr>
          <w:lang w:val="en-GB"/>
        </w:rPr>
        <w:t>.</w:t>
      </w:r>
      <w:r w:rsidR="002F3847" w:rsidRPr="0003073C">
        <w:rPr>
          <w:lang w:val="en-GB"/>
        </w:rPr>
        <w:t xml:space="preserve"> </w:t>
      </w:r>
      <w:r w:rsidR="008C5082" w:rsidRPr="0003073C">
        <w:rPr>
          <w:lang w:val="en-GB"/>
        </w:rPr>
        <w:t xml:space="preserve">Patients with HF frequently have multiple comorbidities and require </w:t>
      </w:r>
      <w:r w:rsidR="002F3847" w:rsidRPr="0003073C">
        <w:rPr>
          <w:lang w:val="en-US"/>
        </w:rPr>
        <w:t xml:space="preserve">polypharmacy, </w:t>
      </w:r>
      <w:r w:rsidR="008C5082" w:rsidRPr="0003073C">
        <w:rPr>
          <w:lang w:val="en-US"/>
        </w:rPr>
        <w:t xml:space="preserve">making it challenging to successfully up-titrate </w:t>
      </w:r>
      <w:r w:rsidR="00580497" w:rsidRPr="0003073C">
        <w:rPr>
          <w:lang w:val="en-US"/>
        </w:rPr>
        <w:t>multiple classes of HF medications</w:t>
      </w:r>
      <w:r w:rsidR="004343C0" w:rsidRPr="0003073C">
        <w:rPr>
          <w:lang w:val="en-US"/>
        </w:rPr>
        <w:fldChar w:fldCharType="begin" w:fldLock="1"/>
      </w:r>
      <w:r w:rsidR="00506798" w:rsidRPr="0003073C">
        <w:rPr>
          <w:lang w:val="en-US"/>
        </w:rPr>
        <w:instrText>ADDIN CSL_CITATION {"citationItems":[{"id":"ITEM-1","itemData":{"DOI":"10.1016/j.ahj.2017.04.010","ISSN":"10976744","PMID":"28625374","abstract":"Heart failure (HF) with reduced ejection fraction (HFrEF) is a common and costly condition that diminishes patients’ health status and confers a poor prognosis. Despite the availability of multiple guideline-recommended pharmacologic and cardiac device therapies for patients with chronic HFrEF, outcomes remain suboptimal. Currently, there is limited insight into the rationale underlying clinical decisions by health care providers and patient factors that guide the use and intensity of outpatient HF treatments. A better understanding of current practice patterns has the potential to improve patients’ outcomes. The CHAnge the Management of Patients with Heart Failure (CHAMP-HF) registry will evaluate the care and outcomes of patients with chronic HFrEF by assessing real-world treatment patterns, as well as the reasons for and barriers to medication treatment changes. CHAMP-HF will enroll approximately 5,000 patients with chronic HFrEF (left ventricular ejection fraction ≤40%) at approximately 150 US sites, and patients will be followed for a maximum duration of 24 months. Participating sites will collect data from both providers (HF history, examination findings, results of diagnostic studies, pharmacotherapy treatment patterns, decision-making factors, and clinical outcomes) and patients (medication adherence and patient-reported outcomes). The CHAMP-HF registry will provide a unique opportunity to study practice patterns and the adoption of new HF therapies across a diverse mix of health care providers and outpatient practices in the United States that care for HFrEF patients.","author":[{"dropping-particle":"","family":"DeVore","given":"Adam D.","non-dropping-particle":"","parse-names":false,"suffix":""},{"dropping-particle":"","family":"Thomas","given":"Laine","non-dropping-particle":"","parse-names":false,"suffix":""},{"dropping-particle":"","family":"Albert","given":"Nancy M.","non-dropping-particle":"","parse-names":false,"suffix":""},{"dropping-particle":"","family":"Butler","given":"Javed","non-dropping-particle":"","parse-names":false,"suffix":""},{"dropping-particle":"","family":"Hernandez","given":"Adrian F.","non-dropping-particle":"","parse-names":false,"suffix":""},{"dropping-particle":"","family":"Patterson","given":"J. Herbert","non-dropping-particle":"","parse-names":false,"suffix":""},{"dropping-particle":"","family":"Spertus","given":"John A.","non-dropping-particle":"","parse-names":false,"suffix":""},{"dropping-particle":"","family":"Williams","given":"Fredonia B.","non-dropping-particle":"","parse-names":false,"suffix":""},{"dropping-particle":"","family":"Turner","given":"Stuart J.","non-dropping-particle":"","parse-names":false,"suffix":""},{"dropping-particle":"","family":"Chan","given":"Wing W.","non-dropping-particle":"","parse-names":false,"suffix":""},{"dropping-particle":"","family":"Duffy","given":"Carol I.","non-dropping-particle":"","parse-names":false,"suffix":""},{"dropping-particle":"","family":"McCague","given":"Kevin","non-dropping-particle":"","parse-names":false,"suffix":""},{"dropping-particle":"","family":"Mi","given":"Xiaojuan","non-dropping-particle":"","parse-names":false,"suffix":""},{"dropping-particle":"","family":"Fonarow","given":"Gregg C.","non-dropping-particle":"","parse-names":false,"suffix":""}],"container-title":"American Heart Journal","id":"ITEM-1","issued":{"date-parts":[["2017"]]},"page":"177-183","publisher":"Elsevier Inc.","title":"Change the management of patients with heart failure: Rationale and design of the CHAMP-HF registry","type":"article-journal","volume":"189"},"uris":["http://www.mendeley.com/documents/?uuid=b47aa44d-1547-43f4-9f69-00c2ae0a6d87"]}],"mendeley":{"formattedCitation":"&lt;sup&gt;22&lt;/sup&gt;","plainTextFormattedCitation":"22","previouslyFormattedCitation":"&lt;sup&gt;22&lt;/sup&gt;"},"properties":{"noteIndex":0},"schema":"https://github.com/citation-style-language/schema/raw/master/csl-citation.json"}</w:instrText>
      </w:r>
      <w:r w:rsidR="004343C0" w:rsidRPr="0003073C">
        <w:rPr>
          <w:lang w:val="en-US"/>
        </w:rPr>
        <w:fldChar w:fldCharType="separate"/>
      </w:r>
      <w:r w:rsidR="004343C0" w:rsidRPr="0003073C">
        <w:rPr>
          <w:noProof/>
          <w:vertAlign w:val="superscript"/>
          <w:lang w:val="en-US"/>
        </w:rPr>
        <w:t>22</w:t>
      </w:r>
      <w:r w:rsidR="004343C0" w:rsidRPr="0003073C">
        <w:rPr>
          <w:lang w:val="en-US"/>
        </w:rPr>
        <w:fldChar w:fldCharType="end"/>
      </w:r>
      <w:r w:rsidR="00580497" w:rsidRPr="0003073C">
        <w:rPr>
          <w:lang w:val="en-US"/>
        </w:rPr>
        <w:t xml:space="preserve">. </w:t>
      </w:r>
    </w:p>
    <w:p w14:paraId="7FF7914B" w14:textId="52D1ABC3" w:rsidR="007160A6" w:rsidRPr="0003073C" w:rsidRDefault="00867660" w:rsidP="007419B4">
      <w:pPr>
        <w:spacing w:line="480" w:lineRule="auto"/>
        <w:rPr>
          <w:lang w:val="en-US"/>
        </w:rPr>
      </w:pPr>
      <w:r w:rsidRPr="0003073C">
        <w:rPr>
          <w:rFonts w:eastAsiaTheme="minorEastAsia"/>
          <w:lang w:val="en-US" w:eastAsia="ja-JP"/>
        </w:rPr>
        <w:t xml:space="preserve">Previous studies showed </w:t>
      </w:r>
      <w:r w:rsidR="00831F22" w:rsidRPr="0003073C">
        <w:rPr>
          <w:rFonts w:eastAsiaTheme="minorEastAsia"/>
          <w:lang w:val="en-US" w:eastAsia="ja-JP"/>
        </w:rPr>
        <w:t>t</w:t>
      </w:r>
      <w:r w:rsidR="00EC6694" w:rsidRPr="0003073C">
        <w:rPr>
          <w:rFonts w:eastAsiaTheme="minorEastAsia"/>
          <w:lang w:val="en-US" w:eastAsia="ja-JP"/>
        </w:rPr>
        <w:t>h</w:t>
      </w:r>
      <w:r w:rsidR="005A75F1" w:rsidRPr="0003073C">
        <w:rPr>
          <w:rFonts w:eastAsiaTheme="minorEastAsia"/>
          <w:lang w:val="en-US" w:eastAsia="ja-JP"/>
        </w:rPr>
        <w:t>at</w:t>
      </w:r>
      <w:r w:rsidR="00831F22" w:rsidRPr="0003073C">
        <w:rPr>
          <w:rFonts w:eastAsiaTheme="minorEastAsia"/>
          <w:lang w:val="en-US" w:eastAsia="ja-JP"/>
        </w:rPr>
        <w:t xml:space="preserve"> </w:t>
      </w:r>
      <w:r w:rsidR="00831F22" w:rsidRPr="0003073C">
        <w:rPr>
          <w:rFonts w:eastAsiaTheme="minorEastAsia"/>
          <w:i/>
          <w:lang w:val="en-US" w:eastAsia="ja-JP"/>
        </w:rPr>
        <w:t>individual</w:t>
      </w:r>
      <w:r w:rsidR="00831F22" w:rsidRPr="0003073C">
        <w:rPr>
          <w:rFonts w:eastAsiaTheme="minorEastAsia"/>
          <w:lang w:val="en-US" w:eastAsia="ja-JP"/>
        </w:rPr>
        <w:t xml:space="preserve"> drug classes </w:t>
      </w:r>
      <w:r w:rsidR="005A75F1" w:rsidRPr="0003073C">
        <w:rPr>
          <w:rFonts w:eastAsiaTheme="minorEastAsia"/>
          <w:lang w:val="en-US" w:eastAsia="ja-JP"/>
        </w:rPr>
        <w:t xml:space="preserve">of </w:t>
      </w:r>
      <w:proofErr w:type="spellStart"/>
      <w:r w:rsidR="005A75F1" w:rsidRPr="0003073C">
        <w:rPr>
          <w:rFonts w:eastAsiaTheme="minorEastAsia"/>
          <w:lang w:val="en-US" w:eastAsia="ja-JP"/>
        </w:rPr>
        <w:t>ACEi</w:t>
      </w:r>
      <w:proofErr w:type="spellEnd"/>
      <w:r w:rsidR="005A75F1" w:rsidRPr="0003073C">
        <w:rPr>
          <w:rFonts w:eastAsiaTheme="minorEastAsia"/>
          <w:lang w:val="en-US" w:eastAsia="ja-JP"/>
        </w:rPr>
        <w:t xml:space="preserve">/ARB and </w:t>
      </w:r>
      <w:r w:rsidR="005A75F1" w:rsidRPr="0003073C">
        <w:rPr>
          <w:lang w:val="en-GB"/>
        </w:rPr>
        <w:t>β-blocker were</w:t>
      </w:r>
      <w:r w:rsidR="00EC6694" w:rsidRPr="0003073C">
        <w:rPr>
          <w:rFonts w:eastAsiaTheme="minorEastAsia"/>
          <w:lang w:val="en-US" w:eastAsia="ja-JP"/>
        </w:rPr>
        <w:t xml:space="preserve"> </w:t>
      </w:r>
      <w:r w:rsidR="00831F22" w:rsidRPr="0003073C">
        <w:rPr>
          <w:rFonts w:eastAsiaTheme="minorEastAsia"/>
          <w:lang w:val="en-US" w:eastAsia="ja-JP"/>
        </w:rPr>
        <w:t xml:space="preserve">under-dosed </w:t>
      </w:r>
      <w:r w:rsidR="005A75F1" w:rsidRPr="0003073C">
        <w:rPr>
          <w:rFonts w:eastAsiaTheme="minorEastAsia"/>
          <w:lang w:val="en-US" w:eastAsia="ja-JP"/>
        </w:rPr>
        <w:t xml:space="preserve">among patients with HFrEF </w:t>
      </w:r>
      <w:r w:rsidR="00831F22" w:rsidRPr="0003073C">
        <w:rPr>
          <w:rFonts w:eastAsiaTheme="minorEastAsia"/>
          <w:lang w:val="en-US" w:eastAsia="ja-JP"/>
        </w:rPr>
        <w:t>in many parts of Europe and Asi</w:t>
      </w:r>
      <w:r w:rsidR="00762136" w:rsidRPr="0003073C">
        <w:rPr>
          <w:rFonts w:eastAsiaTheme="minorEastAsia"/>
          <w:lang w:val="en-US" w:eastAsia="ja-JP"/>
        </w:rPr>
        <w:t>a</w:t>
      </w:r>
      <w:r w:rsidR="003E15D4" w:rsidRPr="0003073C">
        <w:rPr>
          <w:rFonts w:eastAsiaTheme="minorEastAsia"/>
          <w:lang w:val="en-US" w:eastAsia="ja-JP"/>
        </w:rPr>
        <w:fldChar w:fldCharType="begin" w:fldLock="1"/>
      </w:r>
      <w:r w:rsidR="00891E5E" w:rsidRPr="0003073C">
        <w:rPr>
          <w:rFonts w:eastAsiaTheme="minorEastAsia"/>
          <w:lang w:val="en-US" w:eastAsia="ja-JP"/>
        </w:rPr>
        <w:instrText>ADDIN CSL_CITATION {"citationItems":[{"id":"ITEM-1","itemData":{"DOI":"10.1093/eurheartj/ehx026","ISBN":"2076792171","ISSN":"15229645","PMID":"27899565","abstract":"Introduction Despite clear guidelines recommendations, most patients with heart failure and reduced ejection–fraction (HFrEF) do not attain guideline-recommended target doses. We aimed to investigate characteristics and for treatment-indication-bias corrected clinical outcome of patients with HFrEF that did not reach recommended treatment doses of ACE-inhibitors/Angiotensin receptor blockers (ARBs) and/or beta-blockers. BIOSTAT-CHF was specifically designed to study uptitration of ACE-inhibitors/ARBs and/or beta-blockers in 2516 heart failure patients from 69 centres in 11 European countries who were selected if they were suboptimally treated while initiation or uptitration was anticipated and encouraged. Patients who died during the uptitration period (n = 151) and patients with a LVEF &gt; 40% (n = 242) were excluded. Median follow up was 21 months. We studied 2100 HFrEF patients (76% male; mean age 68 ±12), of which 22% achieved the recommended treatment dose for ACE-inhibitor/ ARB and 12% of beta-blocker. There were marked differences between European countries. Reaching &lt;50% of the rec-ommended ACE-inhibitor/ARB and beta-blocker dose was associated with an increased risk of death and/or heart fail-ure hospitalization. Patients reaching 50–99% of the recommended ACE-inhibitor/ARB and/or beta-blocker dose had comparable risk of death and/or heart failure hospitalization to those reaching &gt; _100%. Patients not reaching recom-mended dose because of symptoms, side effects and non-cardiac organ dysfunction had the highest mortality rate (for ACE-inhibitor/ARB: HR 1.72; 95% CI 1.43–2.01; for beta-blocker: HR 1.70; 95% CI 1.36–2.05). Patients with HFrEF who were treated with less than 50% of recommended dose of ACE-inhibitors/ARBs and beta-blockers seemed to have a greater risk of death and/or heart failure hospitalization compared with patients reaching &gt; _100%.","author":[{"dropping-particle":"","family":"Ouwerkerk","given":"W.","non-dropping-particle":"","parse-names":false,"suffix":""},{"dropping-particle":"","family":"Voors","given":"A. A.","non-dropping-particle":"","parse-names":false,"suffix":""},{"dropping-particle":"","family":"Anker","given":"S. D.","non-dropping-particle":"","parse-names":false,"suffix":""},{"dropping-particle":"","family":"Cleland","given":"J. G.","non-dropping-particle":"","parse-names":false,"suffix":""},{"dropping-particle":"","family":"Dickstein","given":"K.","non-dropping-particle":"","parse-names":false,"suffix":""},{"dropping-particle":"","family":"Filippatos","given":"G.","non-dropping-particle":"","parse-names":false,"suffix":""},{"dropping-particle":"","family":"Harst","given":"P.","non-dropping-particle":"Van Der","parse-names":false,"suffix":""},{"dropping-particle":"","family":"Hillege","given":"H. L.","non-dropping-particle":"","parse-names":false,"suffix":""},{"dropping-particle":"","family":"Lang","given":"C. C.","non-dropping-particle":"","parse-names":false,"suffix":""},{"dropping-particle":"","family":"Maaten","given":"J. M.","non-dropping-particle":"Ter","parse-names":false,"suffix":""},{"dropping-particle":"","family":"Ng","given":"L. L.","non-dropping-particle":"","parse-names":false,"suffix":""},{"dropping-particle":"","family":"Ponikowski","given":"P.","non-dropping-particle":"","parse-names":false,"suffix":""},{"dropping-particle":"","family":"Samani","given":"N. J.","non-dropping-particle":"","parse-names":false,"suffix":""},{"dropping-particle":"","family":"Veldhuisen","given":"D. J.","non-dropping-particle":"Van","parse-names":false,"suffix":""},{"dropping-particle":"","family":"Zannad","given":"F.","non-dropping-particle":"","parse-names":false,"suffix":""},{"dropping-particle":"","family":"Metra","given":"M.","non-dropping-particle":"","parse-names":false,"suffix":""},{"dropping-particle":"","family":"Zwinderman","given":"A. H.","non-dropping-particle":"","parse-names":false,"suffix":""}],"container-title":"European Heart Journal","id":"ITEM-1","issue":"24","issued":{"date-parts":[["2017"]]},"page":"1883-1890","title":"Determinants and clinical outcome of uptitration of ACE-inhibitors and beta-blockers in patients with heart failure: A prospective European study","type":"article-journal","volume":"38"},"uris":["http://www.mendeley.com/documents/?uuid=a4fb182b-b848-48db-aa90-64a5852de2da"]},{"id":"ITEM-2","itemData":{"DOI":"10.1016/S2214-109X(18)30306-1","ISSN":"2214-109X","PMID":"30103979","abstract":"BACKGROUND Angiotensin-converting enzyme (ACE) inhibitors or angiotensin II receptor blockers (ARBs), β blockers, and mineralocorticoid receptor antagonists (MRAs) are of proven benefit and are recommended by guidelines for management of patients with heart failure and reduced ejection fraction (HFrEF). We aimed to examine the first prospective multinational data from Asia on prescribing patterns of guideline-directed medical therapies and analyse its effect on outcomes. METHODS In the prospective multinational ASIAN-HF registry (with enrolment from 46 centres in 11 countries in Asia), we enrolled patients aged 18 years or older, with symptomatic heart failure (stage C, with at least one episode of decompensated heart failure in the past 6 mon</w:instrText>
      </w:r>
      <w:r w:rsidR="00891E5E" w:rsidRPr="0003073C">
        <w:rPr>
          <w:rFonts w:eastAsiaTheme="minorEastAsia" w:hint="eastAsia"/>
          <w:lang w:val="en-US" w:eastAsia="ja-JP"/>
        </w:rPr>
        <w:instrText xml:space="preserve">ths that resulted in admission to hospital or was treated in an outpatient clinic) and left ventricular systolic dysfunction (ejection fraction </w:instrText>
      </w:r>
      <w:r w:rsidR="00891E5E" w:rsidRPr="0003073C">
        <w:rPr>
          <w:rFonts w:eastAsiaTheme="minorEastAsia" w:hint="eastAsia"/>
          <w:lang w:val="en-US" w:eastAsia="ja-JP"/>
        </w:rPr>
        <w:instrText>≤</w:instrText>
      </w:r>
      <w:r w:rsidR="00891E5E" w:rsidRPr="0003073C">
        <w:rPr>
          <w:rFonts w:eastAsiaTheme="minorEastAsia" w:hint="eastAsia"/>
          <w:lang w:val="en-US" w:eastAsia="ja-JP"/>
        </w:rPr>
        <w:instrText>40% on baseline echocardiography, consistent with 2016 European Society of Cardiology guidelines). We excluded</w:instrText>
      </w:r>
      <w:r w:rsidR="00891E5E" w:rsidRPr="0003073C">
        <w:rPr>
          <w:rFonts w:eastAsiaTheme="minorEastAsia"/>
          <w:lang w:val="en-US" w:eastAsia="ja-JP"/>
        </w:rPr>
        <w:instrText xml:space="preserve"> patients with heart failure caused by severe valvular heart disease, life-threatening comorbidity with a life expectancy of less than 1 year, who were unable or unwilling to give consent, or who had concurrent participation in a clinical trial. Patients were followed up for 3 years for the outcomes of death and cause-specific admittance to hospital. Primary outcomes were uptake of guideline-directed medical therapies (as proportions) by therapeutic class, achieved doses as proportions of guideline-recommended doses, and their association with 1-year composite outcome of all-cause death or admittance to hospital because of heart failure. This study is registered with ClinicalTrials.gov, number NCT01633398. FINDINGS Between Oct 1, 2012, and Dec 31, 2015, we enrolled 5276 patients with HFrEF (mean age 59·6 years [SD 13·2], 77% men, body-mass index 24·9 kg/m2 [5·1], 33% New York Heart Association class III or IV). Follow-up data were available for 4544 (90%) of 5061 eligible patients taking medication for heart failure, with median follow-up of 417 days (IQR 214-735). ACE inhibitors or ARBs were prescribed to 3868 (77%) of 5005 patients, β blockers to 3975 (79%) of 5061, and MRAs to 2998 (58%) of 5205, with substantial regional variation. Guideline-recommended dose was achieved in only 17% of cases for ACE inhibitors or ARB, 13% for β blockers, and 29% for MRAs. Country (all three drug classes), increasing body-mass index (ACE inhibitors or ARBs and MRAs), and in-pati…","author":[{"dropping-particle":"","family":"Teng","given":"Tiew-Hwa K","non-dropping-particle":"","parse-names":false,"suffix":""},{"dropping-particle":"","family":"Tromp","given":"Jasper","non-dropping-particle":"","parse-names":false,"suffix":""},{"dropping-particle":"","family":"Tay","given":"Wan Ting","non-dropping-particle":"","parse-names":false,"suffix":""},{"dropping-particle":"","family":"Anand","given":"Inder","non-dropping-particle":"","parse-names":false,"suffix":""},{"dropping-particle":"","family":"Ouwerkerk","given":"Wouter","non-dropping-particle":"","parse-names":false,"suffix":""},{"dropping-particle":"","family":"Chopra","given":"Vijay","non-dropping-particle":"","parse-names":false,"suffix":""},{"dropping-particle":"","family":"Wander","given":"Gurpreet S.","non-dropping-particle":"","parse-names":false,"suffix":""},{"dropping-particle":"","family":"Yap","given":"Jonathan JL","non-dropping-particle":"","parse-names":false,"suffix":""},{"dropping-particle":"","family":"MacDonald","given":"Michael R.","non-dropping-particle":"","parse-names":false,"suffix":""},{"dropping-particle":"","family":"Xu","given":"Chang Fen","non-dropping-particle":"","parse-names":false,"suffix":""},{"dropping-particle":"","family":"Chia","given":"Yvonne MF","non-dropping-particle":"","parse-names":false,"suffix":""},{"dropping-particle":"","family":"Shimizu","given":"Wataru","non-dropping-particle":"","parse-names":false,"suffix":""},{"dropping-particle":"","family":"ASIAN-HF investigators","given":"","non-dropping-particle":"","parse-names":false,"suffix":""},{"dropping-particle":"","family":"Richards","given":"A. Mark","non-dropping-particle":"","parse-names":false,"suffix":""},{"dropping-particle":"","family":"Voors","given":"Adriaan","non-dropping-particle":"","parse-names":false,"suffix":""},{"dropping-particle":"","family":"Lam","given":"Carolyn SP","non-dropping-particle":"","parse-names":false,"suffix":""}],"container-title":"The Lancet. Global health","id":"ITEM-2","issue":"9","issued":{"date-parts":[["2018"]]},"page":"e1008-e1018","publisher":"The Author(s). Published by Elsevier Ltd. This is an open access article under the CC BY-NC-ND 4.0 license","title":"Prescribing patterns of evidence-based heart failure pharmacotherapy and outcomes in the ASIAN-HF registry: a cohort study.","type":"article-journal","volume":"6"},"uris":["http://www.mendeley.com/documents/?uuid=62cfceaf-e285-4d45-9b45-888441d182f2"]}],"mendeley":{"formattedCitation":"&lt;sup&gt;20,21&lt;/sup&gt;","plainTextFormattedCitation":"20,21","previouslyFormattedCitation":"&lt;sup&gt;20,21&lt;/sup&gt;"},"properties":{"noteIndex":0},"schema":"https://github.com/citation-style-language/schema/raw/master/csl-citation.json"}</w:instrText>
      </w:r>
      <w:r w:rsidR="003E15D4" w:rsidRPr="0003073C">
        <w:rPr>
          <w:rFonts w:eastAsiaTheme="minorEastAsia"/>
          <w:lang w:val="en-US" w:eastAsia="ja-JP"/>
        </w:rPr>
        <w:fldChar w:fldCharType="separate"/>
      </w:r>
      <w:r w:rsidR="00891E5E" w:rsidRPr="0003073C">
        <w:rPr>
          <w:rFonts w:eastAsiaTheme="minorEastAsia"/>
          <w:noProof/>
          <w:vertAlign w:val="superscript"/>
          <w:lang w:val="en-US" w:eastAsia="ja-JP"/>
        </w:rPr>
        <w:t>20,21</w:t>
      </w:r>
      <w:r w:rsidR="003E15D4" w:rsidRPr="0003073C">
        <w:rPr>
          <w:rFonts w:eastAsiaTheme="minorEastAsia"/>
          <w:lang w:val="en-US" w:eastAsia="ja-JP"/>
        </w:rPr>
        <w:fldChar w:fldCharType="end"/>
      </w:r>
      <w:r w:rsidR="00762136" w:rsidRPr="0003073C">
        <w:rPr>
          <w:rFonts w:eastAsiaTheme="minorEastAsia"/>
          <w:lang w:val="en-US" w:eastAsia="ja-JP"/>
        </w:rPr>
        <w:t>.</w:t>
      </w:r>
      <w:r w:rsidR="00831F22" w:rsidRPr="0003073C">
        <w:rPr>
          <w:rFonts w:eastAsiaTheme="minorEastAsia"/>
          <w:lang w:val="en-US" w:eastAsia="ja-JP"/>
        </w:rPr>
        <w:t xml:space="preserve"> </w:t>
      </w:r>
      <w:r w:rsidR="008D5B1F" w:rsidRPr="0003073C">
        <w:rPr>
          <w:rFonts w:eastAsiaTheme="minorEastAsia"/>
          <w:lang w:val="en-US" w:eastAsia="ja-JP"/>
        </w:rPr>
        <w:t xml:space="preserve">However, </w:t>
      </w:r>
      <w:r w:rsidR="004F63EE" w:rsidRPr="0003073C">
        <w:rPr>
          <w:rFonts w:eastAsiaTheme="minorEastAsia"/>
          <w:lang w:val="en-US" w:eastAsia="ja-JP"/>
        </w:rPr>
        <w:t xml:space="preserve">we </w:t>
      </w:r>
      <w:r w:rsidR="005A75F1" w:rsidRPr="0003073C">
        <w:rPr>
          <w:rFonts w:eastAsiaTheme="minorEastAsia"/>
          <w:lang w:val="en-US" w:eastAsia="ja-JP"/>
        </w:rPr>
        <w:t>did not previously examine</w:t>
      </w:r>
      <w:r w:rsidR="004F63EE" w:rsidRPr="0003073C">
        <w:rPr>
          <w:rFonts w:eastAsiaTheme="minorEastAsia"/>
          <w:lang w:val="en-US" w:eastAsia="ja-JP"/>
        </w:rPr>
        <w:t xml:space="preserve"> the effect of</w:t>
      </w:r>
      <w:r w:rsidR="00F97FB6" w:rsidRPr="0003073C">
        <w:rPr>
          <w:rFonts w:eastAsiaTheme="minorEastAsia"/>
          <w:lang w:val="en-US" w:eastAsia="ja-JP"/>
        </w:rPr>
        <w:t xml:space="preserve"> </w:t>
      </w:r>
      <w:r w:rsidR="00F97FB6" w:rsidRPr="0003073C">
        <w:rPr>
          <w:rFonts w:eastAsiaTheme="minorEastAsia"/>
          <w:i/>
          <w:lang w:val="en-US" w:eastAsia="ja-JP"/>
        </w:rPr>
        <w:t>combination</w:t>
      </w:r>
      <w:r w:rsidR="00F97FB6" w:rsidRPr="0003073C">
        <w:rPr>
          <w:rFonts w:eastAsiaTheme="minorEastAsia"/>
          <w:lang w:val="en-US" w:eastAsia="ja-JP"/>
        </w:rPr>
        <w:t xml:space="preserve"> therapies</w:t>
      </w:r>
      <w:r w:rsidR="004F63EE" w:rsidRPr="0003073C">
        <w:rPr>
          <w:rFonts w:eastAsiaTheme="minorEastAsia"/>
          <w:lang w:val="en-US" w:eastAsia="ja-JP"/>
        </w:rPr>
        <w:t xml:space="preserve"> on outcomes</w:t>
      </w:r>
      <w:r w:rsidR="00F97FB6" w:rsidRPr="0003073C">
        <w:rPr>
          <w:rFonts w:eastAsiaTheme="minorEastAsia"/>
          <w:lang w:val="en-US" w:eastAsia="ja-JP"/>
        </w:rPr>
        <w:t>. In the current study</w:t>
      </w:r>
      <w:r w:rsidR="00C8041E" w:rsidRPr="0003073C">
        <w:rPr>
          <w:rFonts w:eastAsiaTheme="minorEastAsia"/>
          <w:lang w:val="en-US" w:eastAsia="ja-JP"/>
        </w:rPr>
        <w:t xml:space="preserve">, </w:t>
      </w:r>
      <w:r w:rsidR="00F97FB6" w:rsidRPr="0003073C">
        <w:rPr>
          <w:rFonts w:eastAsiaTheme="minorEastAsia"/>
          <w:lang w:val="en-US" w:eastAsia="ja-JP"/>
        </w:rPr>
        <w:t xml:space="preserve">we aimed to determine the association of </w:t>
      </w:r>
      <w:r w:rsidR="00F97FB6" w:rsidRPr="0003073C">
        <w:rPr>
          <w:rFonts w:eastAsiaTheme="minorEastAsia"/>
          <w:i/>
          <w:lang w:val="en-US" w:eastAsia="ja-JP"/>
        </w:rPr>
        <w:t>combined</w:t>
      </w:r>
      <w:r w:rsidR="00F97FB6" w:rsidRPr="0003073C">
        <w:rPr>
          <w:rFonts w:eastAsiaTheme="minorEastAsia"/>
          <w:lang w:val="en-US" w:eastAsia="ja-JP"/>
        </w:rPr>
        <w:t xml:space="preserve"> up-titration of </w:t>
      </w:r>
      <w:proofErr w:type="spellStart"/>
      <w:r w:rsidR="004F63EE" w:rsidRPr="0003073C">
        <w:rPr>
          <w:lang w:val="en-GB"/>
        </w:rPr>
        <w:t>ACEi</w:t>
      </w:r>
      <w:proofErr w:type="spellEnd"/>
      <w:r w:rsidR="004F63EE" w:rsidRPr="0003073C">
        <w:rPr>
          <w:lang w:val="en-GB"/>
        </w:rPr>
        <w:t xml:space="preserve">/ARB </w:t>
      </w:r>
      <w:r w:rsidR="00F97FB6" w:rsidRPr="0003073C">
        <w:rPr>
          <w:rFonts w:eastAsiaTheme="minorEastAsia"/>
          <w:lang w:val="en-US" w:eastAsia="ja-JP"/>
        </w:rPr>
        <w:t xml:space="preserve">and β-blockers </w:t>
      </w:r>
      <w:r w:rsidR="001D7F0D" w:rsidRPr="0003073C">
        <w:rPr>
          <w:rFonts w:eastAsiaTheme="minorEastAsia"/>
          <w:lang w:val="en-US" w:eastAsia="ja-JP"/>
        </w:rPr>
        <w:t>with</w:t>
      </w:r>
      <w:r w:rsidR="00F97FB6" w:rsidRPr="0003073C">
        <w:rPr>
          <w:rFonts w:eastAsiaTheme="minorEastAsia"/>
          <w:lang w:val="en-US" w:eastAsia="ja-JP"/>
        </w:rPr>
        <w:t xml:space="preserve"> </w:t>
      </w:r>
      <w:r w:rsidR="00CF4D53" w:rsidRPr="0003073C">
        <w:rPr>
          <w:rFonts w:eastAsiaTheme="minorEastAsia"/>
          <w:lang w:val="en-US" w:eastAsia="ja-JP"/>
        </w:rPr>
        <w:t xml:space="preserve">the </w:t>
      </w:r>
      <w:r w:rsidR="00C77AF4" w:rsidRPr="0003073C">
        <w:rPr>
          <w:rFonts w:eastAsiaTheme="minorEastAsia"/>
          <w:lang w:val="en-US" w:eastAsia="ja-JP"/>
        </w:rPr>
        <w:t>first occurrence of</w:t>
      </w:r>
      <w:r w:rsidR="00CF4D53" w:rsidRPr="0003073C">
        <w:rPr>
          <w:rFonts w:eastAsiaTheme="minorEastAsia"/>
          <w:lang w:val="en-US" w:eastAsia="ja-JP"/>
        </w:rPr>
        <w:t xml:space="preserve"> </w:t>
      </w:r>
      <w:r w:rsidR="00F97FB6" w:rsidRPr="0003073C">
        <w:rPr>
          <w:rFonts w:eastAsiaTheme="minorEastAsia"/>
          <w:lang w:val="en-US" w:eastAsia="ja-JP"/>
        </w:rPr>
        <w:t xml:space="preserve">all-cause mortality or hospitalization for HF </w:t>
      </w:r>
      <w:r w:rsidR="00D763BD" w:rsidRPr="0003073C">
        <w:rPr>
          <w:rFonts w:eastAsiaTheme="minorEastAsia"/>
          <w:lang w:val="en-US" w:eastAsia="ja-JP"/>
        </w:rPr>
        <w:t xml:space="preserve">and </w:t>
      </w:r>
      <w:r w:rsidR="00CF4D53" w:rsidRPr="0003073C">
        <w:rPr>
          <w:rFonts w:eastAsiaTheme="minorEastAsia"/>
          <w:lang w:val="en-US" w:eastAsia="ja-JP"/>
        </w:rPr>
        <w:t>all-cause mortality</w:t>
      </w:r>
      <w:r w:rsidR="00D763BD" w:rsidRPr="0003073C">
        <w:rPr>
          <w:rFonts w:eastAsiaTheme="minorEastAsia"/>
          <w:lang w:val="en-US" w:eastAsia="ja-JP"/>
        </w:rPr>
        <w:t xml:space="preserve"> in</w:t>
      </w:r>
      <w:r w:rsidR="00F97FB6" w:rsidRPr="0003073C">
        <w:rPr>
          <w:rFonts w:eastAsiaTheme="minorEastAsia"/>
          <w:lang w:val="en-US" w:eastAsia="ja-JP"/>
        </w:rPr>
        <w:t xml:space="preserve"> patients with HFrEF.</w:t>
      </w:r>
      <w:r w:rsidR="00F1409E" w:rsidRPr="0003073C">
        <w:rPr>
          <w:rFonts w:eastAsiaTheme="minorEastAsia"/>
          <w:lang w:val="en-US" w:eastAsia="ja-JP"/>
        </w:rPr>
        <w:t xml:space="preserve"> </w:t>
      </w:r>
      <w:r w:rsidR="001021A2" w:rsidRPr="0003073C">
        <w:rPr>
          <w:lang w:val="en-US"/>
        </w:rPr>
        <w:t xml:space="preserve">Specifically, </w:t>
      </w:r>
      <w:r w:rsidR="005A75F1" w:rsidRPr="0003073C">
        <w:rPr>
          <w:lang w:val="en-US"/>
        </w:rPr>
        <w:t>we aimed to address</w:t>
      </w:r>
      <w:r w:rsidR="001021A2" w:rsidRPr="0003073C">
        <w:rPr>
          <w:lang w:val="en-US"/>
        </w:rPr>
        <w:t xml:space="preserve"> two</w:t>
      </w:r>
      <w:r w:rsidR="007160A6" w:rsidRPr="0003073C">
        <w:rPr>
          <w:lang w:val="en-US"/>
        </w:rPr>
        <w:t xml:space="preserve"> </w:t>
      </w:r>
      <w:r w:rsidR="001021A2" w:rsidRPr="0003073C">
        <w:rPr>
          <w:lang w:val="en-US"/>
        </w:rPr>
        <w:t>key</w:t>
      </w:r>
      <w:r w:rsidR="007160A6" w:rsidRPr="0003073C">
        <w:rPr>
          <w:lang w:val="en-US"/>
        </w:rPr>
        <w:t xml:space="preserve"> questions</w:t>
      </w:r>
      <w:r w:rsidR="001021A2" w:rsidRPr="0003073C">
        <w:rPr>
          <w:lang w:val="en-US"/>
        </w:rPr>
        <w:t xml:space="preserve"> in clinical practice</w:t>
      </w:r>
      <w:r w:rsidR="007160A6" w:rsidRPr="0003073C">
        <w:rPr>
          <w:lang w:val="en-US"/>
        </w:rPr>
        <w:t>:</w:t>
      </w:r>
    </w:p>
    <w:p w14:paraId="578DF1CA" w14:textId="7F59C813" w:rsidR="007160A6" w:rsidRPr="0003073C" w:rsidRDefault="007160A6" w:rsidP="007419B4">
      <w:pPr>
        <w:spacing w:line="480" w:lineRule="auto"/>
        <w:rPr>
          <w:lang w:val="en-US"/>
        </w:rPr>
      </w:pPr>
      <w:r w:rsidRPr="0003073C">
        <w:rPr>
          <w:lang w:val="en-US"/>
        </w:rPr>
        <w:t>1.</w:t>
      </w:r>
      <w:r w:rsidRPr="0003073C">
        <w:rPr>
          <w:lang w:val="en-US"/>
        </w:rPr>
        <w:tab/>
      </w:r>
      <w:r w:rsidR="00BD5605" w:rsidRPr="0003073C">
        <w:rPr>
          <w:lang w:val="en-US"/>
        </w:rPr>
        <w:t xml:space="preserve">Are </w:t>
      </w:r>
      <w:r w:rsidRPr="0003073C">
        <w:rPr>
          <w:lang w:val="en-US"/>
        </w:rPr>
        <w:t xml:space="preserve">better </w:t>
      </w:r>
      <w:r w:rsidR="00BD5605" w:rsidRPr="0003073C">
        <w:rPr>
          <w:lang w:val="en-US"/>
        </w:rPr>
        <w:t xml:space="preserve">outcomes </w:t>
      </w:r>
      <w:r w:rsidR="005A75F1" w:rsidRPr="0003073C">
        <w:rPr>
          <w:lang w:val="en-US"/>
        </w:rPr>
        <w:t>associated with low</w:t>
      </w:r>
      <w:r w:rsidR="00087D5B" w:rsidRPr="0003073C">
        <w:rPr>
          <w:lang w:val="en-US"/>
        </w:rPr>
        <w:t>er</w:t>
      </w:r>
      <w:r w:rsidR="005A75F1" w:rsidRPr="0003073C">
        <w:rPr>
          <w:lang w:val="en-US"/>
        </w:rPr>
        <w:t xml:space="preserve"> combined doses of both </w:t>
      </w:r>
      <w:proofErr w:type="spellStart"/>
      <w:r w:rsidR="005A75F1" w:rsidRPr="0003073C">
        <w:rPr>
          <w:rFonts w:eastAsiaTheme="minorEastAsia"/>
          <w:lang w:val="en-US" w:eastAsia="ja-JP"/>
        </w:rPr>
        <w:t>ACEi</w:t>
      </w:r>
      <w:proofErr w:type="spellEnd"/>
      <w:r w:rsidR="005A75F1" w:rsidRPr="0003073C">
        <w:rPr>
          <w:rFonts w:eastAsiaTheme="minorEastAsia"/>
          <w:lang w:val="en-US" w:eastAsia="ja-JP"/>
        </w:rPr>
        <w:t xml:space="preserve">/ARB and </w:t>
      </w:r>
      <w:r w:rsidR="005A75F1" w:rsidRPr="0003073C">
        <w:rPr>
          <w:lang w:val="en-GB"/>
        </w:rPr>
        <w:t>β-blocker</w:t>
      </w:r>
      <w:r w:rsidR="00E2024E" w:rsidRPr="0003073C">
        <w:rPr>
          <w:lang w:val="en-GB"/>
        </w:rPr>
        <w:t>s,</w:t>
      </w:r>
      <w:r w:rsidR="005A75F1" w:rsidRPr="0003073C">
        <w:rPr>
          <w:lang w:val="en-GB"/>
        </w:rPr>
        <w:t xml:space="preserve"> versus </w:t>
      </w:r>
      <w:r w:rsidR="00087D5B" w:rsidRPr="0003073C">
        <w:rPr>
          <w:lang w:val="en-US"/>
        </w:rPr>
        <w:t xml:space="preserve">the </w:t>
      </w:r>
      <w:r w:rsidR="005A75F1" w:rsidRPr="0003073C">
        <w:rPr>
          <w:lang w:val="en-US"/>
        </w:rPr>
        <w:t>high</w:t>
      </w:r>
      <w:r w:rsidR="00087D5B" w:rsidRPr="0003073C">
        <w:rPr>
          <w:lang w:val="en-US"/>
        </w:rPr>
        <w:t xml:space="preserve"> target</w:t>
      </w:r>
      <w:r w:rsidR="005A75F1" w:rsidRPr="0003073C">
        <w:rPr>
          <w:lang w:val="en-US"/>
        </w:rPr>
        <w:t xml:space="preserve"> doses</w:t>
      </w:r>
      <w:r w:rsidR="00BD5605" w:rsidRPr="0003073C">
        <w:rPr>
          <w:lang w:val="en-US"/>
        </w:rPr>
        <w:t xml:space="preserve"> of </w:t>
      </w:r>
      <w:r w:rsidR="005A75F1" w:rsidRPr="0003073C">
        <w:rPr>
          <w:lang w:val="en-US"/>
        </w:rPr>
        <w:t xml:space="preserve">either </w:t>
      </w:r>
      <w:r w:rsidR="001021A2" w:rsidRPr="0003073C">
        <w:rPr>
          <w:lang w:val="en-US"/>
        </w:rPr>
        <w:t>β-blocker</w:t>
      </w:r>
      <w:r w:rsidR="00E2024E" w:rsidRPr="0003073C">
        <w:rPr>
          <w:lang w:val="en-US"/>
        </w:rPr>
        <w:t>s</w:t>
      </w:r>
      <w:r w:rsidRPr="0003073C">
        <w:rPr>
          <w:lang w:val="en-US"/>
        </w:rPr>
        <w:t xml:space="preserve"> </w:t>
      </w:r>
      <w:r w:rsidR="005A75F1" w:rsidRPr="0003073C">
        <w:rPr>
          <w:lang w:val="en-US"/>
        </w:rPr>
        <w:t xml:space="preserve">or </w:t>
      </w:r>
      <w:proofErr w:type="spellStart"/>
      <w:r w:rsidR="004F63EE" w:rsidRPr="0003073C">
        <w:rPr>
          <w:lang w:val="en-GB"/>
        </w:rPr>
        <w:t>ACEi</w:t>
      </w:r>
      <w:proofErr w:type="spellEnd"/>
      <w:r w:rsidR="004F63EE" w:rsidRPr="0003073C">
        <w:rPr>
          <w:lang w:val="en-GB"/>
        </w:rPr>
        <w:t>/ARB</w:t>
      </w:r>
      <w:r w:rsidR="00E2024E" w:rsidRPr="0003073C">
        <w:rPr>
          <w:lang w:val="en-GB"/>
        </w:rPr>
        <w:t>s</w:t>
      </w:r>
      <w:r w:rsidR="004F63EE" w:rsidRPr="0003073C">
        <w:rPr>
          <w:lang w:val="en-GB"/>
        </w:rPr>
        <w:t xml:space="preserve"> </w:t>
      </w:r>
      <w:r w:rsidRPr="0003073C">
        <w:rPr>
          <w:lang w:val="en-US"/>
        </w:rPr>
        <w:t>alone?</w:t>
      </w:r>
    </w:p>
    <w:p w14:paraId="580D5311" w14:textId="325D6CF3" w:rsidR="00FA1992" w:rsidRPr="0003073C" w:rsidRDefault="007160A6" w:rsidP="007419B4">
      <w:pPr>
        <w:spacing w:line="480" w:lineRule="auto"/>
        <w:rPr>
          <w:lang w:val="en-US"/>
        </w:rPr>
      </w:pPr>
      <w:r w:rsidRPr="0003073C">
        <w:rPr>
          <w:lang w:val="en-US"/>
        </w:rPr>
        <w:t>2.</w:t>
      </w:r>
      <w:r w:rsidRPr="0003073C">
        <w:rPr>
          <w:lang w:val="en-US"/>
        </w:rPr>
        <w:tab/>
      </w:r>
      <w:r w:rsidR="0026194D" w:rsidRPr="0003073C">
        <w:rPr>
          <w:lang w:val="en-US"/>
        </w:rPr>
        <w:t>In</w:t>
      </w:r>
      <w:r w:rsidR="00B03517" w:rsidRPr="0003073C">
        <w:rPr>
          <w:lang w:val="en-US"/>
        </w:rPr>
        <w:t xml:space="preserve"> </w:t>
      </w:r>
      <w:r w:rsidR="0026194D" w:rsidRPr="0003073C">
        <w:rPr>
          <w:lang w:val="en-US"/>
        </w:rPr>
        <w:t>combination therapy</w:t>
      </w:r>
      <w:r w:rsidR="00B03517" w:rsidRPr="0003073C">
        <w:rPr>
          <w:lang w:val="en-US"/>
        </w:rPr>
        <w:t xml:space="preserve"> of both β-blocker</w:t>
      </w:r>
      <w:r w:rsidR="00E2024E" w:rsidRPr="0003073C">
        <w:rPr>
          <w:lang w:val="en-US"/>
        </w:rPr>
        <w:t>s</w:t>
      </w:r>
      <w:r w:rsidR="00B03517" w:rsidRPr="0003073C">
        <w:rPr>
          <w:lang w:val="en-US"/>
        </w:rPr>
        <w:t xml:space="preserve"> and </w:t>
      </w:r>
      <w:proofErr w:type="spellStart"/>
      <w:r w:rsidR="00B03517" w:rsidRPr="0003073C">
        <w:rPr>
          <w:lang w:val="en-US"/>
        </w:rPr>
        <w:t>ACEi</w:t>
      </w:r>
      <w:proofErr w:type="spellEnd"/>
      <w:r w:rsidR="00B03517" w:rsidRPr="0003073C">
        <w:rPr>
          <w:lang w:val="en-US"/>
        </w:rPr>
        <w:t>/ARB</w:t>
      </w:r>
      <w:r w:rsidR="00E2024E" w:rsidRPr="0003073C">
        <w:rPr>
          <w:lang w:val="en-US"/>
        </w:rPr>
        <w:t>s</w:t>
      </w:r>
      <w:r w:rsidR="00B03517" w:rsidRPr="0003073C">
        <w:rPr>
          <w:lang w:val="en-US"/>
        </w:rPr>
        <w:t>, w</w:t>
      </w:r>
      <w:r w:rsidR="00FA1992" w:rsidRPr="0003073C">
        <w:rPr>
          <w:lang w:val="en-US"/>
        </w:rPr>
        <w:t>hich</w:t>
      </w:r>
      <w:r w:rsidR="00B03517" w:rsidRPr="0003073C">
        <w:rPr>
          <w:lang w:val="en-US"/>
        </w:rPr>
        <w:t xml:space="preserve"> one</w:t>
      </w:r>
      <w:r w:rsidR="00FA1992" w:rsidRPr="0003073C">
        <w:rPr>
          <w:lang w:val="en-US"/>
        </w:rPr>
        <w:t xml:space="preserve"> </w:t>
      </w:r>
      <w:r w:rsidR="00B03517" w:rsidRPr="0003073C">
        <w:rPr>
          <w:lang w:val="en-US"/>
        </w:rPr>
        <w:t>(i.e.</w:t>
      </w:r>
      <w:r w:rsidR="00FA1992" w:rsidRPr="0003073C">
        <w:rPr>
          <w:lang w:val="en-US"/>
        </w:rPr>
        <w:t xml:space="preserve"> </w:t>
      </w:r>
      <w:proofErr w:type="spellStart"/>
      <w:r w:rsidR="00D8354F" w:rsidRPr="0003073C">
        <w:rPr>
          <w:lang w:val="en-GB"/>
        </w:rPr>
        <w:t>ACEi</w:t>
      </w:r>
      <w:proofErr w:type="spellEnd"/>
      <w:r w:rsidR="00D8354F" w:rsidRPr="0003073C">
        <w:rPr>
          <w:lang w:val="en-GB"/>
        </w:rPr>
        <w:t xml:space="preserve">/ARB </w:t>
      </w:r>
      <w:r w:rsidR="00B03517" w:rsidRPr="0003073C">
        <w:rPr>
          <w:lang w:val="en-US"/>
        </w:rPr>
        <w:t xml:space="preserve">or </w:t>
      </w:r>
      <w:r w:rsidR="00D8354F" w:rsidRPr="0003073C">
        <w:rPr>
          <w:lang w:val="en-US"/>
        </w:rPr>
        <w:t>β-blocker</w:t>
      </w:r>
      <w:r w:rsidR="00B03517" w:rsidRPr="0003073C">
        <w:rPr>
          <w:lang w:val="en-US"/>
        </w:rPr>
        <w:t>)</w:t>
      </w:r>
      <w:r w:rsidR="00D8354F" w:rsidRPr="0003073C">
        <w:rPr>
          <w:lang w:val="en-US"/>
        </w:rPr>
        <w:t xml:space="preserve"> </w:t>
      </w:r>
      <w:r w:rsidR="00FA1992" w:rsidRPr="0003073C">
        <w:rPr>
          <w:lang w:val="en-US"/>
        </w:rPr>
        <w:t xml:space="preserve">should have priority </w:t>
      </w:r>
      <w:r w:rsidR="005A75F1" w:rsidRPr="0003073C">
        <w:rPr>
          <w:lang w:val="en-US"/>
        </w:rPr>
        <w:t>during up-titration</w:t>
      </w:r>
      <w:r w:rsidR="00FA1992" w:rsidRPr="0003073C">
        <w:rPr>
          <w:lang w:val="en-US"/>
        </w:rPr>
        <w:t>?</w:t>
      </w:r>
    </w:p>
    <w:p w14:paraId="5A82CF4D" w14:textId="23ACA0A3" w:rsidR="00093BC3" w:rsidRPr="0003073C" w:rsidRDefault="00624780" w:rsidP="007419B4">
      <w:pPr>
        <w:spacing w:line="480" w:lineRule="auto"/>
        <w:rPr>
          <w:lang w:val="en-US"/>
        </w:rPr>
      </w:pPr>
      <w:r w:rsidRPr="0003073C">
        <w:rPr>
          <w:lang w:val="en-US"/>
        </w:rPr>
        <w:lastRenderedPageBreak/>
        <w:t xml:space="preserve">Such practical questions are very unlikely to be answered in further large </w:t>
      </w:r>
      <w:r w:rsidR="00527C22" w:rsidRPr="0003073C">
        <w:rPr>
          <w:lang w:val="en-US"/>
        </w:rPr>
        <w:t>randomized controlled trials</w:t>
      </w:r>
      <w:r w:rsidRPr="0003073C">
        <w:rPr>
          <w:lang w:val="en-US"/>
        </w:rPr>
        <w:t xml:space="preserve">, but yet are clinically very relevant to day-to-day practice. </w:t>
      </w:r>
      <w:r w:rsidR="005A75F1" w:rsidRPr="0003073C">
        <w:rPr>
          <w:lang w:val="en-US"/>
        </w:rPr>
        <w:t xml:space="preserve">We therefore sought to provide </w:t>
      </w:r>
      <w:r w:rsidRPr="0003073C">
        <w:rPr>
          <w:lang w:val="en-US"/>
        </w:rPr>
        <w:t xml:space="preserve">the best available evidence </w:t>
      </w:r>
      <w:r w:rsidR="005A75F1" w:rsidRPr="0003073C">
        <w:rPr>
          <w:lang w:val="en-US"/>
        </w:rPr>
        <w:t xml:space="preserve">from real world data </w:t>
      </w:r>
      <w:r w:rsidRPr="0003073C">
        <w:rPr>
          <w:lang w:val="en-US"/>
        </w:rPr>
        <w:t xml:space="preserve">to guide these clinically important decisions. </w:t>
      </w:r>
    </w:p>
    <w:p w14:paraId="6D77F261" w14:textId="77777777" w:rsidR="00030954" w:rsidRPr="0003073C" w:rsidRDefault="00030954" w:rsidP="007419B4">
      <w:pPr>
        <w:spacing w:line="480" w:lineRule="auto"/>
        <w:rPr>
          <w:lang w:val="en-US"/>
        </w:rPr>
      </w:pPr>
    </w:p>
    <w:p w14:paraId="22BC1E07" w14:textId="10C632BC" w:rsidR="003215EF" w:rsidRPr="0003073C" w:rsidRDefault="0048289E" w:rsidP="007419B4">
      <w:pPr>
        <w:pStyle w:val="Titre1"/>
        <w:ind w:left="0"/>
        <w:rPr>
          <w:rFonts w:cs="Times New Roman"/>
          <w:sz w:val="24"/>
          <w:szCs w:val="24"/>
          <w:lang w:val="en-GB"/>
        </w:rPr>
      </w:pPr>
      <w:r w:rsidRPr="0003073C">
        <w:rPr>
          <w:rFonts w:cs="Times New Roman"/>
          <w:w w:val="110"/>
          <w:sz w:val="24"/>
          <w:szCs w:val="24"/>
          <w:lang w:val="en-GB"/>
        </w:rPr>
        <w:t>Meth</w:t>
      </w:r>
      <w:r w:rsidRPr="0003073C">
        <w:rPr>
          <w:rFonts w:cs="Times New Roman"/>
          <w:spacing w:val="9"/>
          <w:w w:val="110"/>
          <w:sz w:val="24"/>
          <w:szCs w:val="24"/>
          <w:lang w:val="en-GB"/>
        </w:rPr>
        <w:t>o</w:t>
      </w:r>
      <w:r w:rsidRPr="0003073C">
        <w:rPr>
          <w:rFonts w:cs="Times New Roman"/>
          <w:w w:val="110"/>
          <w:sz w:val="24"/>
          <w:szCs w:val="24"/>
          <w:lang w:val="en-GB"/>
        </w:rPr>
        <w:t>ds</w:t>
      </w:r>
    </w:p>
    <w:p w14:paraId="00972250" w14:textId="2AC6AD8A" w:rsidR="003215EF" w:rsidRPr="0003073C" w:rsidRDefault="0048289E" w:rsidP="007419B4">
      <w:pPr>
        <w:pStyle w:val="Titre2"/>
        <w:rPr>
          <w:lang w:val="en-GB"/>
        </w:rPr>
      </w:pPr>
      <w:r w:rsidRPr="0003073C">
        <w:rPr>
          <w:spacing w:val="-9"/>
          <w:w w:val="115"/>
          <w:lang w:val="en-GB"/>
        </w:rPr>
        <w:t>P</w:t>
      </w:r>
      <w:r w:rsidRPr="0003073C">
        <w:rPr>
          <w:spacing w:val="-2"/>
          <w:w w:val="115"/>
          <w:lang w:val="en-GB"/>
        </w:rPr>
        <w:t>a</w:t>
      </w:r>
      <w:r w:rsidRPr="0003073C">
        <w:rPr>
          <w:w w:val="115"/>
          <w:lang w:val="en-GB"/>
        </w:rPr>
        <w:t>tie</w:t>
      </w:r>
      <w:r w:rsidRPr="0003073C">
        <w:rPr>
          <w:spacing w:val="-8"/>
          <w:w w:val="115"/>
          <w:lang w:val="en-GB"/>
        </w:rPr>
        <w:t>n</w:t>
      </w:r>
      <w:r w:rsidRPr="0003073C">
        <w:rPr>
          <w:w w:val="115"/>
          <w:lang w:val="en-GB"/>
        </w:rPr>
        <w:t>t</w:t>
      </w:r>
      <w:r w:rsidRPr="0003073C">
        <w:rPr>
          <w:spacing w:val="48"/>
          <w:w w:val="115"/>
          <w:lang w:val="en-GB"/>
        </w:rPr>
        <w:t xml:space="preserve"> </w:t>
      </w:r>
      <w:r w:rsidRPr="0003073C">
        <w:rPr>
          <w:spacing w:val="9"/>
          <w:w w:val="115"/>
          <w:lang w:val="en-GB"/>
        </w:rPr>
        <w:t>p</w:t>
      </w:r>
      <w:r w:rsidRPr="0003073C">
        <w:rPr>
          <w:w w:val="115"/>
          <w:lang w:val="en-GB"/>
        </w:rPr>
        <w:t>opulation</w:t>
      </w:r>
    </w:p>
    <w:p w14:paraId="4EE0B52F" w14:textId="7AE8197D" w:rsidR="004C164C" w:rsidRPr="0003073C" w:rsidRDefault="0048289E" w:rsidP="007419B4">
      <w:pPr>
        <w:spacing w:line="480" w:lineRule="auto"/>
        <w:rPr>
          <w:lang w:val="en-GB"/>
        </w:rPr>
      </w:pPr>
      <w:r w:rsidRPr="0003073C">
        <w:rPr>
          <w:lang w:val="en-GB"/>
        </w:rPr>
        <w:t xml:space="preserve">The design of </w:t>
      </w:r>
      <w:r w:rsidR="008D1D58" w:rsidRPr="0003073C">
        <w:rPr>
          <w:lang w:val="en-GB"/>
        </w:rPr>
        <w:t>BIOSTAT-CHF and ASIAN-HF registry have been published</w:t>
      </w:r>
      <w:r w:rsidR="004127DE" w:rsidRPr="0003073C">
        <w:rPr>
          <w:lang w:val="en-GB"/>
        </w:rPr>
        <w:fldChar w:fldCharType="begin" w:fldLock="1"/>
      </w:r>
      <w:r w:rsidR="00506798" w:rsidRPr="0003073C">
        <w:rPr>
          <w:lang w:val="en-GB"/>
        </w:rPr>
        <w:instrText>ADDIN CSL_CITATION {"citationItems":[{"id":"ITEM-1","itemData":{"DOI":"10.1002/ejhf.531","ISSN":"1879-0844","PMID":"27126231","abstract":"AIMS Despite major improvements in pharmacological and device treatments, heart failure remains a syndrome with high morbidity and mortality, poor quality of life, and high health-care costs. Given the extensive heterogeneity among patients with heart failure, substantial differences in the response to therapy can be expected. We hypothesize that individualized therapy is an essential next step to improve outcomes in patients with heart failure. METHODS The BIOlogy Study to TAilored Treatment in Chronic Heart Failure (BIOSTAT-CHF) included 2516 patients with worsening signs and/or symptoms of heart failure from 11 European countries, who were considered to be on suboptimal medical treatment. Another 1738 patients from Scotland were included in a validation cohort. Overall, both patient cohorts were well matched. The majority of patients were hospitalized for acute heart failure, and the remainder presented with worsening signs and/or symptoms of heart failure at outpatient clinics. Approximately half of the patients were in New York Heart Association class III, and 7% vs 34% of patients of the index vs validation cohort had heart failure with preserved ejection fraction. According to study design, all patients used diuretics, but owing to the inclusion criteria of both cohorts, patients were not on optimal, evidence-based medical therapy. In the follow-up phase, uptitration to guideline-recommended doses was encouraged. CONCLUSION By using a novel systems biology approach, incorporating demographics, biomarkers, genome-wide analysis, and proteomics, a model that predicts response to therapy will be developed, which should be instrumental in developing alternative therapies for patients with suboptimal response to currently recommended therapies and thus further improve care for patients with heart failure.","author":[{"dropping-particle":"","family":"Voors","given":"Adriaan A","non-dropping-particle":"","parse-names":false,"suffix":""},{"dropping-particle":"","family":"Anker","given":"Stefan D","non-dropping-particle":"","parse-names":false,"suffix":""},{"dropping-particle":"","family":"Cleland","given":"John G","non-dropping-particle":"","parse-names":false,"suffix":""},{"dropping-particle":"","family":"Dickstein","given":"Kenneth","non-dropping-particle":"","parse-names":false,"suffix":""},{"dropping-particle":"","family":"Filippatos","given":"Gerasimos","non-dropping-particle":"","parse-names":false,"suffix":""},{"dropping-particle":"","family":"Harst","given":"Pim","non-dropping-particle":"van der","parse-names":false,"suffix":""},{"dropping-particle":"","family":"Hillege","given":"Hans L","non-dropping-particle":"","parse-names":false,"suffix":""},{"dropping-particle":"","family":"Lang","given":"Chim C","non-dropping-particle":"","parse-names":false,"suffix":""},{"dropping-particle":"","family":"Maaten","given":"Jozine M","non-dropping-particle":"Ter","parse-names":false,"suffix":""},{"dropping-particle":"","family":"Ng","given":"Leong","non-dropping-particle":"","parse-names":false,"suffix":""},{"dropping-particle":"","family":"Ponikowski","given":"Piotr","non-dropping-particle":"","parse-names":false,"suffix":""},{"dropping-particle":"","family":"Samani","given":"Nilesh J","non-dropping-particle":"","parse-names":false,"suffix":""},{"dropping-particle":"","family":"Veldhuisen","given":"Dirk J","non-dropping-particle":"van","parse-names":false,"suffix":""},{"dropping-particle":"","family":"Zannad","given":"Faiz","non-dropping-particle":"","parse-names":false,"suffix":""},{"dropping-particle":"","family":"Zwinderman","given":"Aeilko H","non-dropping-particle":"","parse-names":false,"suffix":""},{"dropping-particle":"","family":"Metra","given":"Marco","non-dropping-particle":"","parse-names":false,"suffix":""}],"container-title":"European journal of heart failure","id":"ITEM-1","issue":"6","issued":{"date-parts":[["2016","6","29"]]},"page":"716-26","title":"A systems BIOlogy Study to TAilored Treatment in Chronic Heart Failure: rationale, design, and baseline characteristics of BIOSTAT-CHF.","type":"article-journal","volume":"18"},"uris":["http://www.mendeley.com/documents/?uuid=cbfd69e6-71de-4f4a-a6fc-1dcc5ca842ac"]},{"id":"ITEM-2","itemData":{"DOI":"10.1093/eurheartj/ehw331","ISBN":"0195-668X","ISSN":"15229645","PMID":"27502121","abstract":"AIMS To characterize regional and ethnic differences in heart failure (HF) across Asia. METHODS AND RESULTS We prospectively studied 5276 patients with stable HF and reduced ejection fraction (≤40%) from 11 Asian regions (China, Hong Kong, India, Indonesia, Japan, Korea, Malaysia, Philippines, Singapore, Taiwan, and Thailand). Mean age was 59.6 ± 13.1 years, 78.2% were men, and mean body mass index was 24.9 ± 5.1 kg/m(2). Majority (64%) of patients had two or more comorbid conditions such as hypertension (51.9%), coronary artery disease (CAD, 50.2%), or diabetes (40.4%). The prevalence of CAD was highest in Southeast Asians (58.8 vs. 38.2% in Northeast Asians). Compared with Chinese ethnicity, Malays (adjusted odds ratio [OR] 1.97, 95% CI 1.63-2.38) and Indians (OR 1.44, 95% CI 1.24-1.68) had higher odds of CAD, whereas Koreans (OR 0.38, 95% CI 0.29-0.50) and Japanese (OR 0.44, 95% CI 0.36-0.55) had lower odds. The prevalence of hypertension and diabetes was highest in Southeast Asians (64.2 and 49.3%, respectively) and high-income regions (59.7 and 46.2%, respectively). There was significant interaction between ethnicity and region, where the adjusted odds were 3.95 (95% CI 2.51-6.21) for hypertension and 4.91 (95% CI 3.07-7.87) for diabetes among Indians from high- vs. low-income regions; and 2.60 (95% CI 1.66-4.06) for hypertension and 2.62 (95% CI 1.73-3.97) for diabetes among Malays from high- vs. low-income regions. CONCLUSIONS These first prospective multi-national data from Asia highlight the significant heterogeneity among Asian patients with stable HF, and the important influence of both ethnicity and regional income level on patient characteristics. CLINICALTRIALSGOV IDENTIFIER NCT01633398.","author":[{"dropping-particle":"","family":"Lam","given":"Carolyn S.P.","non-dropping-particle":"","parse-names":false,"suffix":""},{"dropping-particle":"","family":"Teng","given":"Tiew Hwa Katherine","non-dropping-particle":"","parse-names":false,"suffix":""},{"dropping-particle":"","family":"Tay","given":"Wan Ting","non-dropping-particle":"","parse-names":false,"suffix":""},{"dropping-particle":"","family":"Anand","given":"Inder","non-dropping-particle":"","parse-names":false,"suffix":""},{"dropping-particle":"","family":"Zhang","given":"Shu","non-dropping-particle":"","parse-names":false,"suffix":""},{"dropping-particle":"","family":"Shimizu","given":"Wataru","non-dropping-particle":"","parse-names":false,"suffix":""},{"dropping-particle":"","family":"Narasimhan","given":"Calambur","non-dropping-particle":"","parse-names":false,"suffix":""},{"dropping-particle":"","family":"Park","given":"Sang Weon","non-dropping-particle":"","parse-names":false,"suffix":""},{"dropping-particle":"","family":"Yu","given":"Cheuk Man","non-dropping-particle":"","parse-names":false,"suffix":""},{"dropping-particle":"","family":"Ngarmukos","given":"Tachapong","non-dropping-particle":"","parse-names":false,"suffix":""},{"dropping-particle":"","family":"Omar","given":"Razali","non-dropping-particle":"","parse-names":false,"suffix":""},{"dropping-particle":"","family":"Reyes","given":"Eugene B.","non-dropping-particle":"","parse-names":false,"suffix":""},{"dropping-particle":"","family":"Siswanto","given":"Ambang B.","non-dropping-particle":"","parse-names":false,"suffix":""},{"dropping-particle":"","family":"Hung","given":"Chung Lieh","non-dropping-particle":"","parse-names":false,"suffix":""},{"dropping-particle":"","family":"Ling","given":"Lieng H.","non-dropping-particle":"","parse-names":false,"suffix":""},{"dropping-particle":"","family":"Yap","given":"Jonathan","non-dropping-particle":"","parse-names":false,"suffix":""},{"dropping-particle":"","family":"MacDonald","given":"Michael","non-dropping-particle":"","parse-names":false,"suffix":""},{"dropping-particle":"","family":"Richards","given":"A. Mark","non-dropping-particle":"","parse-names":false,"suffix":""}],"container-title":"European Heart Journal","id":"ITEM-2","issue":"41","issued":{"date-parts":[["2016"]]},"page":"3141-3153","title":"Regional and ethnic differences among patients with heart failure in Asia: The Asian sudden cardiac death in heart failure registry","type":"article-journal","volume":"37"},"uris":["http://www.mendeley.com/documents/?uuid=0136843c-3e61-4a06-b7c4-dbd4fedb9940"]},{"id":"ITEM-3","itemData":{"DOI":"10.1093/eurjhf/hft045","ISBN":"1388-9842","ISSN":"13889842","PMID":"23568645","abstract":"Aims: Our aim is to determine mortality and morbidity in Asian patients under clinical management for heart failure (HF). Specifically, we will define the incidence of, and risk factors for, sudden cardiac death, as well as the socio-cultural factors influencing therapeutic choices in these patients.MethodsThis is a prospective observational multinational Asian registry of 5000 patients with symptomatic HF (stage C) and LV systolic dysfunction (EF &lt; 40%) involving 44 centres across 11 Asian regions (China, Hong Kong, India, Indonesia, Japan, Korea, Malaysia, Philippines, Singapore, Taiwan and Thailand). Data collection includes demographic variables, clinical symptoms, functional status, date of HF diagnosis and prior cardiovascular investigations, clinical risk factors, lifestyle factors, socio-economic status, and survey of cultural beliefs, health practices, and attitudes towards device therapy. Centre-level characteristics (case load, referral pattern, specialization, and infrastructure) are also obtained. Patients uniformly undergo standard 12-lead ECG and transthoracic echocardiography at baseline, and are followed over 3 years for outcomes of death or hospitalization. The mode of death and cause of hospitalization are adjudicated by a central event adjudication committee using pre-specified criteria.PerspectiveBy providing prospective data regarding the demographics, risk factors, and outcomes of Asian patients under treatment for HF, the ASIAN-HF registry is expected to advance fundamental understanding of the burden and predictors of death and hospitalization among these patients. The knowledge gained will be important for guiding resource allocation and planning preventive strategies to address the unmet and growing clinical needs of patients with cardiovascular disease in Asia.  The Author 2013.","author":[{"dropping-particle":"","family":"Lam","given":"Carolyn S.P.","non-dropping-particle":"","parse-names":false,"suffix":""},{"dropping-particle":"","family":"Anand","given":"Inder","non-dropping-particle":"","parse-names":false,"suffix":""},{"dropping-particle":"","family":"Zhang","given":"Shu","non-dropping-particle":"","parse-names":false,"suffix":""},{"dropping-particle":"","family":"Shimizu","given":"Wataru","non-dropping-particle":"","parse-names":false,"suffix":""},{"dropping-particle":"","family":"Narasimhan","given":"Calambur","non-dropping-particle":"","parse-names":false,"suffix":""},{"dropping-particle":"","family":"Park","given":"Sang Weon","non-dropping-particle":"","parse-names":false,"suffix":""},{"dropping-particle":"","family":"Yu","given":"Cheuk Man","non-dropping-particle":"","parse-names":false,"suffix":""},{"dropping-particle":"","family":"Ngarmukos","given":"Tachapong","non-dropping-particle":"","parse-names":false,"suffix":""},{"dropping-particle":"","family":"Omar","given":"Razali","non-dropping-particle":"","parse-names":false,"suffix":""},{"dropping-particle":"","family":"Reyes","given":"Eugene B.","non-dropping-particle":"","parse-names":false,"suffix":""},{"dropping-particle":"","family":"Siswanto","given":"Bambang","non-dropping-particle":"","parse-names":false,"suffix":""},{"dropping-particle":"","family":"Ling","given":"Lieng H.","non-dropping-particle":"","parse-names":false,"suffix":""},{"dropping-particle":"","family":"Richards","given":"A. Mark","non-dropping-particle":"","parse-names":false,"suffix":""}],"container-title":"European Journal of Heart Failure","id":"ITEM-3","issue":"8","issued":{"date-parts":[["2013"]]},"page":"928-936","title":"Asian Sudden Cardiac Death in Heart Failure (ASIAN-HF) registry","type":"article-journal","volume":"15"},"uris":["http://www.mendeley.com/documents/?uuid=11c3824e-0c66-467d-9a2f-a38847628321"]}],"mendeley":{"formattedCitation":"&lt;sup&gt;23–25&lt;/sup&gt;","plainTextFormattedCitation":"23–25","previouslyFormattedCitation":"&lt;sup&gt;23–25&lt;/sup&gt;"},"properties":{"noteIndex":0},"schema":"https://github.com/citation-style-language/schema/raw/master/csl-citation.json"}</w:instrText>
      </w:r>
      <w:r w:rsidR="004127DE" w:rsidRPr="0003073C">
        <w:rPr>
          <w:lang w:val="en-GB"/>
        </w:rPr>
        <w:fldChar w:fldCharType="separate"/>
      </w:r>
      <w:r w:rsidR="004343C0" w:rsidRPr="0003073C">
        <w:rPr>
          <w:noProof/>
          <w:vertAlign w:val="superscript"/>
          <w:lang w:val="en-GB"/>
        </w:rPr>
        <w:t>23–25</w:t>
      </w:r>
      <w:r w:rsidR="004127DE" w:rsidRPr="0003073C">
        <w:rPr>
          <w:lang w:val="en-GB"/>
        </w:rPr>
        <w:fldChar w:fldCharType="end"/>
      </w:r>
      <w:r w:rsidRPr="0003073C">
        <w:rPr>
          <w:lang w:val="en-GB"/>
        </w:rPr>
        <w:t xml:space="preserve">. In brief, </w:t>
      </w:r>
      <w:r w:rsidR="005F47EE" w:rsidRPr="0003073C">
        <w:rPr>
          <w:lang w:val="en-GB"/>
        </w:rPr>
        <w:t>BIOSTAT-CHF</w:t>
      </w:r>
      <w:r w:rsidR="00A864DA" w:rsidRPr="0003073C">
        <w:rPr>
          <w:lang w:val="en-GB"/>
        </w:rPr>
        <w:fldChar w:fldCharType="begin" w:fldLock="1"/>
      </w:r>
      <w:r w:rsidR="00506798" w:rsidRPr="0003073C">
        <w:rPr>
          <w:lang w:val="en-GB"/>
        </w:rPr>
        <w:instrText>ADDIN CSL_CITATION {"citationItems":[{"id":"ITEM-1","itemData":{"DOI":"10.1002/ejhf.531","ISSN":"1879-0844","PMID":"27126231","abstract":"AIMS Despite major improvements in pharmacological and device treatments, heart failure remains a syndrome with high morbidity and mortality, poor quality of life, and high health-care costs. Given the extensive heterogeneity among patients with heart failure, substantial differences in the response to therapy can be expected. We hypothesize that individualized therapy is an essential next step to improve outcomes in patients with heart failure. METHODS The BIOlogy Study to TAilored Treatment in Chronic Heart Failure (BIOSTAT-CHF) included 2516 patients with worsening signs and/or symptoms of heart failure from 11 European countries, who were considered to be on suboptimal medical treatment. Another 1738 patients from Scotland were included in a validation cohort. Overall, both patient cohorts were well matched. The majority of patients were hospitalized for acute heart failure, and the remainder presented with worsening signs and/or symptoms of heart failure at outpatient clinics. Approximately half of the patients were in New York Heart Association class III, and 7% vs 34% of patients of the index vs validation cohort had heart failure with preserved ejection fraction. According to study design, all patients used diuretics, but owing to the inclusion criteria of both cohorts, patients were not on optimal, evidence-based medical therapy. In the follow-up phase, uptitration to guideline-recommended doses was encouraged. CONCLUSION By using a novel systems biology approach, incorporating demographics, biomarkers, genome-wide analysis, and proteomics, a model that predicts response to therapy will be developed, which should be instrumental in developing alternative therapies for patients with suboptimal response to currently recommended therapies and thus further improve care for patients with heart failure.","author":[{"dropping-particle":"","family":"Voors","given":"Adriaan A","non-dropping-particle":"","parse-names":false,"suffix":""},{"dropping-particle":"","family":"Anker","given":"Stefan D","non-dropping-particle":"","parse-names":false,"suffix":""},{"dropping-particle":"","family":"Cleland","given":"John G","non-dropping-particle":"","parse-names":false,"suffix":""},{"dropping-particle":"","family":"Dickstein","given":"Kenneth","non-dropping-particle":"","parse-names":false,"suffix":""},{"dropping-particle":"","family":"Filippatos","given":"Gerasimos","non-dropping-particle":"","parse-names":false,"suffix":""},{"dropping-particle":"","family":"Harst","given":"Pim","non-dropping-particle":"van der","parse-names":false,"suffix":""},{"dropping-particle":"","family":"Hillege","given":"Hans L","non-dropping-particle":"","parse-names":false,"suffix":""},{"dropping-particle":"","family":"Lang","given":"Chim C","non-dropping-particle":"","parse-names":false,"suffix":""},{"dropping-particle":"","family":"Maaten","given":"Jozine M","non-dropping-particle":"Ter","parse-names":false,"suffix":""},{"dropping-particle":"","family":"Ng","given":"Leong","non-dropping-particle":"","parse-names":false,"suffix":""},{"dropping-particle":"","family":"Ponikowski","given":"Piotr","non-dropping-particle":"","parse-names":false,"suffix":""},{"dropping-particle":"","family":"Samani","given":"Nilesh J","non-dropping-particle":"","parse-names":false,"suffix":""},{"dropping-particle":"","family":"Veldhuisen","given":"Dirk J","non-dropping-particle":"van","parse-names":false,"suffix":""},{"dropping-particle":"","family":"Zannad","given":"Faiz","non-dropping-particle":"","parse-names":false,"suffix":""},{"dropping-particle":"","family":"Zwinderman","given":"Aeilko H","non-dropping-particle":"","parse-names":false,"suffix":""},{"dropping-particle":"","family":"Metra","given":"Marco","non-dropping-particle":"","parse-names":false,"suffix":""}],"container-title":"European journal of heart failure","id":"ITEM-1","issue":"6","issued":{"date-parts":[["2016","6","29"]]},"page":"716-26","title":"A systems BIOlogy Study to TAilored Treatment in Chronic Heart Failure: rationale, design, and baseline characteristics of BIOSTAT-CHF.","type":"article-journal","volume":"18"},"uris":["http://www.mendeley.com/documents/?uuid=cbfd69e6-71de-4f4a-a6fc-1dcc5ca842ac"]}],"mendeley":{"formattedCitation":"&lt;sup&gt;23&lt;/sup&gt;","plainTextFormattedCitation":"23","previouslyFormattedCitation":"&lt;sup&gt;23&lt;/sup&gt;"},"properties":{"noteIndex":0},"schema":"https://github.com/citation-style-language/schema/raw/master/csl-citation.json"}</w:instrText>
      </w:r>
      <w:r w:rsidR="00A864DA" w:rsidRPr="0003073C">
        <w:rPr>
          <w:lang w:val="en-GB"/>
        </w:rPr>
        <w:fldChar w:fldCharType="separate"/>
      </w:r>
      <w:r w:rsidR="004343C0" w:rsidRPr="0003073C">
        <w:rPr>
          <w:noProof/>
          <w:vertAlign w:val="superscript"/>
          <w:lang w:val="en-GB"/>
        </w:rPr>
        <w:t>23</w:t>
      </w:r>
      <w:r w:rsidR="00A864DA" w:rsidRPr="0003073C">
        <w:rPr>
          <w:lang w:val="en-GB"/>
        </w:rPr>
        <w:fldChar w:fldCharType="end"/>
      </w:r>
      <w:r w:rsidR="00A864DA" w:rsidRPr="0003073C">
        <w:rPr>
          <w:lang w:val="en-GB"/>
        </w:rPr>
        <w:t xml:space="preserve"> </w:t>
      </w:r>
      <w:r w:rsidR="008D1D58" w:rsidRPr="0003073C">
        <w:rPr>
          <w:lang w:val="en-GB"/>
        </w:rPr>
        <w:t xml:space="preserve">enrolled </w:t>
      </w:r>
      <w:r w:rsidR="006928F5" w:rsidRPr="0003073C">
        <w:rPr>
          <w:lang w:val="en-GB"/>
        </w:rPr>
        <w:t>2</w:t>
      </w:r>
      <w:r w:rsidR="00A56270" w:rsidRPr="0003073C">
        <w:rPr>
          <w:lang w:val="en-GB"/>
        </w:rPr>
        <w:t>,</w:t>
      </w:r>
      <w:r w:rsidR="006928F5" w:rsidRPr="0003073C">
        <w:rPr>
          <w:lang w:val="en-GB"/>
        </w:rPr>
        <w:t xml:space="preserve">516 </w:t>
      </w:r>
      <w:r w:rsidR="004D69EC" w:rsidRPr="0003073C">
        <w:rPr>
          <w:lang w:val="en-GB"/>
        </w:rPr>
        <w:t xml:space="preserve">adult </w:t>
      </w:r>
      <w:r w:rsidR="008D1D58" w:rsidRPr="0003073C">
        <w:rPr>
          <w:lang w:val="en-GB"/>
        </w:rPr>
        <w:t>patients</w:t>
      </w:r>
      <w:r w:rsidR="004D69EC" w:rsidRPr="0003073C">
        <w:rPr>
          <w:lang w:val="en-GB"/>
        </w:rPr>
        <w:t xml:space="preserve"> with HFrEF (left ventricular ejection fraction [LVEF] ≤40%)</w:t>
      </w:r>
      <w:r w:rsidR="008D1D58" w:rsidRPr="0003073C">
        <w:rPr>
          <w:lang w:val="en-GB"/>
        </w:rPr>
        <w:t xml:space="preserve"> from </w:t>
      </w:r>
      <w:r w:rsidR="005F47EE" w:rsidRPr="0003073C">
        <w:rPr>
          <w:lang w:val="en-GB"/>
        </w:rPr>
        <w:t xml:space="preserve">69 </w:t>
      </w:r>
      <w:r w:rsidR="001E1F82" w:rsidRPr="0003073C">
        <w:rPr>
          <w:lang w:val="en-GB"/>
        </w:rPr>
        <w:t xml:space="preserve">participating </w:t>
      </w:r>
      <w:r w:rsidR="00B57BED" w:rsidRPr="0003073C">
        <w:rPr>
          <w:lang w:val="en-GB"/>
        </w:rPr>
        <w:t>centres</w:t>
      </w:r>
      <w:r w:rsidR="005F47EE" w:rsidRPr="0003073C">
        <w:rPr>
          <w:lang w:val="en-GB"/>
        </w:rPr>
        <w:t xml:space="preserve"> </w:t>
      </w:r>
      <w:r w:rsidR="005749B8" w:rsidRPr="0003073C">
        <w:rPr>
          <w:lang w:val="en-GB"/>
        </w:rPr>
        <w:t>in</w:t>
      </w:r>
      <w:r w:rsidR="005F47EE" w:rsidRPr="0003073C">
        <w:rPr>
          <w:lang w:val="en-GB"/>
        </w:rPr>
        <w:t xml:space="preserve"> 11 </w:t>
      </w:r>
      <w:r w:rsidR="001E1E15" w:rsidRPr="0003073C">
        <w:rPr>
          <w:lang w:val="en-GB"/>
        </w:rPr>
        <w:t xml:space="preserve">European </w:t>
      </w:r>
      <w:r w:rsidR="005F47EE" w:rsidRPr="0003073C">
        <w:rPr>
          <w:lang w:val="en-GB"/>
        </w:rPr>
        <w:t xml:space="preserve">countries. </w:t>
      </w:r>
      <w:r w:rsidR="00596B9C" w:rsidRPr="0003073C">
        <w:rPr>
          <w:lang w:val="en-GB"/>
        </w:rPr>
        <w:t>The</w:t>
      </w:r>
      <w:r w:rsidR="00BD1A98" w:rsidRPr="0003073C">
        <w:rPr>
          <w:lang w:val="en-GB"/>
        </w:rPr>
        <w:t xml:space="preserve"> ASIAN-HF registry</w:t>
      </w:r>
      <w:r w:rsidR="00A864DA" w:rsidRPr="0003073C">
        <w:rPr>
          <w:lang w:val="en-GB"/>
        </w:rPr>
        <w:fldChar w:fldCharType="begin" w:fldLock="1"/>
      </w:r>
      <w:r w:rsidR="00506798" w:rsidRPr="0003073C">
        <w:rPr>
          <w:lang w:val="en-GB"/>
        </w:rPr>
        <w:instrText>ADDIN CSL_CITATION {"citationItems":[{"id":"ITEM-1","itemData":{"DOI":"10.1093/eurheartj/ehw331","ISBN":"0195-668X","ISSN":"15229645","PMID":"27502121","abstract":"AIMS To characterize regional and ethnic differences in heart failure (HF) across Asia. METHODS AND RESULTS We prospectively studied 5276 patients with stable HF and reduced ejection fraction (≤40%) from 11 Asian regions (China, Hong Kong, India, Indonesia, Japan, Korea, Malaysia, Philippines, Singapore, Taiwan, and Thailand). Mean age was 59.6 ± 13.1 years, 78.2% were men, and mean body mass index was 24.9 ± 5.1 kg/m(2). Majority (64%) of patients had two or more comorbid conditions such as hypertension (51.9%), coronary artery disease (CAD, 50.2%), or diabetes (40.4%). The prevalence of CAD was highest in Southeast Asians (58.8 vs. 38.2% in Northeast Asians). Compared with Chinese ethnicity, Malays (adjusted odds ratio [OR] 1.97, 95% CI 1.63-2.38) and Indians (OR 1.44, 95% CI 1.24-1.68) had higher odds of CAD, whereas Koreans (OR 0.38, 95% CI 0.29-0.50) and Japanese (OR 0.44, 95% CI 0.36-0.55) had lower odds. The prevalence of hypertension and diabetes was highest in Southeast Asians (64.2 and 49.3%, respectively) and high-income regions (59.7 and 46.2%, respectively). There was significant interaction between ethnicity and region, where the adjusted odds were 3.95 (95% CI 2.51-6.21) for hypertension and 4.91 (95% CI 3.07-7.87) for diabetes among Indians from high- vs. low-income regions; and 2.60 (95% CI 1.66-4.06) for hypertension and 2.62 (95% CI 1.73-3.97) for diabetes among Malays from high- vs. low-income regions. CONCLUSIONS These first prospective multi-national data from Asia highlight the significant heterogeneity among Asian patients with stable HF, and the important influence of both ethnicity and regional income level on patient characteristics. CLINICALTRIALSGOV IDENTIFIER NCT01633398.","author":[{"dropping-particle":"","family":"Lam","given":"Carolyn S.P.","non-dropping-particle":"","parse-names":false,"suffix":""},{"dropping-particle":"","family":"Teng","given":"Tiew Hwa Katherine","non-dropping-particle":"","parse-names":false,"suffix":""},{"dropping-particle":"","family":"Tay","given":"Wan Ting","non-dropping-particle":"","parse-names":false,"suffix":""},{"dropping-particle":"","family":"Anand","given":"Inder","non-dropping-particle":"","parse-names":false,"suffix":""},{"dropping-particle":"","family":"Zhang","given":"Shu","non-dropping-particle":"","parse-names":false,"suffix":""},{"dropping-particle":"","family":"Shimizu","given":"Wataru","non-dropping-particle":"","parse-names":false,"suffix":""},{"dropping-particle":"","family":"Narasimhan","given":"Calambur","non-dropping-particle":"","parse-names":false,"suffix":""},{"dropping-particle":"","family":"Park","given":"Sang Weon","non-dropping-particle":"","parse-names":false,"suffix":""},{"dropping-particle":"","family":"Yu","given":"Cheuk Man","non-dropping-particle":"","parse-names":false,"suffix":""},{"dropping-particle":"","family":"Ngarmukos","given":"Tachapong","non-dropping-particle":"","parse-names":false,"suffix":""},{"dropping-particle":"","family":"Omar","given":"Razali","non-dropping-particle":"","parse-names":false,"suffix":""},{"dropping-particle":"","family":"Reyes","given":"Eugene B.","non-dropping-particle":"","parse-names":false,"suffix":""},{"dropping-particle":"","family":"Siswanto","given":"Ambang B.","non-dropping-particle":"","parse-names":false,"suffix":""},{"dropping-particle":"","family":"Hung","given":"Chung Lieh","non-dropping-particle":"","parse-names":false,"suffix":""},{"dropping-particle":"","family":"Ling","given":"Lieng H.","non-dropping-particle":"","parse-names":false,"suffix":""},{"dropping-particle":"","family":"Yap","given":"Jonathan","non-dropping-particle":"","parse-names":false,"suffix":""},{"dropping-particle":"","family":"MacDonald","given":"Michael","non-dropping-particle":"","parse-names":false,"suffix":""},{"dropping-particle":"","family":"Richards","given":"A. Mark","non-dropping-particle":"","parse-names":false,"suffix":""}],"container-title":"European Heart Journal","id":"ITEM-1","issue":"41","issued":{"date-parts":[["2016"]]},"page":"3141-3153","title":"Regional and ethnic differences among patients with heart failure in Asia: The Asian sudden cardiac death in heart failure registry","type":"article-journal","volume":"37"},"uris":["http://www.mendeley.com/documents/?uuid=0136843c-3e61-4a06-b7c4-dbd4fedb9940"]},{"id":"ITEM-2","itemData":{"DOI":"10.1371/journal.pmed.1002541","ISSN":"1549-1676","abstract":"Aims. Comorbidities are common in patients with heart failure (HF) and complicates their treatment and outcomes. Prior studies have focused mainly on individual comorbidities in isolation, underestimating the total burden of multi-comorbidity in HF. We sought to identify the pattern of multi-comorbidity in Asian patients with HF and their association with patients' quality of life, cardiac remodeling, outcomes and treatment response to HF medications. Methods and Findings. Among 6479 prospectively enrolled patients in the ASIAN-HF registry (1204 HF with a preserved ejection fraction [HFpEF]) from 11 Asian regions, we identified 5 distinct multi-comorbidity groups by latent class analysis (N=1048-1759 in each group): Elderly/atrial fibrillation (AF) (oldest, more AF), Metabolic (Obesity, diabetes, hypertension), Young (youngest, low comorbidity rates, non-ischemic etiology), Ischemic (Ischemic etiology) and Lean Diabetic (diabetic, hypertensive, low prevalence of obesity and high prevalence of chronic kidney disease). The Metabolic and Lean Diabetic groups had the highest proportions of concentric left ventricular hypertrophy (LVH) and the Young group had the highest proportion of eccentric LVH. Patients in the Lean Diabetic group had the worst quality of life, more severe signs and symptoms of HF and the worst outcomes, independent of confounders (P for all &lt;0.001). Multi-comorbidity groups modified the association of guideline directed dosages of beta-blockers and mineralocorticoid receptor antagonists with outcomes (all-cause mortality and HF hospitalizations), such that patients in the Young group appeared to derive the most survival benefit with these drugs (Pinteraction &lt;0.05 for both). Conclusion. Among Asian patients with HF comorbidities naturally clustered in 5 distinct patterns, each associated with specific underlying patterns of cardiac remodeling, and differentially impacting patients' quality of life, outcomes and treatment response to some HF medications. These data underscore the importance of studying multi-comorbidity in HF and the need for more comprehensive approaches in phenotyping patients with HF and multi-comorbidities.","author":[{"dropping-particle":"","family":"Tromp","given":"Jasper","non-dropping-particle":"","parse-names":false,"suffix":""},{"dropping-particle":"","family":"Tay","given":"Wan Ting","non-dropping-particle":"","parse-names":false,"suffix":""},{"dropping-particle":"","family":"Ouwerkerk","given":"Wouter","non-dropping-particle":"","parse-names":false,"suffix":""},{"dropping-particle":"","family":"Teng","given":"Tiew-Hwa Katherine","non-dropping-particle":"","parse-names":false,"suffix":""},{"dropping-particle":"","family":"Yap","given":"Jonathan","non-dropping-particle":"","parse-names":false,"suffix":""},{"dropping-particle":"","family":"MacDonald","given":"Michael R.","non-dropping-particle":"","parse-names":false,"suffix":""},{"dropping-particle":"","family":"Leineweber","given":"Kirsten","non-dropping-particle":"","parse-names":false,"suffix":""},{"dropping-particle":"V.","family":"McMurray","given":"John J.","non-dropping-particle":"","parse-names":false,"suffix":""},{"dropping-particle":"","family":"Zile","given":"Michael R.","non-dropping-particle":"","parse-names":false,"suffix":""},{"dropping-particle":"","family":"Anand","given":"Inder S.","non-dropping-particle":"","parse-names":false,"suffix":""},{"dropping-particle":"","family":"Lam","given":"Carolyn S. P.","non-dropping-particle":"","parse-names":false,"suffix":""}],"container-title":"PLOS Medicine","editor":[{"dropping-particle":"","family":"Rahimi","given":"Kazem","non-dropping-particle":"","parse-names":false,"suffix":""}],"id":"ITEM-2","issue":"3","issued":{"date-parts":[["2018","3","27"]]},"page":"e1002541","title":"Multimorbidity in patients with heart failure from 11 Asian regions: A prospective cohort study using the ASIAN-HF registry","type":"article-journal","volume":"15"},"uris":["http://www.mendeley.com/documents/?uuid=a04aef8b-3124-4dbb-aca8-d09c39f15e5e"]}],"mendeley":{"formattedCitation":"&lt;sup&gt;24,26&lt;/sup&gt;","plainTextFormattedCitation":"24,26","previouslyFormattedCitation":"&lt;sup&gt;24,26&lt;/sup&gt;"},"properties":{"noteIndex":0},"schema":"https://github.com/citation-style-language/schema/raw/master/csl-citation.json"}</w:instrText>
      </w:r>
      <w:r w:rsidR="00A864DA" w:rsidRPr="0003073C">
        <w:rPr>
          <w:lang w:val="en-GB"/>
        </w:rPr>
        <w:fldChar w:fldCharType="separate"/>
      </w:r>
      <w:r w:rsidR="004343C0" w:rsidRPr="0003073C">
        <w:rPr>
          <w:noProof/>
          <w:vertAlign w:val="superscript"/>
          <w:lang w:val="en-GB"/>
        </w:rPr>
        <w:t>24,26</w:t>
      </w:r>
      <w:r w:rsidR="00A864DA" w:rsidRPr="0003073C">
        <w:rPr>
          <w:lang w:val="en-GB"/>
        </w:rPr>
        <w:fldChar w:fldCharType="end"/>
      </w:r>
      <w:r w:rsidR="00BD1A98" w:rsidRPr="0003073C">
        <w:rPr>
          <w:lang w:val="en-GB"/>
        </w:rPr>
        <w:t xml:space="preserve"> is a multinational registry </w:t>
      </w:r>
      <w:r w:rsidR="005749B8" w:rsidRPr="0003073C">
        <w:rPr>
          <w:lang w:val="en-GB"/>
        </w:rPr>
        <w:t xml:space="preserve">including </w:t>
      </w:r>
      <w:r w:rsidR="00A56270" w:rsidRPr="0003073C">
        <w:rPr>
          <w:lang w:val="en-GB"/>
        </w:rPr>
        <w:t xml:space="preserve">5,276 </w:t>
      </w:r>
      <w:r w:rsidR="004D69EC" w:rsidRPr="0003073C">
        <w:rPr>
          <w:lang w:val="en-GB"/>
        </w:rPr>
        <w:t xml:space="preserve">adult </w:t>
      </w:r>
      <w:r w:rsidR="00BD1A98" w:rsidRPr="0003073C">
        <w:rPr>
          <w:lang w:val="en-GB"/>
        </w:rPr>
        <w:t>patients with HF</w:t>
      </w:r>
      <w:r w:rsidR="003E7D3D" w:rsidRPr="0003073C">
        <w:rPr>
          <w:lang w:val="en-GB"/>
        </w:rPr>
        <w:t>rEF</w:t>
      </w:r>
      <w:r w:rsidR="00A62FA6" w:rsidRPr="0003073C">
        <w:rPr>
          <w:lang w:val="en-GB"/>
        </w:rPr>
        <w:t xml:space="preserve"> (</w:t>
      </w:r>
      <w:r w:rsidR="001E1E15" w:rsidRPr="0003073C">
        <w:rPr>
          <w:lang w:val="en-GB"/>
        </w:rPr>
        <w:t>LVEF ≤40%)</w:t>
      </w:r>
      <w:r w:rsidR="00BD1A98" w:rsidRPr="0003073C">
        <w:rPr>
          <w:lang w:val="en-GB"/>
        </w:rPr>
        <w:t xml:space="preserve"> from 46 </w:t>
      </w:r>
      <w:r w:rsidR="001E1F82" w:rsidRPr="0003073C">
        <w:rPr>
          <w:lang w:val="en-GB"/>
        </w:rPr>
        <w:t>investigation sites</w:t>
      </w:r>
      <w:r w:rsidR="00BD1A98" w:rsidRPr="0003073C">
        <w:rPr>
          <w:lang w:val="en-GB"/>
        </w:rPr>
        <w:t xml:space="preserve"> across 11 regions</w:t>
      </w:r>
      <w:r w:rsidR="001E1F82" w:rsidRPr="0003073C">
        <w:rPr>
          <w:lang w:val="en-GB"/>
        </w:rPr>
        <w:t xml:space="preserve"> in Asia</w:t>
      </w:r>
      <w:r w:rsidR="00BD1A98" w:rsidRPr="0003073C">
        <w:rPr>
          <w:lang w:val="en-GB"/>
        </w:rPr>
        <w:t>.</w:t>
      </w:r>
      <w:r w:rsidR="00AD366A" w:rsidRPr="0003073C">
        <w:rPr>
          <w:lang w:val="en-GB"/>
        </w:rPr>
        <w:t xml:space="preserve"> </w:t>
      </w:r>
      <w:r w:rsidR="004D69EC" w:rsidRPr="0003073C">
        <w:rPr>
          <w:lang w:val="en-GB"/>
        </w:rPr>
        <w:t xml:space="preserve">All patients had symptoms and signs of HF and objective evidence of reduced LVEF, and were followed up for clinical outcomes of death and hospitalization. </w:t>
      </w:r>
      <w:r w:rsidR="00FB7387" w:rsidRPr="0003073C">
        <w:rPr>
          <w:lang w:val="en-GB"/>
        </w:rPr>
        <w:t>Ethics approvals were obtained from the local institutional review committee of each participating centre and all participating subjects gave informed consent. This study conforms to the ethical guidelines as laid down in the Declaration of Helsinki.</w:t>
      </w:r>
    </w:p>
    <w:p w14:paraId="75FB76BE" w14:textId="77777777" w:rsidR="00700E31" w:rsidRPr="0003073C" w:rsidRDefault="00700E31" w:rsidP="007419B4">
      <w:pPr>
        <w:spacing w:line="480" w:lineRule="auto"/>
        <w:rPr>
          <w:lang w:val="en-GB"/>
        </w:rPr>
      </w:pPr>
    </w:p>
    <w:p w14:paraId="73B338F2" w14:textId="204C50DB" w:rsidR="003215EF" w:rsidRPr="0003073C" w:rsidRDefault="00E43C29" w:rsidP="007419B4">
      <w:pPr>
        <w:pStyle w:val="Titre2"/>
        <w:rPr>
          <w:lang w:val="en-GB"/>
        </w:rPr>
      </w:pPr>
      <w:r w:rsidRPr="0003073C">
        <w:rPr>
          <w:w w:val="115"/>
          <w:lang w:val="en-GB"/>
        </w:rPr>
        <w:t>Medication and data collection</w:t>
      </w:r>
    </w:p>
    <w:p w14:paraId="441A71C8" w14:textId="6E1A531F" w:rsidR="00B47590" w:rsidRPr="0003073C" w:rsidRDefault="00C64418" w:rsidP="007419B4">
      <w:pPr>
        <w:spacing w:line="480" w:lineRule="auto"/>
        <w:rPr>
          <w:lang w:val="en-GB"/>
        </w:rPr>
      </w:pPr>
      <w:r w:rsidRPr="0003073C">
        <w:rPr>
          <w:lang w:val="en-GB"/>
        </w:rPr>
        <w:t>HF medications</w:t>
      </w:r>
      <w:r w:rsidR="004D69EC" w:rsidRPr="0003073C">
        <w:rPr>
          <w:lang w:val="en-GB"/>
        </w:rPr>
        <w:t xml:space="preserve"> and their target doses were defined </w:t>
      </w:r>
      <w:r w:rsidR="000C6C44" w:rsidRPr="0003073C">
        <w:rPr>
          <w:lang w:val="en-GB"/>
        </w:rPr>
        <w:t>according to ESC guidelines</w:t>
      </w:r>
      <w:r w:rsidR="000C6C44" w:rsidRPr="0003073C">
        <w:rPr>
          <w:lang w:val="en-GB"/>
        </w:rPr>
        <w:fldChar w:fldCharType="begin" w:fldLock="1"/>
      </w:r>
      <w:r w:rsidR="00506798" w:rsidRPr="0003073C">
        <w:rPr>
          <w:lang w:val="en-GB"/>
        </w:rPr>
        <w:instrText>ADDIN CSL_CITATION {"citationItems":[{"id":"ITEM-1","itemData":{"DOI":"10.1002/ejhf.592","ISSN":"1879-0844","PMID":"27207191","author":[{"dropping-particle":"","family":"Ponikowski","given":"Piotr","non-dropping-particle":"","parse-names":false,"suffix":""},{"dropping-particle":"","family":"Voors","given":"Adriaan A","non-dropping-particle":"","parse-names":false,"suffix":""},{"dropping-particle":"","family":"Anker","given":"Stefan D","non-dropping-particle":"","parse-names":false,"suffix":""},{"dropping-particle":"","family":"Bueno","given":"Héctor","non-dropping-particle":"","parse-names":false,"suffix":""},{"dropping-particle":"","family":"Cleland","given":"John G F","non-dropping-particle":"","parse-names":false,"suffix":""},{"dropping-particle":"","family":"Coats","given":"Andrew J S","non-dropping-particle":"","parse-names":false,"suffix":""},{"dropping-particle":"","family":"Falk","given":"Volkmar","non-dropping-particle":"","parse-names":false,"suffix":""},{"dropping-particle":"","family":"González-Juanatey","given":"José Ramón","non-dropping-particle":"","parse-names":false,"suffix":""},{"dropping-particle":"","family":"Harjola","given":"Veli-Pekka","non-dropping-particle":"","parse-names":false,"suffix":""},{"dropping-particle":"","family":"Jankowska","given":"Ewa A","non-dropping-particle":"","parse-names":false,"suffix":""},{"dropping-particle":"","family":"Jessup","given":"Mariell","non-dropping-particle":"","parse-names":false,"suffix":""},{"dropping-particle":"","family":"Linde","given":"Cecilia","non-dropping-particle":"","parse-names":false,"suffix":""},{"dropping-particle":"","family":"Nihoyannopoulos","given":"Petros","non-dropping-particle":"","parse-names":false,"suffix":""},{"dropping-particle":"","family":"Parissis","given":"John T","non-dropping-particle":"","parse-names":false,"suffix":""},{"dropping-particle":"","family":"Pieske","given":"Burkert","non-dropping-particle":"","parse-names":false,"suffix":""},{"dropping-particle":"","family":"Riley","given":"Jillian P","non-dropping-particle":"","parse-names":false,"suffix":""},{"dropping-particle":"","family":"Rosano","given":"Giuseppe M C","non-dropping-particle":"","parse-names":false,"suffix":""},{"dropping-particle":"","family":"Ruilope","given":"Luis M","non-dropping-particle":"","parse-names":false,"suffix":""},{"dropping-particle":"","family":"Ruschitzka","given":"Frank","non-dropping-particle":"","parse-names":false,"suffix":""},{"dropping-particle":"","family":"Rutten","given":"Frans H","non-dropping-particle":"","parse-names":false,"suffix":""},{"dropping-particle":"","family":"Meer","given":"Peter","non-dropping-particle":"van der","parse-names":false,"suffix":""},{"dropping-particle":"","family":"Authors/Task Force Members","given":"","non-dropping-particle":"","parse-names":false,"suffix":""},{"dropping-particle":"","family":"Document Reviewers","given":"","non-dropping-particle":"","parse-names":false,"suffix":""}],"container-title":"European journal of heart failure","id":"ITEM-1","issue":"8","issued":{"date-parts":[["2016","8","20"]]},"page":"891-975","title":"2016 ESC Guidelines for the diagnosis and treatment of acute and chronic heart failure: The Task Force for the diagnosis and treatment of acute and chronic heart failure of the European Society of Cardiology (ESC). Developed with the special contribution","type":"article-journal","volume":"18"},"uris":["http://www.mendeley.com/documents/?uuid=b52716cf-f7ad-4c20-84c1-bf81fa7ae1a7"]},{"id":"ITEM-2","itemData":{"DOI":"10.1093/eurheartj/ehn309","ISSN":"1522-9645","PMID":"18799522","author":[{"dropping-particle":"","family":"Dickstein","given":"Kenneth","non-dropping-particle":"","parse-names":false,"suffix":""},{"dropping-particle":"","family":"Cohen-Solal","given":"Alain","non-dropping-particle":"","parse-names":false,"suffix":""},{"dropping-particle":"","family":"Filippatos","given":"Gerasimos","non-dropping-particle":"","parse-names":false,"suffix":""},{"dropping-particle":"V","family":"McMurray","given":"John J","non-dropping-particle":"","parse-names":false,"suffix":""},{"dropping-particle":"","family":"Ponikowski","given":"Piotr","non-dropping-particle":"","parse-names":false,"suffix":""},{"dropping-particle":"","family":"Poole-Wilson","given":"Philip Alexander","non-dropping-particle":"","parse-names":false,"suffix":""},{"dropping-particle":"","family":"Strömberg","given":"Anna","non-dropping-particle":"","parse-names":false,"suffix":""},{"dropping-particle":"","family":"Veldhuisen","given":"Dirk J","non-dropping-particle":"van","parse-names":false,"suffix":""},{"dropping-particle":"","family":"Atar","given":"Dan","non-dropping-particle":"","parse-names":false,"suffix":""},{"dropping-particle":"","family":"Hoes","given":"Arno W","non-dropping-particle":"","parse-names":false,"suffix":""},{"dropping-particle":"","family":"Keren","given":"Andre","non-dropping-particle":"","parse-names":false,"suffix":""},{"dropping-particle":"","family":"Mebazaa","given":"Alexandre","non-dropping-particle":"","parse-names":false,"suffix":""},{"dropping-particle":"","family":"Nieminen","given":"Markku","non-dropping-particle":"","parse-names":false,"suffix":""},{"dropping-particle":"","family":"Priori","given":"Silvia Giuliana","non-dropping-particle":"","parse-names":false,"suffix":""},{"dropping-particle":"","family":"Swedberg","given":"Karl","non-dropping-particle":"","parse-names":false,"suffix":""},{"dropping-particle":"","family":"ESC Committee for Practice Guidelines (CPG)","given":"","non-dropping-particle":"","parse-names":false,"suffix":""}],"container-title":"European heart journal","id":"ITEM-2","issue":"19","issued":{"date-parts":[["2008","10","1"]]},"page":"2388-442","title":"ESC Guidelines for the diagnosis and treatment of acute and chronic heart failure 2008: the Task Force for the Diagnosis and Treatment of Acute and Chronic Heart Failure 2008 of the European Society of Cardiology. Developed in collaboration with the Heart","type":"article-journal","volume":"29"},"uris":["http://www.mendeley.com/documents/?uuid=66357fde-93a9-4fac-ac3b-6e977b367958"]}],"mendeley":{"formattedCitation":"&lt;sup&gt;1,27&lt;/sup&gt;","plainTextFormattedCitation":"1,27","previouslyFormattedCitation":"&lt;sup&gt;1,27&lt;/sup&gt;"},"properties":{"noteIndex":0},"schema":"https://github.com/citation-style-language/schema/raw/master/csl-citation.json"}</w:instrText>
      </w:r>
      <w:r w:rsidR="000C6C44" w:rsidRPr="0003073C">
        <w:rPr>
          <w:lang w:val="en-GB"/>
        </w:rPr>
        <w:fldChar w:fldCharType="separate"/>
      </w:r>
      <w:r w:rsidR="004343C0" w:rsidRPr="0003073C">
        <w:rPr>
          <w:noProof/>
          <w:vertAlign w:val="superscript"/>
          <w:lang w:val="en-GB"/>
        </w:rPr>
        <w:t>1,27</w:t>
      </w:r>
      <w:r w:rsidR="000C6C44" w:rsidRPr="0003073C">
        <w:rPr>
          <w:lang w:val="en-GB"/>
        </w:rPr>
        <w:fldChar w:fldCharType="end"/>
      </w:r>
      <w:r w:rsidR="000C6C44" w:rsidRPr="0003073C">
        <w:rPr>
          <w:lang w:val="en-GB"/>
        </w:rPr>
        <w:t xml:space="preserve">. </w:t>
      </w:r>
      <w:r w:rsidR="00A017F4" w:rsidRPr="0003073C">
        <w:rPr>
          <w:lang w:val="en-GB"/>
        </w:rPr>
        <w:t xml:space="preserve">Maximum total daily doses attained during follow-up were calculated as a percentage of the guideline-recommended target daily doses (GRTD). Doses were grouped into four categories (0%, 1–49%, 50-99% and ≥100% of GRTD per drug class, resulting in 16 possible treatment group combinations of </w:t>
      </w:r>
      <w:proofErr w:type="spellStart"/>
      <w:r w:rsidR="00A017F4" w:rsidRPr="0003073C">
        <w:rPr>
          <w:lang w:val="en-GB"/>
        </w:rPr>
        <w:t>ACEi</w:t>
      </w:r>
      <w:proofErr w:type="spellEnd"/>
      <w:r w:rsidR="00A017F4" w:rsidRPr="0003073C">
        <w:rPr>
          <w:lang w:val="en-GB"/>
        </w:rPr>
        <w:t xml:space="preserve">/ARB and β-blocker. </w:t>
      </w:r>
      <w:r w:rsidR="00E43C29" w:rsidRPr="0003073C">
        <w:rPr>
          <w:lang w:val="en-GB"/>
        </w:rPr>
        <w:t>Patients were considered successfully up</w:t>
      </w:r>
      <w:r w:rsidR="006278A6" w:rsidRPr="0003073C">
        <w:rPr>
          <w:lang w:val="en-GB"/>
        </w:rPr>
        <w:t>-</w:t>
      </w:r>
      <w:r w:rsidR="00E43C29" w:rsidRPr="0003073C">
        <w:rPr>
          <w:lang w:val="en-GB"/>
        </w:rPr>
        <w:t xml:space="preserve">titrated when </w:t>
      </w:r>
      <w:r w:rsidR="00514CE3" w:rsidRPr="0003073C">
        <w:rPr>
          <w:lang w:val="en-GB"/>
        </w:rPr>
        <w:t>≥</w:t>
      </w:r>
      <w:r w:rsidR="00AC0B93" w:rsidRPr="0003073C">
        <w:rPr>
          <w:lang w:val="en-GB"/>
        </w:rPr>
        <w:t xml:space="preserve">50% </w:t>
      </w:r>
      <w:r w:rsidR="00E43C29" w:rsidRPr="0003073C">
        <w:rPr>
          <w:lang w:val="en-GB"/>
        </w:rPr>
        <w:t xml:space="preserve">recommended </w:t>
      </w:r>
      <w:r w:rsidR="00B60C90" w:rsidRPr="0003073C">
        <w:rPr>
          <w:lang w:val="en-GB"/>
        </w:rPr>
        <w:t xml:space="preserve">target </w:t>
      </w:r>
      <w:r w:rsidR="00E43C29" w:rsidRPr="0003073C">
        <w:rPr>
          <w:lang w:val="en-GB"/>
        </w:rPr>
        <w:t>dose</w:t>
      </w:r>
      <w:r w:rsidR="00891E5E" w:rsidRPr="0003073C">
        <w:rPr>
          <w:lang w:val="en-GB"/>
        </w:rPr>
        <w:t>s</w:t>
      </w:r>
      <w:r w:rsidR="00E43C29" w:rsidRPr="0003073C">
        <w:rPr>
          <w:lang w:val="en-GB"/>
        </w:rPr>
        <w:t xml:space="preserve"> for </w:t>
      </w:r>
      <w:r w:rsidR="00996F82" w:rsidRPr="0003073C">
        <w:rPr>
          <w:lang w:val="en-GB"/>
        </w:rPr>
        <w:t>both</w:t>
      </w:r>
      <w:r w:rsidR="00E43C29" w:rsidRPr="0003073C">
        <w:rPr>
          <w:lang w:val="en-GB"/>
        </w:rPr>
        <w:t xml:space="preserve"> </w:t>
      </w:r>
      <w:proofErr w:type="spellStart"/>
      <w:r w:rsidR="00092111" w:rsidRPr="0003073C">
        <w:rPr>
          <w:lang w:val="en-GB"/>
        </w:rPr>
        <w:t>ACEi</w:t>
      </w:r>
      <w:proofErr w:type="spellEnd"/>
      <w:r w:rsidR="00092111" w:rsidRPr="0003073C">
        <w:rPr>
          <w:lang w:val="en-GB"/>
        </w:rPr>
        <w:t>/ARB</w:t>
      </w:r>
      <w:r w:rsidR="00E2024E" w:rsidRPr="0003073C">
        <w:rPr>
          <w:lang w:val="en-GB"/>
        </w:rPr>
        <w:t>s</w:t>
      </w:r>
      <w:r w:rsidR="00092111" w:rsidRPr="0003073C">
        <w:rPr>
          <w:lang w:val="en-GB"/>
        </w:rPr>
        <w:t xml:space="preserve"> </w:t>
      </w:r>
      <w:r w:rsidR="00AC0B93" w:rsidRPr="0003073C">
        <w:rPr>
          <w:lang w:val="en-GB"/>
        </w:rPr>
        <w:t>and</w:t>
      </w:r>
      <w:r w:rsidR="00E43C29" w:rsidRPr="0003073C">
        <w:rPr>
          <w:lang w:val="en-GB"/>
        </w:rPr>
        <w:t xml:space="preserve"> </w:t>
      </w:r>
      <w:r w:rsidR="00247554" w:rsidRPr="0003073C">
        <w:rPr>
          <w:lang w:val="en-GB"/>
        </w:rPr>
        <w:t>β</w:t>
      </w:r>
      <w:r w:rsidR="00E43C29" w:rsidRPr="0003073C">
        <w:rPr>
          <w:lang w:val="en-GB"/>
        </w:rPr>
        <w:t>-blocker</w:t>
      </w:r>
      <w:r w:rsidR="00E2024E" w:rsidRPr="0003073C">
        <w:rPr>
          <w:lang w:val="en-GB"/>
        </w:rPr>
        <w:t>s</w:t>
      </w:r>
      <w:r w:rsidR="00E43C29" w:rsidRPr="0003073C">
        <w:rPr>
          <w:lang w:val="en-GB"/>
        </w:rPr>
        <w:t xml:space="preserve"> w</w:t>
      </w:r>
      <w:r w:rsidR="00A017F4" w:rsidRPr="0003073C">
        <w:rPr>
          <w:lang w:val="en-GB"/>
        </w:rPr>
        <w:t>ere</w:t>
      </w:r>
      <w:r w:rsidR="00E43C29" w:rsidRPr="0003073C">
        <w:rPr>
          <w:lang w:val="en-GB"/>
        </w:rPr>
        <w:t xml:space="preserve"> achieved</w:t>
      </w:r>
      <w:r w:rsidR="000C6C44" w:rsidRPr="0003073C">
        <w:rPr>
          <w:lang w:val="en-GB"/>
        </w:rPr>
        <w:t xml:space="preserve"> after </w:t>
      </w:r>
      <w:r w:rsidR="000C6C44" w:rsidRPr="0003073C">
        <w:rPr>
          <w:lang w:val="en-GB"/>
        </w:rPr>
        <w:lastRenderedPageBreak/>
        <w:t>up</w:t>
      </w:r>
      <w:r w:rsidR="006278A6" w:rsidRPr="0003073C">
        <w:rPr>
          <w:lang w:val="en-GB"/>
        </w:rPr>
        <w:t>-</w:t>
      </w:r>
      <w:r w:rsidR="000C6C44" w:rsidRPr="0003073C">
        <w:rPr>
          <w:lang w:val="en-GB"/>
        </w:rPr>
        <w:t>titration</w:t>
      </w:r>
      <w:r w:rsidR="00E43C29" w:rsidRPr="0003073C">
        <w:rPr>
          <w:lang w:val="en-GB"/>
        </w:rPr>
        <w:fldChar w:fldCharType="begin" w:fldLock="1"/>
      </w:r>
      <w:r w:rsidR="00506798" w:rsidRPr="0003073C">
        <w:rPr>
          <w:lang w:val="en-GB"/>
        </w:rPr>
        <w:instrText>ADDIN CSL_CITATION {"citationItems":[{"id":"ITEM-1","itemData":{"DOI":"10.1093/eurheartj/ehn309","ISSN":"1522-9645","PMID":"18799522","author":[{"dropping-particle":"","family":"Dickstein","given":"Kenneth","non-dropping-particle":"","parse-names":false,"suffix":""},{"dropping-particle":"","family":"Cohen-Solal","given":"Alain","non-dropping-particle":"","parse-names":false,"suffix":""},{"dropping-particle":"","family":"Filippatos","given":"Gerasimos","non-dropping-particle":"","parse-names":false,"suffix":""},{"dropping-particle":"V","family":"McMurray","given":"John J","non-dropping-particle":"","parse-names":false,"suffix":""},{"dropping-particle":"","family":"Ponikowski","given":"Piotr","non-dropping-particle":"","parse-names":false,"suffix":""},{"dropping-particle":"","family":"Poole-Wilson","given":"Philip Alexander","non-dropping-particle":"","parse-names":false,"suffix":""},{"dropping-particle":"","family":"Strömberg","given":"Anna","non-dropping-particle":"","parse-names":false,"suffix":""},{"dropping-particle":"","family":"Veldhuisen","given":"Dirk J","non-dropping-particle":"van","parse-names":false,"suffix":""},{"dropping-particle":"","family":"Atar","given":"Dan","non-dropping-particle":"","parse-names":false,"suffix":""},{"dropping-particle":"","family":"Hoes","given":"Arno W","non-dropping-particle":"","parse-names":false,"suffix":""},{"dropping-particle":"","family":"Keren","given":"Andre","non-dropping-particle":"","parse-names":false,"suffix":""},{"dropping-particle":"","family":"Mebazaa","given":"Alexandre","non-dropping-particle":"","parse-names":false,"suffix":""},{"dropping-particle":"","family":"Nieminen","given":"Markku","non-dropping-particle":"","parse-names":false,"suffix":""},{"dropping-particle":"","family":"Priori","given":"Silvia Giuliana","non-dropping-particle":"","parse-names":false,"suffix":""},{"dropping-particle":"","family":"Swedberg","given":"Karl","non-dropping-particle":"","parse-names":false,"suffix":""},{"dropping-particle":"","family":"ESC Committee for Practice Guidelines (CPG)","given":"","non-dropping-particle":"","parse-names":false,"suffix":""}],"container-title":"European heart journal","id":"ITEM-1","issue":"19","issued":{"date-parts":[["2008","10","1"]]},"page":"2388-442","title":"ESC Guidelines for the diagnosis and treatment of acute and chronic heart failure 2008: the Task Force for the Diagnosis and Treatment of Acute and Chronic Heart Failure 2008 of the European Society of Cardiology. Developed in collaboration with the Heart","type":"article-journal","volume":"29"},"uris":["http://www.mendeley.com/documents/?uuid=66357fde-93a9-4fac-ac3b-6e977b367958"]},{"id":"ITEM-2","itemData":{"DOI":"10.1002/ejhf.592","ISSN":"1879-0844","PMID":"27207191","author":[{"dropping-particle":"","family":"Ponikowski","given":"Piotr","non-dropping-particle":"","parse-names":false,"suffix":""},{"dropping-particle":"","family":"Voors","given":"Adriaan A","non-dropping-particle":"","parse-names":false,"suffix":""},{"dropping-particle":"","family":"Anker","given":"Stefan D","non-dropping-particle":"","parse-names":false,"suffix":""},{"dropping-particle":"","family":"Bueno","given":"Héctor","non-dropping-particle":"","parse-names":false,"suffix":""},{"dropping-particle":"","family":"Cleland","given":"John G F","non-dropping-particle":"","parse-names":false,"suffix":""},{"dropping-particle":"","family":"Coats","given":"Andrew J S","non-dropping-particle":"","parse-names":false,"suffix":""},{"dropping-particle":"","family":"Falk","given":"Volkmar","non-dropping-particle":"","parse-names":false,"suffix":""},{"dropping-particle":"","family":"González-Juanatey","given":"José Ramón","non-dropping-particle":"","parse-names":false,"suffix":""},{"dropping-particle":"","family":"Harjola","given":"Veli-Pekka","non-dropping-particle":"","parse-names":false,"suffix":""},{"dropping-particle":"","family":"Jankowska","given":"Ewa A","non-dropping-particle":"","parse-names":false,"suffix":""},{"dropping-particle":"","family":"Jessup","given":"Mariell","non-dropping-particle":"","parse-names":false,"suffix":""},{"dropping-particle":"","family":"Linde","given":"Cecilia","non-dropping-particle":"","parse-names":false,"suffix":""},{"dropping-particle":"","family":"Nihoyannopoulos","given":"Petros","non-dropping-particle":"","parse-names":false,"suffix":""},{"dropping-particle":"","family":"Parissis","given":"John T","non-dropping-particle":"","parse-names":false,"suffix":""},{"dropping-particle":"","family":"Pieske","given":"Burkert","non-dropping-particle":"","parse-names":false,"suffix":""},{"dropping-particle":"","family":"Riley","given":"Jillian P","non-dropping-particle":"","parse-names":false,"suffix":""},{"dropping-particle":"","family":"Rosano","given":"Giuseppe M C","non-dropping-particle":"","parse-names":false,"suffix":""},{"dropping-particle":"","family":"Ruilope","given":"Luis M","non-dropping-particle":"","parse-names":false,"suffix":""},{"dropping-particle":"","family":"Ruschitzka","given":"Frank","non-dropping-particle":"","parse-names":false,"suffix":""},{"dropping-particle":"","family":"Rutten","given":"Frans H","non-dropping-particle":"","parse-names":false,"suffix":""},{"dropping-particle":"","family":"Meer","given":"Peter","non-dropping-particle":"van der","parse-names":false,"suffix":""},{"dropping-particle":"","family":"Authors/Task Force Members","given":"","non-dropping-particle":"","parse-names":false,"suffix":""},{"dropping-particle":"","family":"Document Reviewers","given":"","non-dropping-particle":"","parse-names":false,"suffix":""}],"container-title":"European journal of heart failure","id":"ITEM-2","issue":"8","issued":{"date-parts":[["2016","8","20"]]},"page":"891-975","title":"2016 ESC Guidelines for the diagnosis and treatment of acute and chronic heart failure: The Task Force for the diagnosis and treatment of acute and chronic heart failure of the European Society of Cardiology (ESC). Developed with the special contribution","type":"article-journal","volume":"18"},"uris":["http://www.mendeley.com/documents/?uuid=b52716cf-f7ad-4c20-84c1-bf81fa7ae1a7"]}],"mendeley":{"formattedCitation":"&lt;sup&gt;1,27&lt;/sup&gt;","plainTextFormattedCitation":"1,27","previouslyFormattedCitation":"&lt;sup&gt;1,27&lt;/sup&gt;"},"properties":{"noteIndex":0},"schema":"https://github.com/citation-style-language/schema/raw/master/csl-citation.json"}</w:instrText>
      </w:r>
      <w:r w:rsidR="00E43C29" w:rsidRPr="0003073C">
        <w:rPr>
          <w:lang w:val="en-GB"/>
        </w:rPr>
        <w:fldChar w:fldCharType="separate"/>
      </w:r>
      <w:r w:rsidR="004343C0" w:rsidRPr="0003073C">
        <w:rPr>
          <w:noProof/>
          <w:vertAlign w:val="superscript"/>
          <w:lang w:val="en-GB"/>
        </w:rPr>
        <w:t>1,27</w:t>
      </w:r>
      <w:r w:rsidR="00E43C29" w:rsidRPr="0003073C">
        <w:rPr>
          <w:lang w:val="en-GB"/>
        </w:rPr>
        <w:fldChar w:fldCharType="end"/>
      </w:r>
      <w:r w:rsidR="00E43C29" w:rsidRPr="0003073C">
        <w:rPr>
          <w:lang w:val="en-GB"/>
        </w:rPr>
        <w:t>.</w:t>
      </w:r>
      <w:r w:rsidR="001F783E" w:rsidRPr="0003073C">
        <w:rPr>
          <w:lang w:val="en-GB"/>
        </w:rPr>
        <w:t xml:space="preserve"> </w:t>
      </w:r>
      <w:r w:rsidR="00E2024E" w:rsidRPr="0003073C">
        <w:rPr>
          <w:lang w:val="en-GB"/>
        </w:rPr>
        <w:t xml:space="preserve">While </w:t>
      </w:r>
      <w:r w:rsidR="008B6AE4" w:rsidRPr="0003073C">
        <w:rPr>
          <w:lang w:val="en-GB"/>
        </w:rPr>
        <w:t>the use</w:t>
      </w:r>
      <w:r w:rsidR="00A017F4" w:rsidRPr="0003073C">
        <w:rPr>
          <w:lang w:val="en-GB"/>
        </w:rPr>
        <w:t xml:space="preserve"> (versus non-use)</w:t>
      </w:r>
      <w:r w:rsidR="008B6AE4" w:rsidRPr="0003073C">
        <w:rPr>
          <w:lang w:val="en-GB"/>
        </w:rPr>
        <w:t xml:space="preserve"> of mineralocorticoid receptor antagonist</w:t>
      </w:r>
      <w:r w:rsidR="00E2024E" w:rsidRPr="0003073C">
        <w:rPr>
          <w:lang w:val="en-GB"/>
        </w:rPr>
        <w:t>s</w:t>
      </w:r>
      <w:r w:rsidR="008B6AE4" w:rsidRPr="0003073C">
        <w:rPr>
          <w:lang w:val="en-GB"/>
        </w:rPr>
        <w:t xml:space="preserve"> (MRA) </w:t>
      </w:r>
      <w:r w:rsidR="00E2024E" w:rsidRPr="0003073C">
        <w:rPr>
          <w:lang w:val="en-GB"/>
        </w:rPr>
        <w:t xml:space="preserve">was considered, </w:t>
      </w:r>
      <w:r w:rsidR="008B6AE4" w:rsidRPr="0003073C">
        <w:rPr>
          <w:lang w:val="en-GB"/>
        </w:rPr>
        <w:t>no specific MRA up-titration strategy was used in BIOSTAT-CHF</w:t>
      </w:r>
      <w:r w:rsidR="00A017F4" w:rsidRPr="0003073C">
        <w:rPr>
          <w:lang w:val="en-GB"/>
        </w:rPr>
        <w:t xml:space="preserve"> or ASIAN-HF</w:t>
      </w:r>
      <w:r w:rsidR="008B6AE4" w:rsidRPr="0003073C">
        <w:rPr>
          <w:lang w:val="en-GB"/>
        </w:rPr>
        <w:t>. We</w:t>
      </w:r>
      <w:r w:rsidR="00A017F4" w:rsidRPr="0003073C">
        <w:rPr>
          <w:lang w:val="en-GB"/>
        </w:rPr>
        <w:t xml:space="preserve"> therefore</w:t>
      </w:r>
      <w:r w:rsidR="008B6AE4" w:rsidRPr="0003073C">
        <w:rPr>
          <w:lang w:val="en-GB"/>
        </w:rPr>
        <w:t xml:space="preserve"> did </w:t>
      </w:r>
      <w:r w:rsidR="000542AD" w:rsidRPr="0003073C">
        <w:rPr>
          <w:lang w:val="en-GB"/>
        </w:rPr>
        <w:t>not include MRA dosage up</w:t>
      </w:r>
      <w:r w:rsidR="00A017F4" w:rsidRPr="0003073C">
        <w:rPr>
          <w:lang w:val="en-GB"/>
        </w:rPr>
        <w:t>-</w:t>
      </w:r>
      <w:r w:rsidR="000542AD" w:rsidRPr="0003073C">
        <w:rPr>
          <w:lang w:val="en-GB"/>
        </w:rPr>
        <w:t xml:space="preserve">titration in our analyses, but </w:t>
      </w:r>
      <w:r w:rsidR="008B6AE4" w:rsidRPr="0003073C">
        <w:rPr>
          <w:lang w:val="en-GB"/>
        </w:rPr>
        <w:t>correct</w:t>
      </w:r>
      <w:r w:rsidR="000542AD" w:rsidRPr="0003073C">
        <w:rPr>
          <w:lang w:val="en-GB"/>
        </w:rPr>
        <w:t>ed</w:t>
      </w:r>
      <w:r w:rsidR="008B6AE4" w:rsidRPr="0003073C">
        <w:rPr>
          <w:lang w:val="en-GB"/>
        </w:rPr>
        <w:t xml:space="preserve"> for MRA prescription.</w:t>
      </w:r>
    </w:p>
    <w:p w14:paraId="1BD99E32" w14:textId="77777777" w:rsidR="000167DB" w:rsidRPr="0003073C" w:rsidRDefault="000167DB" w:rsidP="007419B4">
      <w:pPr>
        <w:spacing w:line="480" w:lineRule="auto"/>
        <w:rPr>
          <w:lang w:val="en-GB"/>
        </w:rPr>
      </w:pPr>
    </w:p>
    <w:p w14:paraId="7900ABE8" w14:textId="62752BB4" w:rsidR="00B47590" w:rsidRPr="0003073C" w:rsidRDefault="00B47590" w:rsidP="007419B4">
      <w:pPr>
        <w:pStyle w:val="Titre2"/>
      </w:pPr>
      <w:r w:rsidRPr="0003073C">
        <w:t>Outcomes</w:t>
      </w:r>
    </w:p>
    <w:p w14:paraId="68109B99" w14:textId="74DC7218" w:rsidR="00B47590" w:rsidRPr="0003073C" w:rsidRDefault="001D7F0D" w:rsidP="007419B4">
      <w:pPr>
        <w:spacing w:line="480" w:lineRule="auto"/>
        <w:rPr>
          <w:lang w:val="en-GB"/>
        </w:rPr>
      </w:pPr>
      <w:r w:rsidRPr="0003073C">
        <w:rPr>
          <w:lang w:val="en-GB"/>
        </w:rPr>
        <w:t>The p</w:t>
      </w:r>
      <w:r w:rsidR="00B47590" w:rsidRPr="0003073C">
        <w:rPr>
          <w:lang w:val="en-GB"/>
        </w:rPr>
        <w:t xml:space="preserve">rimary outcome </w:t>
      </w:r>
      <w:r w:rsidR="007625E9" w:rsidRPr="0003073C">
        <w:rPr>
          <w:lang w:val="en-GB"/>
        </w:rPr>
        <w:t xml:space="preserve">of interest </w:t>
      </w:r>
      <w:r w:rsidR="00FD065E" w:rsidRPr="0003073C">
        <w:rPr>
          <w:lang w:val="en-GB"/>
        </w:rPr>
        <w:t>was</w:t>
      </w:r>
      <w:r w:rsidR="00B47590" w:rsidRPr="0003073C">
        <w:rPr>
          <w:lang w:val="en-GB"/>
        </w:rPr>
        <w:t xml:space="preserve"> </w:t>
      </w:r>
      <w:r w:rsidR="00C64418" w:rsidRPr="0003073C">
        <w:rPr>
          <w:lang w:val="en-GB"/>
        </w:rPr>
        <w:t>the</w:t>
      </w:r>
      <w:r w:rsidR="000167DB" w:rsidRPr="0003073C">
        <w:rPr>
          <w:lang w:val="en-GB"/>
        </w:rPr>
        <w:t xml:space="preserve"> </w:t>
      </w:r>
      <w:r w:rsidR="00B47590" w:rsidRPr="0003073C">
        <w:rPr>
          <w:lang w:val="en-GB"/>
        </w:rPr>
        <w:t xml:space="preserve">composite of all-cause </w:t>
      </w:r>
      <w:r w:rsidR="00ED5C38" w:rsidRPr="0003073C">
        <w:rPr>
          <w:lang w:val="en-GB"/>
        </w:rPr>
        <w:t>mortality</w:t>
      </w:r>
      <w:r w:rsidR="00B47590" w:rsidRPr="0003073C">
        <w:rPr>
          <w:lang w:val="en-GB"/>
        </w:rPr>
        <w:t xml:space="preserve"> or </w:t>
      </w:r>
      <w:r w:rsidR="007625E9" w:rsidRPr="0003073C">
        <w:rPr>
          <w:lang w:val="en-GB"/>
        </w:rPr>
        <w:t>hospitalization for HF</w:t>
      </w:r>
      <w:r w:rsidR="00B47590" w:rsidRPr="0003073C">
        <w:rPr>
          <w:lang w:val="en-GB"/>
        </w:rPr>
        <w:t xml:space="preserve">. </w:t>
      </w:r>
      <w:r w:rsidR="007625E9" w:rsidRPr="0003073C">
        <w:rPr>
          <w:lang w:val="en-GB"/>
        </w:rPr>
        <w:t>We also assessed</w:t>
      </w:r>
      <w:r w:rsidR="00087D5B" w:rsidRPr="0003073C">
        <w:rPr>
          <w:lang w:val="en-GB"/>
        </w:rPr>
        <w:t xml:space="preserve"> all-cause mortality alone </w:t>
      </w:r>
      <w:r w:rsidR="008A7DDA" w:rsidRPr="0003073C">
        <w:rPr>
          <w:lang w:val="en-GB"/>
        </w:rPr>
        <w:t xml:space="preserve">and </w:t>
      </w:r>
      <w:r w:rsidR="001A4DFA" w:rsidRPr="0003073C">
        <w:rPr>
          <w:lang w:val="en-GB"/>
        </w:rPr>
        <w:t xml:space="preserve">admission to hospital because of worsening </w:t>
      </w:r>
      <w:r w:rsidR="008A7DDA" w:rsidRPr="0003073C">
        <w:rPr>
          <w:lang w:val="en-GB"/>
        </w:rPr>
        <w:t xml:space="preserve">HF </w:t>
      </w:r>
      <w:r w:rsidR="00087D5B" w:rsidRPr="0003073C">
        <w:rPr>
          <w:lang w:val="en-GB"/>
        </w:rPr>
        <w:t>as secondary outcome</w:t>
      </w:r>
      <w:r w:rsidR="008A7DDA" w:rsidRPr="0003073C">
        <w:rPr>
          <w:lang w:val="en-GB"/>
        </w:rPr>
        <w:t>s</w:t>
      </w:r>
      <w:r w:rsidR="00087D5B" w:rsidRPr="0003073C">
        <w:rPr>
          <w:lang w:val="en-GB"/>
        </w:rPr>
        <w:t>.</w:t>
      </w:r>
      <w:r w:rsidR="007625E9" w:rsidRPr="0003073C">
        <w:rPr>
          <w:lang w:val="en-GB"/>
        </w:rPr>
        <w:t xml:space="preserve"> </w:t>
      </w:r>
      <w:r w:rsidR="00C00E6A" w:rsidRPr="0003073C">
        <w:rPr>
          <w:rFonts w:cstheme="minorHAnsi"/>
          <w:iCs/>
          <w:lang w:val="en-US"/>
        </w:rPr>
        <w:t>Events were adjudicated by an adjudication committee in ASIAN-HF, but in BIOSTAT-CHF, adjudication was done by the treating physicians. However, a systematic meta-analysis failed to detect any effect of event adjudication on study conclusions of cardiovascular outcome trials and the numbers of events included in the final analyses were minimally changed</w:t>
      </w:r>
      <w:r w:rsidR="00C00E6A" w:rsidRPr="0003073C">
        <w:rPr>
          <w:rFonts w:cstheme="minorHAnsi"/>
          <w:iCs/>
          <w:lang w:val="en-US"/>
        </w:rPr>
        <w:fldChar w:fldCharType="begin" w:fldLock="1"/>
      </w:r>
      <w:r w:rsidR="0041427D" w:rsidRPr="0003073C">
        <w:rPr>
          <w:rFonts w:cstheme="minorHAnsi"/>
          <w:iCs/>
          <w:lang w:val="en-US"/>
        </w:rPr>
        <w:instrText>ADDIN CSL_CITATION {"citationItems":[{"id":"ITEM-1","itemData":{"DOI":"10.1177/1740774509105223","ISBN":"1740-7745","ISSN":"1740-7745","PMID":"19528133","abstract":"BACKGROUND Event adjudication in randomized controlled trials is thought to be a necessary step to remove noise and potential bias from the results [1,2]. However, this hypothesis has not been widely evaluated. We conducted a meta-analysis of a series of cardiovascular outcomes trials and estimated the effect of adjudication on treatment estimates and on the number of outcomes included the trials. METHODS Data were retrieved from all cardiovascular outcomes trials conducted at the Population Health Research Institute (PHRI) between 1993 and 2006. These data included 10 trials with over 9000 events from 95,038 individuals. Differences in the log odds ratios between adjudicated and reported outcomes were analyzed and summarized using a ratio of odds ratios. Both masked and unmasked trials were included in this analysis. RESULTS There were no effects of event adjudication on the estimates of treatment effect for the primary outcomes, myocardial infarction (MI), stroke, or cardiovascular/vascular death. For the trial primary outcomes, the effect of adjudication vs. reported events was OR ratio = 1.00 [95% confidence interval (CI): 0.97-1.02]. There were also no significant differences in the number of outcomes included in the trials. Results were the same for masked and unmasked trials. LIMITATIONS The number of unmasked trials were small, and this analysis was restricted to cardiovascular endpoints reported from trials managed by a single coordinating center, with similar sets of procedures. Individual patient data were not used for the analysis. CONCLUSIONS This systematic meta-analysis failed to detect any effect of event adjudication on study conclusions and the numbers of events included in the final analyses were minimally changed. Given the considerable effort required to perform adjudication, there is a need to demonstrate that this process does indeed increase the sensitivity of trials. There is a need to conduct more systematic analyses of the effect of event adjudication in other trials to determine if this process is truly worthwhile.","author":[{"dropping-particle":"","family":"Pogue","given":"Janice","non-dropping-particle":"","parse-names":false,"suffix":""},{"dropping-particle":"","family":"Walter","given":"Stephen D","non-dropping-particle":"","parse-names":false,"suffix":""},{"dropping-particle":"","family":"Yusuf","given":"Salim","non-dropping-particle":"","parse-names":false,"suffix":""}],"container-title":"Clinical trials (London, England)","id":"ITEM-1","issue":"3","issued":{"date-parts":[["2009","6"]]},"page":"239-51","title":"Evaluating the benefit of event adjudication of cardiovascular outcomes in large simple RCTs.","type":"article-journal","volume":"6"},"uris":["http://www.mendeley.com/documents/?uuid=209b5583-45a8-4313-90cf-fe5c1b29a4fd"]}],"mendeley":{"formattedCitation":"&lt;sup&gt;28&lt;/sup&gt;","plainTextFormattedCitation":"28","previouslyFormattedCitation":"&lt;sup&gt;28&lt;/sup&gt;"},"properties":{"noteIndex":0},"schema":"https://github.com/citation-style-language/schema/raw/master/csl-citation.json"}</w:instrText>
      </w:r>
      <w:r w:rsidR="00C00E6A" w:rsidRPr="0003073C">
        <w:rPr>
          <w:rFonts w:cstheme="minorHAnsi"/>
          <w:iCs/>
          <w:lang w:val="en-US"/>
        </w:rPr>
        <w:fldChar w:fldCharType="separate"/>
      </w:r>
      <w:r w:rsidR="00C00E6A" w:rsidRPr="0003073C">
        <w:rPr>
          <w:rFonts w:cstheme="minorHAnsi"/>
          <w:iCs/>
          <w:noProof/>
          <w:vertAlign w:val="superscript"/>
          <w:lang w:val="en-US"/>
        </w:rPr>
        <w:t>28</w:t>
      </w:r>
      <w:r w:rsidR="00C00E6A" w:rsidRPr="0003073C">
        <w:rPr>
          <w:rFonts w:cstheme="minorHAnsi"/>
          <w:iCs/>
          <w:lang w:val="en-US"/>
        </w:rPr>
        <w:fldChar w:fldCharType="end"/>
      </w:r>
      <w:r w:rsidR="00C00E6A" w:rsidRPr="0003073C">
        <w:rPr>
          <w:rFonts w:cstheme="minorHAnsi"/>
          <w:iCs/>
          <w:lang w:val="en-US"/>
        </w:rPr>
        <w:t>.</w:t>
      </w:r>
    </w:p>
    <w:p w14:paraId="0F4EE2F3" w14:textId="456ADA24" w:rsidR="003215EF" w:rsidRPr="0003073C" w:rsidRDefault="003215EF" w:rsidP="007419B4">
      <w:pPr>
        <w:spacing w:line="480" w:lineRule="auto"/>
        <w:rPr>
          <w:lang w:val="en-GB"/>
        </w:rPr>
      </w:pPr>
    </w:p>
    <w:p w14:paraId="2999D76F" w14:textId="458BD3E2" w:rsidR="003215EF" w:rsidRPr="0003073C" w:rsidRDefault="0048289E" w:rsidP="007419B4">
      <w:pPr>
        <w:pStyle w:val="Titre2"/>
        <w:rPr>
          <w:lang w:val="en-GB"/>
        </w:rPr>
      </w:pPr>
      <w:r w:rsidRPr="0003073C">
        <w:rPr>
          <w:w w:val="115"/>
          <w:lang w:val="en-GB"/>
        </w:rPr>
        <w:t>Statistical</w:t>
      </w:r>
      <w:r w:rsidRPr="0003073C">
        <w:rPr>
          <w:spacing w:val="31"/>
          <w:w w:val="115"/>
          <w:lang w:val="en-GB"/>
        </w:rPr>
        <w:t xml:space="preserve"> </w:t>
      </w:r>
      <w:r w:rsidRPr="0003073C">
        <w:rPr>
          <w:w w:val="115"/>
          <w:lang w:val="en-GB"/>
        </w:rPr>
        <w:t>analysis</w:t>
      </w:r>
    </w:p>
    <w:p w14:paraId="162A2F28" w14:textId="0E5FC926" w:rsidR="00AF290E" w:rsidRPr="0003073C" w:rsidRDefault="00C22821" w:rsidP="007419B4">
      <w:pPr>
        <w:spacing w:line="480" w:lineRule="auto"/>
        <w:rPr>
          <w:lang w:val="en-GB"/>
        </w:rPr>
      </w:pPr>
      <w:r w:rsidRPr="0003073C">
        <w:rPr>
          <w:lang w:val="en-GB"/>
        </w:rPr>
        <w:t xml:space="preserve">We analysed data from </w:t>
      </w:r>
      <w:r w:rsidR="00A017F4" w:rsidRPr="0003073C">
        <w:rPr>
          <w:lang w:val="en-GB"/>
        </w:rPr>
        <w:t xml:space="preserve">16 </w:t>
      </w:r>
      <w:r w:rsidRPr="0003073C">
        <w:rPr>
          <w:lang w:val="en-GB"/>
        </w:rPr>
        <w:t xml:space="preserve">groups of patients achieving </w:t>
      </w:r>
      <w:r w:rsidR="00A017F4" w:rsidRPr="0003073C">
        <w:rPr>
          <w:lang w:val="en-GB"/>
        </w:rPr>
        <w:t xml:space="preserve">combinations of </w:t>
      </w:r>
      <w:r w:rsidR="00336AFB" w:rsidRPr="0003073C">
        <w:rPr>
          <w:lang w:val="en-GB"/>
        </w:rPr>
        <w:t>0%, 1–49%, 50-99% and ≥100</w:t>
      </w:r>
      <w:r w:rsidRPr="0003073C">
        <w:rPr>
          <w:lang w:val="en-GB"/>
        </w:rPr>
        <w:t xml:space="preserve">% </w:t>
      </w:r>
      <w:r w:rsidR="001D7F0D" w:rsidRPr="0003073C">
        <w:rPr>
          <w:lang w:val="en-GB"/>
        </w:rPr>
        <w:t xml:space="preserve">of </w:t>
      </w:r>
      <w:r w:rsidR="002C7C6C" w:rsidRPr="0003073C">
        <w:rPr>
          <w:lang w:val="en-GB"/>
        </w:rPr>
        <w:t>GRTD</w:t>
      </w:r>
      <w:r w:rsidR="001D7F0D" w:rsidRPr="0003073C">
        <w:rPr>
          <w:lang w:val="en-GB"/>
        </w:rPr>
        <w:t xml:space="preserve"> of </w:t>
      </w:r>
      <w:proofErr w:type="spellStart"/>
      <w:r w:rsidR="0097692F" w:rsidRPr="0003073C">
        <w:rPr>
          <w:lang w:val="en-GB"/>
        </w:rPr>
        <w:t>ACEi</w:t>
      </w:r>
      <w:proofErr w:type="spellEnd"/>
      <w:r w:rsidR="0097692F" w:rsidRPr="0003073C">
        <w:rPr>
          <w:lang w:val="en-GB"/>
        </w:rPr>
        <w:t>/ARB</w:t>
      </w:r>
      <w:r w:rsidR="0097692F" w:rsidRPr="0003073C" w:rsidDel="0097692F">
        <w:rPr>
          <w:lang w:val="en-GB"/>
        </w:rPr>
        <w:t xml:space="preserve"> </w:t>
      </w:r>
      <w:r w:rsidR="00826540" w:rsidRPr="0003073C">
        <w:rPr>
          <w:lang w:val="en-GB"/>
        </w:rPr>
        <w:t>and</w:t>
      </w:r>
      <w:r w:rsidRPr="0003073C">
        <w:rPr>
          <w:lang w:val="en-GB"/>
        </w:rPr>
        <w:t xml:space="preserve"> </w:t>
      </w:r>
      <w:r w:rsidR="00247554" w:rsidRPr="0003073C">
        <w:rPr>
          <w:lang w:val="en-GB"/>
        </w:rPr>
        <w:t>β</w:t>
      </w:r>
      <w:r w:rsidRPr="0003073C">
        <w:rPr>
          <w:lang w:val="en-GB"/>
        </w:rPr>
        <w:t xml:space="preserve">-blocker. </w:t>
      </w:r>
      <w:r w:rsidR="00A017F4" w:rsidRPr="0003073C">
        <w:rPr>
          <w:lang w:val="en-GB"/>
        </w:rPr>
        <w:t xml:space="preserve">In order to have enough statistical power in all 16 treatment groups, we combined both ASIAN-HF and BIOSTAT-CHF cohorts. We corrected for being included in either ASIAN-HF or BIOSTAT-CHF in all analyses. Results for each group were summarized </w:t>
      </w:r>
      <w:r w:rsidRPr="0003073C">
        <w:rPr>
          <w:lang w:val="en-GB"/>
        </w:rPr>
        <w:t xml:space="preserve">using standard descriptive statistics including, as appropriate, mean ± standard deviation (SD) and median plus </w:t>
      </w:r>
      <w:r w:rsidR="00C77AF4" w:rsidRPr="0003073C">
        <w:rPr>
          <w:lang w:val="en-GB"/>
        </w:rPr>
        <w:t>25th</w:t>
      </w:r>
      <w:r w:rsidR="00BD1ECB" w:rsidRPr="0003073C">
        <w:rPr>
          <w:lang w:val="en-GB"/>
        </w:rPr>
        <w:t>-</w:t>
      </w:r>
      <w:r w:rsidR="00C77AF4" w:rsidRPr="0003073C">
        <w:rPr>
          <w:lang w:val="en-GB"/>
        </w:rPr>
        <w:t xml:space="preserve">75th </w:t>
      </w:r>
      <w:r w:rsidR="00A50899" w:rsidRPr="0003073C">
        <w:rPr>
          <w:lang w:val="en-GB"/>
        </w:rPr>
        <w:t>percentiles</w:t>
      </w:r>
      <w:r w:rsidR="00035761" w:rsidRPr="0003073C">
        <w:rPr>
          <w:lang w:val="en-GB"/>
        </w:rPr>
        <w:t xml:space="preserve"> </w:t>
      </w:r>
      <w:r w:rsidRPr="0003073C">
        <w:rPr>
          <w:lang w:val="en-GB"/>
        </w:rPr>
        <w:t xml:space="preserve">or numbers and </w:t>
      </w:r>
      <w:r w:rsidR="00035761" w:rsidRPr="0003073C">
        <w:rPr>
          <w:lang w:val="en-GB"/>
        </w:rPr>
        <w:t>percentages</w:t>
      </w:r>
      <w:r w:rsidRPr="0003073C">
        <w:rPr>
          <w:lang w:val="en-GB"/>
        </w:rPr>
        <w:t xml:space="preserve">. We tested differences between groups using the </w:t>
      </w:r>
      <w:proofErr w:type="spellStart"/>
      <w:r w:rsidRPr="0003073C">
        <w:rPr>
          <w:lang w:val="en-GB"/>
        </w:rPr>
        <w:t>Kruskal</w:t>
      </w:r>
      <w:proofErr w:type="spellEnd"/>
      <w:r w:rsidRPr="0003073C">
        <w:rPr>
          <w:lang w:val="en-GB"/>
        </w:rPr>
        <w:t xml:space="preserve">-Wallis test (for </w:t>
      </w:r>
      <w:r w:rsidR="00A55570" w:rsidRPr="0003073C">
        <w:rPr>
          <w:lang w:val="en-GB"/>
        </w:rPr>
        <w:t xml:space="preserve">contiguous </w:t>
      </w:r>
      <w:r w:rsidRPr="0003073C">
        <w:rPr>
          <w:lang w:val="en-GB"/>
        </w:rPr>
        <w:t>variables) or the χ² test (for categorical variables</w:t>
      </w:r>
      <w:r w:rsidR="0029627A" w:rsidRPr="0003073C">
        <w:rPr>
          <w:lang w:val="en-GB"/>
        </w:rPr>
        <w:t>)</w:t>
      </w:r>
      <w:r w:rsidRPr="0003073C">
        <w:rPr>
          <w:lang w:val="en-GB"/>
        </w:rPr>
        <w:t>.</w:t>
      </w:r>
    </w:p>
    <w:p w14:paraId="2DFFD103" w14:textId="66F7732D" w:rsidR="00A5647C" w:rsidRPr="0003073C" w:rsidRDefault="00A017F4" w:rsidP="007419B4">
      <w:pPr>
        <w:spacing w:line="480" w:lineRule="auto"/>
        <w:rPr>
          <w:rFonts w:eastAsia="Times New Roman" w:cstheme="minorHAnsi"/>
          <w:i/>
          <w:iCs/>
          <w:sz w:val="20"/>
          <w:szCs w:val="20"/>
          <w:lang w:val="en-US"/>
        </w:rPr>
      </w:pPr>
      <w:r w:rsidRPr="0003073C">
        <w:rPr>
          <w:lang w:val="en-GB"/>
        </w:rPr>
        <w:lastRenderedPageBreak/>
        <w:t>Recognizing that b</w:t>
      </w:r>
      <w:r w:rsidR="00767AF2" w:rsidRPr="0003073C">
        <w:rPr>
          <w:lang w:val="en-GB"/>
        </w:rPr>
        <w:t xml:space="preserve">oth BIOSTAT-CHF and ASIAN-HF were </w:t>
      </w:r>
      <w:r w:rsidRPr="0003073C">
        <w:rPr>
          <w:lang w:val="en-GB"/>
        </w:rPr>
        <w:t>observational non-randomized</w:t>
      </w:r>
      <w:r w:rsidR="00767AF2" w:rsidRPr="0003073C">
        <w:rPr>
          <w:lang w:val="en-GB"/>
        </w:rPr>
        <w:t xml:space="preserve"> studies, we </w:t>
      </w:r>
      <w:r w:rsidRPr="0003073C">
        <w:rPr>
          <w:lang w:val="en-GB"/>
        </w:rPr>
        <w:t xml:space="preserve">were careful </w:t>
      </w:r>
      <w:r w:rsidR="00767AF2" w:rsidRPr="0003073C">
        <w:rPr>
          <w:lang w:val="en-GB"/>
        </w:rPr>
        <w:t xml:space="preserve">to adjust for treatment indication bias in outcome analysis. </w:t>
      </w:r>
      <w:r w:rsidR="00D77C12" w:rsidRPr="0003073C">
        <w:rPr>
          <w:lang w:val="en-GB"/>
        </w:rPr>
        <w:t>We used three methods for adjustment: Propensity score matching, inverse probability weighting with the probability to reach recommended dose and a multivaria</w:t>
      </w:r>
      <w:r w:rsidRPr="0003073C">
        <w:rPr>
          <w:lang w:val="en-GB"/>
        </w:rPr>
        <w:t>bl</w:t>
      </w:r>
      <w:r w:rsidR="00D77C12" w:rsidRPr="0003073C">
        <w:rPr>
          <w:lang w:val="en-GB"/>
        </w:rPr>
        <w:t>e analysis with treatment dose as covariate.</w:t>
      </w:r>
      <w:r w:rsidR="00D77C12" w:rsidRPr="0003073C">
        <w:rPr>
          <w:lang w:val="en-US"/>
        </w:rPr>
        <w:t xml:space="preserve"> </w:t>
      </w:r>
      <w:r w:rsidR="00D77C12" w:rsidRPr="0003073C">
        <w:rPr>
          <w:lang w:val="en-GB"/>
        </w:rPr>
        <w:t>We only report</w:t>
      </w:r>
      <w:r w:rsidR="00723664" w:rsidRPr="0003073C">
        <w:rPr>
          <w:lang w:val="en-GB"/>
        </w:rPr>
        <w:t>ed</w:t>
      </w:r>
      <w:r w:rsidR="00D77C12" w:rsidRPr="0003073C">
        <w:rPr>
          <w:lang w:val="en-GB"/>
        </w:rPr>
        <w:t xml:space="preserve"> results of inverse probability weighting because all methods showed similar results.</w:t>
      </w:r>
      <w:r w:rsidR="007F1F92" w:rsidRPr="0003073C">
        <w:rPr>
          <w:lang w:val="en-GB"/>
        </w:rPr>
        <w:t xml:space="preserve"> </w:t>
      </w:r>
      <w:r w:rsidR="00977881" w:rsidRPr="0003073C">
        <w:rPr>
          <w:rFonts w:eastAsia="Times New Roman" w:cstheme="minorHAnsi"/>
          <w:lang w:val="en-GB"/>
        </w:rPr>
        <w:t xml:space="preserve">All analyses for the effects of </w:t>
      </w:r>
      <w:proofErr w:type="spellStart"/>
      <w:r w:rsidR="00977881" w:rsidRPr="0003073C">
        <w:rPr>
          <w:rFonts w:eastAsia="Times New Roman" w:cstheme="minorHAnsi"/>
          <w:lang w:val="en-GB"/>
        </w:rPr>
        <w:t>ACEi</w:t>
      </w:r>
      <w:proofErr w:type="spellEnd"/>
      <w:r w:rsidR="00977881" w:rsidRPr="0003073C">
        <w:rPr>
          <w:rFonts w:eastAsia="Times New Roman" w:cstheme="minorHAnsi"/>
          <w:lang w:val="en-GB"/>
        </w:rPr>
        <w:t>/ARB</w:t>
      </w:r>
      <w:r w:rsidR="00977881" w:rsidRPr="0003073C" w:rsidDel="006E775C">
        <w:rPr>
          <w:rFonts w:eastAsia="Times New Roman" w:cstheme="minorHAnsi"/>
          <w:lang w:val="en-GB"/>
        </w:rPr>
        <w:t xml:space="preserve"> </w:t>
      </w:r>
      <w:r w:rsidR="00977881" w:rsidRPr="0003073C">
        <w:rPr>
          <w:rFonts w:eastAsia="Times New Roman" w:cstheme="minorHAnsi"/>
          <w:lang w:val="en-GB"/>
        </w:rPr>
        <w:t>and β-blocker treatment were inversely weighted for the probability of achieving ≥50% GRTD</w:t>
      </w:r>
      <w:r w:rsidR="00977881" w:rsidRPr="0003073C">
        <w:rPr>
          <w:rFonts w:eastAsia="Times New Roman" w:cstheme="minorHAnsi"/>
          <w:lang w:val="en-GB"/>
        </w:rPr>
        <w:fldChar w:fldCharType="begin" w:fldLock="1"/>
      </w:r>
      <w:r w:rsidR="00977881" w:rsidRPr="0003073C">
        <w:rPr>
          <w:rFonts w:eastAsia="Times New Roman" w:cstheme="minorHAnsi"/>
          <w:lang w:val="en-GB"/>
        </w:rPr>
        <w:instrText>ADDIN CSL_CITATION {"citationItems":[{"id":"ITEM-1","itemData":{"DOI":"10.18637/jss.v043.i13","ISBN":"1548-7660","ISSN":"1548-7660","PMID":"20808728","abstract":"We develop fast algorithms for estimation of generalized linear models with convex penalties. The models include linear regression, two-class logistic regression, and multinomial regression problems while the penalties include ℓ(1) (the lasso), ℓ(2) (ridge regression) and mixtures of the two (the elastic net). The algorithms use cyclical coordinate descent, computed along a regularization path. The methods can handle large problems and can also deal efficiently with sparse features. In comparative timings we find that the new algorithms are considerably faster than competing methods.","author":[{"dropping-particle":"van der","family":"Wal","given":"Willem M.","non-dropping-particle":"","parse-names":false,"suffix":""},{"dropping-particle":"","family":"Geskus","given":"Ronald B.","non-dropping-particle":"","parse-names":false,"suffix":""}],"container-title":"Journal of Statistical Software","id":"ITEM-1","issue":"13","issued":{"date-parts":[["2011"]]},"page":"1-22","title":"ipw : An R Package for Inverse Probability Weighting","type":"article-journal","volume":"43"},"uris":["http://www.mendeley.com/documents/?uuid=8d1e50f1-2cb7-46c0-a981-924d30d778ce"]},{"id":"ITEM-2","itemData":{"DOI":"10.1007/978-1-4612-1284-3","ISBN":"978-1-4612-7078-2","collection-title":"The IMA Volumes in Mathematics and its Applications","editor":[{"dropping-particle":"","family":"Halloran","given":"M. Elizabeth","non-dropping-particle":"","parse-names":false,"suffix":""},{"dropping-particle":"","family":"Berry","given":"Donald","non-dropping-particle":"","parse-names":false,"suffix":""}],"id":"ITEM-2","issued":{"date-parts":[["2000"]]},"publisher":"Springer New York","publisher-place":"New York, NY","title":"Statistical Models in Epidemiology, the Environment, and Clinical Trials","type":"book","volume":"116"},"uris":["http://www.mendeley.com/documents/?uuid=e55adc07-620f-41d6-b351-98654b248c49"]}],"mendeley":{"formattedCitation":"&lt;sup&gt;29,30&lt;/sup&gt;","plainTextFormattedCitation":"29,30","previouslyFormattedCitation":"&lt;sup&gt;29,30&lt;/sup&gt;"},"properties":{"noteIndex":0},"schema":"https://github.com/citation-style-language/schema/raw/master/csl-citation.json"}</w:instrText>
      </w:r>
      <w:r w:rsidR="00977881" w:rsidRPr="0003073C">
        <w:rPr>
          <w:rFonts w:eastAsia="Times New Roman" w:cstheme="minorHAnsi"/>
          <w:lang w:val="en-GB"/>
        </w:rPr>
        <w:fldChar w:fldCharType="separate"/>
      </w:r>
      <w:r w:rsidR="00977881" w:rsidRPr="0003073C">
        <w:rPr>
          <w:rFonts w:eastAsia="Times New Roman" w:cstheme="minorHAnsi"/>
          <w:noProof/>
          <w:vertAlign w:val="superscript"/>
          <w:lang w:val="en-GB"/>
        </w:rPr>
        <w:t>29,30</w:t>
      </w:r>
      <w:r w:rsidR="00977881" w:rsidRPr="0003073C">
        <w:rPr>
          <w:rFonts w:eastAsia="Times New Roman" w:cstheme="minorHAnsi"/>
          <w:lang w:val="en-US"/>
        </w:rPr>
        <w:fldChar w:fldCharType="end"/>
      </w:r>
      <w:r w:rsidR="00977881" w:rsidRPr="0003073C">
        <w:rPr>
          <w:rFonts w:eastAsia="Times New Roman" w:cstheme="minorHAnsi"/>
          <w:lang w:val="en-GB"/>
        </w:rPr>
        <w:t>. These weights were calculated by the mean probability per patient across all imputation sets, predicted by a penalized logistic model. For the penalized (LASSO) logistic regression analysis predict</w:t>
      </w:r>
      <w:r w:rsidR="00BF648B" w:rsidRPr="0003073C">
        <w:rPr>
          <w:rFonts w:eastAsia="Times New Roman" w:cstheme="minorHAnsi"/>
          <w:lang w:val="en-GB"/>
        </w:rPr>
        <w:t>ing</w:t>
      </w:r>
      <w:r w:rsidR="00977881" w:rsidRPr="0003073C">
        <w:rPr>
          <w:rFonts w:eastAsia="Times New Roman" w:cstheme="minorHAnsi"/>
          <w:lang w:val="en-GB"/>
        </w:rPr>
        <w:t xml:space="preserve"> successful treatment, we included a comprehensive list of 41 clinical variables (Table S1). </w:t>
      </w:r>
      <w:r w:rsidR="00BF648B" w:rsidRPr="0003073C">
        <w:rPr>
          <w:lang w:val="en-GB"/>
        </w:rPr>
        <w:t xml:space="preserve">Heart rate at baseline was also included in the models correcting for treatment indication bias. To prevent </w:t>
      </w:r>
      <w:proofErr w:type="spellStart"/>
      <w:r w:rsidR="00BF648B" w:rsidRPr="0003073C">
        <w:rPr>
          <w:lang w:val="en-GB"/>
        </w:rPr>
        <w:t>overfit</w:t>
      </w:r>
      <w:proofErr w:type="spellEnd"/>
      <w:r w:rsidR="00BF648B" w:rsidRPr="0003073C">
        <w:rPr>
          <w:lang w:val="en-GB"/>
        </w:rPr>
        <w:t xml:space="preserve"> of our statistical models, we used the LASSO regression analyses to select the most parsimonious model</w:t>
      </w:r>
      <w:r w:rsidR="00BF648B" w:rsidRPr="0003073C">
        <w:rPr>
          <w:lang w:val="en-GB"/>
        </w:rPr>
        <w:fldChar w:fldCharType="begin" w:fldLock="1"/>
      </w:r>
      <w:r w:rsidR="000B1498" w:rsidRPr="0003073C">
        <w:rPr>
          <w:lang w:val="en-GB"/>
        </w:rPr>
        <w:instrText>ADDIN CSL_CITATION {"citationItems":[{"id":"ITEM-1","itemData":{"DOI":"10.1080/00273171.2015.1036965","ISSN":"1532-7906","PMID":"26610247","abstract":"Ordinary least squares and stepwise selection are widespread in behavioral science research; however, these methods are well known to encounter overfitting problems such that R(2) and regression coefficients may be inflated while standard errors and p values may be deflated, ultimately reducing both the parsimony of the model and the generalizability of conclusions. More optimal methods for selecting predictors and estimating regression coefficients such as regularization methods (e.g., Lasso) have existed for decades, are widely implemented in other disciplines, and are available in mainstream software, yet, these methods are essentially invisible in the behavioral science literature while the use of sub optimal methods continues to proliferate. This paper discusses potential issues with standard statistical models, provides an introduction to regularization with specific details on both Lasso and its related predecessor ridge regression, provides an example analysis and code for running a Lasso analysis in R and SAS, and discusses limitations and related methods.","author":[{"dropping-particle":"","family":"McNeish","given":"Daniel M.","non-dropping-particle":"","parse-names":false,"suffix":""}],"container-title":"Multivariate behavioral research","id":"ITEM-1","issue":"5","issued":{"date-parts":[["2015"]]},"page":"471-84","title":"Using Lasso for Predictor Selection and to Assuage Overfitting: A Method Long Overlooked in Behavioral Sciences.","type":"article-journal","volume":"50"},"uris":["http://www.mendeley.com/documents/?uuid=40e6d8cb-fe0c-4ba3-8320-89bd3714dd77"]},{"id":"ITEM-2","itemData":{"ISSN":"0277-6715","PMID":"9044528","abstract":"I propose a new method for variable selection and shrinkage in Cox's proportional hazards model. My proposal minimizes the log partial likelihood subject to the sum of the absolute values of the parameters being bounded by a constant. Because of the nature of this constraint, it shrinks coefficients and produces some coefficients that are exactly zero. As a result it reduces the estimation variance while providing an interpretable final model. The method is a variation of the 'lasso' proposal of Tibshirani, designed for the linear regression context. Simulations indicate that the lasso can be more accurate than stepwise selection in this setting.","author":[{"dropping-particle":"","family":"Tibshirani","given":"R","non-dropping-particle":"","parse-names":false,"suffix":""}],"container-title":"Statistics in medicine","id":"ITEM-2","issue":"4","issued":{"date-parts":[["1997","2","28"]]},"page":"385-95","title":"The lasso method for variable selection in the Cox model.","type":"article-journal","volume":"16"},"uris":["http://www.mendeley.com/documents/?uuid=ceb629a1-4409-4e86-92e9-29cd37a8b8a6"]}],"mendeley":{"formattedCitation":"&lt;sup&gt;31,32&lt;/sup&gt;","plainTextFormattedCitation":"31,32","previouslyFormattedCitation":"&lt;sup&gt;31,32&lt;/sup&gt;"},"properties":{"noteIndex":0},"schema":"https://github.com/citation-style-language/schema/raw/master/csl-citation.json"}</w:instrText>
      </w:r>
      <w:r w:rsidR="00BF648B" w:rsidRPr="0003073C">
        <w:rPr>
          <w:lang w:val="en-GB"/>
        </w:rPr>
        <w:fldChar w:fldCharType="separate"/>
      </w:r>
      <w:r w:rsidR="00BF648B" w:rsidRPr="0003073C">
        <w:rPr>
          <w:noProof/>
          <w:vertAlign w:val="superscript"/>
          <w:lang w:val="en-GB"/>
        </w:rPr>
        <w:t>31,32</w:t>
      </w:r>
      <w:r w:rsidR="00BF648B" w:rsidRPr="0003073C">
        <w:rPr>
          <w:lang w:val="en-GB"/>
        </w:rPr>
        <w:fldChar w:fldCharType="end"/>
      </w:r>
      <w:r w:rsidR="00BF648B" w:rsidRPr="0003073C">
        <w:rPr>
          <w:lang w:val="en-GB"/>
        </w:rPr>
        <w:t xml:space="preserve">. </w:t>
      </w:r>
      <w:r w:rsidR="00977881" w:rsidRPr="0003073C">
        <w:rPr>
          <w:rFonts w:eastAsia="Times New Roman" w:cstheme="minorHAnsi"/>
          <w:lang w:val="en-GB"/>
        </w:rPr>
        <w:t>All variables were normalized using Box-Cox transformations where necessary</w:t>
      </w:r>
      <w:r w:rsidR="00977881" w:rsidRPr="0003073C">
        <w:rPr>
          <w:rFonts w:eastAsia="Times New Roman" w:cstheme="minorHAnsi"/>
          <w:lang w:val="en-GB"/>
        </w:rPr>
        <w:fldChar w:fldCharType="begin" w:fldLock="1"/>
      </w:r>
      <w:r w:rsidR="000B1498" w:rsidRPr="0003073C">
        <w:rPr>
          <w:rFonts w:eastAsia="Times New Roman" w:cstheme="minorHAnsi"/>
          <w:lang w:val="en-GB"/>
        </w:rPr>
        <w:instrText>ADDIN CSL_CITATION {"citationItems":[{"id":"ITEM-1","itemData":{"DOI":"10.2307/2287791","author":[{"dropping-particle":"","family":"Box","given":"G. E. P.","non-dropping-particle":"","parse-names":false,"suffix":""},{"dropping-particle":"","family":"Cox","given":"D. R.","non-dropping-particle":"","parse-names":false,"suffix":""}],"container-title":"Journal of the American Statistical Association","id":"ITEM-1","issue":"377","issued":{"date-parts":[["1982","3"]]},"page":"209","title":"An Analysis of Transformations Revisited, Rebutted","type":"article-journal","volume":"77"},"uris":["http://www.mendeley.com/documents/?uuid=7a50a1cf-2470-4419-b786-1bb90832677d"]},{"id":"ITEM-2","itemData":{"DOI":"10.1002/hup.2528","ISBN":"8135940548","ISSN":"1099-1077","PMID":"27230811","abstract":"Neuroendocrine data are typically positively skewed and rarely conform to the expectations of a Gaussian distribution. This can be a problem when attempting to analyse results within the framework of the general linear model, which relies on assumptions that residuals in the data are normally distributed. One frequently used method for handling violations of this assumption is to transform variables to bring residuals into closer alignment with assumptions (as residuals are not directly manipulated). This is often attempted through ad hoc traditional transformations such as square root, log and inverse. However, Box and Cox (Box &amp; Cox, ) observed that these are all special cases of power transformations and proposed a more flexible method of transformation for researchers to optimise alignment with assumptions. The goal of this paper is to demonstrate the benefits of the infinitely flexible Box-Cox transformation on neuroendocrine data using syntax in spss. When applied to positively skewed data typical of neuroendocrine data, the majority (~2/3) of cases were brought into strict alignment with Gaussian distribution (i.e. a non-significant Shapiro-Wilks test). Those unable to meet this challenge showed substantial improvement in distributional properties. The biggest challenge was distributions with a high ratio of kurtosis to skewness. We discuss how these cases might be handled, and we highlight some of the broader issues associated with transformation. Copyright © 2016 John Wiley &amp; Sons, Ltd.","author":[{"dropping-particle":"","family":"Clark","given":"James E","non-dropping-particle":"","parse-names":false,"suffix":""},{"dropping-particle":"","family":"Osborne","given":"Jason W","non-dropping-particle":"","parse-names":false,"suffix":""},{"dropping-particle":"","family":"Gallagher","given":"Peter","non-dropping-particle":"","parse-names":false,"suffix":""},{"dropping-particle":"","family":"Watson","given":"Stuart","non-dropping-particle":"","parse-names":false,"suffix":""}],"container-title":"Human psychopharmacology","id":"ITEM-2","issue":"4","issued":{"date-parts":[["2016","7"]]},"page":"259-67","title":"A simple method for optimising transformation of non-parametric data: an illustration by reference to cortisol assays.","type":"article-journal","volume":"31"},"uris":["http://www.mendeley.com/documents/?uuid=423d6e30-33d5-4939-ae7c-90795db68a6c"]}],"mendeley":{"formattedCitation":"&lt;sup&gt;33,34&lt;/sup&gt;","plainTextFormattedCitation":"33,34","previouslyFormattedCitation":"&lt;sup&gt;33,34&lt;/sup&gt;"},"properties":{"noteIndex":0},"schema":"https://github.com/citation-style-language/schema/raw/master/csl-citation.json"}</w:instrText>
      </w:r>
      <w:r w:rsidR="00977881" w:rsidRPr="0003073C">
        <w:rPr>
          <w:rFonts w:eastAsia="Times New Roman" w:cstheme="minorHAnsi"/>
          <w:lang w:val="en-GB"/>
        </w:rPr>
        <w:fldChar w:fldCharType="separate"/>
      </w:r>
      <w:r w:rsidR="00BF648B" w:rsidRPr="0003073C">
        <w:rPr>
          <w:rFonts w:eastAsia="Times New Roman" w:cstheme="minorHAnsi"/>
          <w:noProof/>
          <w:vertAlign w:val="superscript"/>
          <w:lang w:val="en-GB"/>
        </w:rPr>
        <w:t>33,34</w:t>
      </w:r>
      <w:r w:rsidR="00977881" w:rsidRPr="0003073C">
        <w:rPr>
          <w:rFonts w:eastAsia="Times New Roman" w:cstheme="minorHAnsi"/>
          <w:lang w:val="en-US"/>
        </w:rPr>
        <w:fldChar w:fldCharType="end"/>
      </w:r>
      <w:r w:rsidR="00977881" w:rsidRPr="0003073C">
        <w:rPr>
          <w:rFonts w:eastAsia="Times New Roman" w:cstheme="minorHAnsi"/>
          <w:lang w:val="en-GB"/>
        </w:rPr>
        <w:t>. Missing values were imputed 5 times using multi-chain Monte Carlo methods Gibbs sampling</w:t>
      </w:r>
      <w:r w:rsidR="00977881" w:rsidRPr="0003073C">
        <w:rPr>
          <w:rFonts w:eastAsia="Times New Roman" w:cstheme="minorHAnsi"/>
          <w:lang w:val="en-GB"/>
        </w:rPr>
        <w:fldChar w:fldCharType="begin" w:fldLock="1"/>
      </w:r>
      <w:r w:rsidR="000B1498" w:rsidRPr="0003073C">
        <w:rPr>
          <w:rFonts w:eastAsia="Times New Roman" w:cstheme="minorHAnsi"/>
          <w:lang w:val="en-GB"/>
        </w:rPr>
        <w:instrText>ADDIN CSL_CITATION {"citationItems":[{"id":"ITEM-1","itemData":{"DOI":"10.18637/jss.v045.i03","ISSN":"1548-7660","abstract":"The R package mice imputes incomplete multivariate data by chained equations. The software mice 1.0 appeared in the year 2000 as an S-PLUS library, and in 2001 as an R package. mice 1.0 introduced predictor selection, passive imputation and automatic pooling. This article documents mice 2.9, which extends the functionality of mice 1.0 in several ways. In mice 2.9, the analysis of imputed data is made completely general, whereas the range ofmodels under which pooling works is substantially extended. mice 2.9 adds new functionality for imputing multilevel data, automatic predictor selection, data handling, post-processing imputed values, specialized pooling routines, model selection tools, and diagnostic graphs. Imputation of categorical data is improved in order to bypass problems caused by perfect prediction. Special attention is paid to transformations, sum scores, indices and interactions using passive imputation, and to the proper setup of the predictor matrix. mice 2.9 can be downloaded from the Comprehensive R Archive Network. This article provides a hands-on, stepwise approach to solve applied incomplete data problems.","author":[{"dropping-particle":"van","family":"Buuren","given":"Stef","non-dropping-particle":"","parse-names":false,"suffix":""},{"dropping-particle":"","family":"Groothuis-Oudshoorn","given":"Karin","non-dropping-particle":"","parse-names":false,"suffix":""}],"container-title":"Journal of Statistical Software","id":"ITEM-1","issue":"3","issued":{"date-parts":[["2011"]]},"page":"1-67","title":"mice : Multivariate Imputation by Chained Equations in R","type":"article-journal","volume":"45"},"uris":["http://www.mendeley.com/documents/?uuid=b5aad3f3-8b9f-46a6-bf3f-bc61d7f8ce54"]}],"mendeley":{"formattedCitation":"&lt;sup&gt;35&lt;/sup&gt;","plainTextFormattedCitation":"35","previouslyFormattedCitation":"&lt;sup&gt;35&lt;/sup&gt;"},"properties":{"noteIndex":0},"schema":"https://github.com/citation-style-language/schema/raw/master/csl-citation.json"}</w:instrText>
      </w:r>
      <w:r w:rsidR="00977881" w:rsidRPr="0003073C">
        <w:rPr>
          <w:rFonts w:eastAsia="Times New Roman" w:cstheme="minorHAnsi"/>
          <w:lang w:val="en-GB"/>
        </w:rPr>
        <w:fldChar w:fldCharType="separate"/>
      </w:r>
      <w:r w:rsidR="00BF648B" w:rsidRPr="0003073C">
        <w:rPr>
          <w:rFonts w:eastAsia="Times New Roman" w:cstheme="minorHAnsi"/>
          <w:noProof/>
          <w:vertAlign w:val="superscript"/>
          <w:lang w:val="en-GB"/>
        </w:rPr>
        <w:t>35</w:t>
      </w:r>
      <w:r w:rsidR="00977881" w:rsidRPr="0003073C">
        <w:rPr>
          <w:rFonts w:eastAsia="Times New Roman" w:cstheme="minorHAnsi"/>
          <w:lang w:val="en-US"/>
        </w:rPr>
        <w:fldChar w:fldCharType="end"/>
      </w:r>
      <w:r w:rsidR="00977881" w:rsidRPr="0003073C">
        <w:rPr>
          <w:rFonts w:eastAsia="Times New Roman" w:cstheme="minorHAnsi"/>
          <w:lang w:val="en-GB"/>
        </w:rPr>
        <w:t>. We did 10-fold cross validation to ensure optimal penalty parameters and used all analyses for each imputed dataset</w:t>
      </w:r>
      <w:r w:rsidR="00977881" w:rsidRPr="0003073C">
        <w:rPr>
          <w:rFonts w:eastAsia="Times New Roman" w:cstheme="minorHAnsi"/>
          <w:lang w:val="en-GB"/>
        </w:rPr>
        <w:fldChar w:fldCharType="begin" w:fldLock="1"/>
      </w:r>
      <w:r w:rsidR="000B1498" w:rsidRPr="0003073C">
        <w:rPr>
          <w:rFonts w:eastAsia="Times New Roman" w:cstheme="minorHAnsi"/>
          <w:lang w:val="en-GB"/>
        </w:rPr>
        <w:instrText>ADDIN CSL_CITATION {"citationItems":[{"id":"ITEM-1","itemData":{"DOI":"10.1007/978-0-387-84858-7","ISBN":"978-0-387-84857-0","author":[{"dropping-particle":"","family":"Hastie","given":"Trevor","non-dropping-particle":"","parse-names":false,"suffix":""},{"dropping-particle":"","family":"Tibshirani","given":"Robert","non-dropping-particle":"","parse-names":false,"suffix":""},{"dropping-particle":"","family":"Friedman","given":"Jerome","non-dropping-particle":"","parse-names":false,"suffix":""}],"collection-title":"Springer Series in Statistics","id":"ITEM-1","issued":{"date-parts":[["2009"]]},"publisher":"Springer New York","publisher-place":"New York, NY","title":"The Elements of Statistical Learning","type":"book"},"uris":["http://www.mendeley.com/documents/?uuid=6dba2d51-dc2b-4330-bbb5-fc45793edcb2"]},{"id":"ITEM-2","itemData":{"DOI":"10.1111/j.1467-9868.2005.00503.x","ISSN":"1369-7412","author":[{"dropping-particle":"","family":"Zou","given":"Hui","non-dropping-particle":"","parse-names":false,"suffix":""},{"dropping-particle":"","family":"Hastie","given":"Trevor","non-dropping-particle":"","parse-names":false,"suffix":""}],"container-title":"Journal of the Royal Statistical Society: Series B (Statistical Methodology)","id":"ITEM-2","issue":"2","issued":{"date-parts":[["2005","4"]]},"page":"301-320","title":"Regularization and variable selection via the elastic net","type":"article-journal","volume":"67"},"uris":["http://www.mendeley.com/documents/?uuid=f13e5ebc-ce4e-4b1d-8815-45661a3171f6"]}],"mendeley":{"formattedCitation":"&lt;sup&gt;36,37&lt;/sup&gt;","plainTextFormattedCitation":"36,37","previouslyFormattedCitation":"&lt;sup&gt;36,37&lt;/sup&gt;"},"properties":{"noteIndex":0},"schema":"https://github.com/citation-style-language/schema/raw/master/csl-citation.json"}</w:instrText>
      </w:r>
      <w:r w:rsidR="00977881" w:rsidRPr="0003073C">
        <w:rPr>
          <w:rFonts w:eastAsia="Times New Roman" w:cstheme="minorHAnsi"/>
          <w:lang w:val="en-GB"/>
        </w:rPr>
        <w:fldChar w:fldCharType="separate"/>
      </w:r>
      <w:r w:rsidR="00BF648B" w:rsidRPr="0003073C">
        <w:rPr>
          <w:rFonts w:eastAsia="Times New Roman" w:cstheme="minorHAnsi"/>
          <w:noProof/>
          <w:vertAlign w:val="superscript"/>
          <w:lang w:val="en-GB"/>
        </w:rPr>
        <w:t>36,37</w:t>
      </w:r>
      <w:r w:rsidR="00977881" w:rsidRPr="0003073C">
        <w:rPr>
          <w:rFonts w:eastAsia="Times New Roman" w:cstheme="minorHAnsi"/>
          <w:lang w:val="en-US"/>
        </w:rPr>
        <w:fldChar w:fldCharType="end"/>
      </w:r>
      <w:r w:rsidR="00977881" w:rsidRPr="0003073C">
        <w:rPr>
          <w:rFonts w:eastAsia="Times New Roman" w:cstheme="minorHAnsi"/>
          <w:i/>
          <w:iCs/>
          <w:sz w:val="20"/>
          <w:szCs w:val="20"/>
          <w:lang w:val="en-US"/>
        </w:rPr>
        <w:t>.</w:t>
      </w:r>
      <w:r w:rsidR="0019349A" w:rsidRPr="0003073C">
        <w:rPr>
          <w:lang w:val="en-GB"/>
        </w:rPr>
        <w:t xml:space="preserve"> </w:t>
      </w:r>
    </w:p>
    <w:p w14:paraId="1C86E995" w14:textId="65923E72" w:rsidR="00010399" w:rsidRPr="0003073C" w:rsidRDefault="00B734AD" w:rsidP="007419B4">
      <w:pPr>
        <w:spacing w:line="480" w:lineRule="auto"/>
        <w:rPr>
          <w:lang w:val="en-GB"/>
        </w:rPr>
      </w:pPr>
      <w:r w:rsidRPr="0003073C">
        <w:rPr>
          <w:lang w:val="en-GB"/>
        </w:rPr>
        <w:t xml:space="preserve">We used multivariable Cox </w:t>
      </w:r>
      <w:r w:rsidR="00CA74CA" w:rsidRPr="0003073C">
        <w:rPr>
          <w:lang w:val="en-GB"/>
        </w:rPr>
        <w:t xml:space="preserve">proportional hazards </w:t>
      </w:r>
      <w:r w:rsidRPr="0003073C">
        <w:rPr>
          <w:lang w:val="en-GB"/>
        </w:rPr>
        <w:t xml:space="preserve">regression models to examine the association of percentage of </w:t>
      </w:r>
      <w:r w:rsidR="002C7C6C" w:rsidRPr="0003073C">
        <w:rPr>
          <w:lang w:val="en-GB"/>
        </w:rPr>
        <w:t>GRTD</w:t>
      </w:r>
      <w:r w:rsidRPr="0003073C">
        <w:rPr>
          <w:lang w:val="en-GB"/>
        </w:rPr>
        <w:t xml:space="preserve"> prescribed (</w:t>
      </w:r>
      <w:r w:rsidR="00871169" w:rsidRPr="0003073C">
        <w:rPr>
          <w:lang w:val="en-GB"/>
        </w:rPr>
        <w:t>0%, 1–49%, 50-99% and ≥100%</w:t>
      </w:r>
      <w:r w:rsidR="00252422" w:rsidRPr="0003073C">
        <w:rPr>
          <w:lang w:val="en-GB"/>
        </w:rPr>
        <w:t xml:space="preserve">) </w:t>
      </w:r>
      <w:r w:rsidRPr="0003073C">
        <w:rPr>
          <w:lang w:val="en-GB"/>
        </w:rPr>
        <w:t xml:space="preserve">by therapeutic class </w:t>
      </w:r>
      <w:r w:rsidR="00A5647C" w:rsidRPr="0003073C">
        <w:rPr>
          <w:lang w:val="en-GB"/>
        </w:rPr>
        <w:t>and</w:t>
      </w:r>
      <w:r w:rsidRPr="0003073C">
        <w:rPr>
          <w:lang w:val="en-GB"/>
        </w:rPr>
        <w:t xml:space="preserve"> </w:t>
      </w:r>
      <w:r w:rsidR="00A5647C" w:rsidRPr="0003073C">
        <w:rPr>
          <w:lang w:val="en-GB"/>
        </w:rPr>
        <w:t xml:space="preserve">their interactions with </w:t>
      </w:r>
      <w:r w:rsidRPr="0003073C">
        <w:rPr>
          <w:lang w:val="en-GB"/>
        </w:rPr>
        <w:t>outcome</w:t>
      </w:r>
      <w:r w:rsidR="006B3952" w:rsidRPr="0003073C">
        <w:rPr>
          <w:lang w:val="en-GB"/>
        </w:rPr>
        <w:t>, correct</w:t>
      </w:r>
      <w:r w:rsidR="001C5532" w:rsidRPr="0003073C">
        <w:rPr>
          <w:lang w:val="en-GB"/>
        </w:rPr>
        <w:t>ed</w:t>
      </w:r>
      <w:r w:rsidR="006B3952" w:rsidRPr="0003073C">
        <w:rPr>
          <w:lang w:val="en-GB"/>
        </w:rPr>
        <w:t xml:space="preserve"> </w:t>
      </w:r>
      <w:r w:rsidR="00C13B70" w:rsidRPr="0003073C">
        <w:rPr>
          <w:lang w:val="en-GB"/>
        </w:rPr>
        <w:t xml:space="preserve">for the different cohorts. </w:t>
      </w:r>
      <w:r w:rsidR="00CA4169" w:rsidRPr="0003073C">
        <w:rPr>
          <w:lang w:val="en-GB"/>
        </w:rPr>
        <w:t xml:space="preserve">For the HF-hospitalization analysis a competing risk analysis was performed with all-cause mortality as competing risk. </w:t>
      </w:r>
      <w:r w:rsidR="0092302E" w:rsidRPr="0003073C">
        <w:rPr>
          <w:rFonts w:eastAsia="Times New Roman" w:cstheme="minorHAnsi"/>
          <w:bCs/>
          <w:lang w:val="en-US"/>
        </w:rPr>
        <w:t xml:space="preserve">Furthermore, to investigate the differences between </w:t>
      </w:r>
      <w:proofErr w:type="gramStart"/>
      <w:r w:rsidR="0092302E" w:rsidRPr="0003073C">
        <w:rPr>
          <w:rFonts w:eastAsia="Times New Roman" w:cstheme="minorHAnsi"/>
          <w:bCs/>
          <w:lang w:val="en-US"/>
        </w:rPr>
        <w:t>sex</w:t>
      </w:r>
      <w:proofErr w:type="gramEnd"/>
      <w:r w:rsidR="0092302E" w:rsidRPr="0003073C">
        <w:rPr>
          <w:rFonts w:eastAsia="Times New Roman" w:cstheme="minorHAnsi"/>
          <w:bCs/>
          <w:lang w:val="en-US"/>
        </w:rPr>
        <w:t>, we undertook stratified Cox proportional hazards models on sex</w:t>
      </w:r>
      <w:r w:rsidR="0092302E" w:rsidRPr="0003073C">
        <w:rPr>
          <w:lang w:val="en-GB"/>
        </w:rPr>
        <w:t>.</w:t>
      </w:r>
    </w:p>
    <w:p w14:paraId="18B5153F" w14:textId="6BE0327B" w:rsidR="000B1498" w:rsidRPr="0003073C" w:rsidRDefault="008F00B0" w:rsidP="000B1498">
      <w:pPr>
        <w:spacing w:line="480" w:lineRule="auto"/>
        <w:rPr>
          <w:lang w:val="en-US"/>
        </w:rPr>
      </w:pPr>
      <w:r w:rsidRPr="0003073C">
        <w:rPr>
          <w:lang w:val="en-US"/>
        </w:rPr>
        <w:lastRenderedPageBreak/>
        <w:t>A two-tailed p-value of &lt;0.05 was considered statistically significant. Statistical analyses were conducted using R, A Language and Environment for Statistical Computing, version 3.</w:t>
      </w:r>
      <w:r w:rsidR="001C5532" w:rsidRPr="0003073C">
        <w:rPr>
          <w:lang w:val="en-US"/>
        </w:rPr>
        <w:t>5</w:t>
      </w:r>
      <w:r w:rsidRPr="0003073C">
        <w:rPr>
          <w:lang w:val="en-US"/>
        </w:rPr>
        <w:t>.</w:t>
      </w:r>
      <w:r w:rsidR="001C5532" w:rsidRPr="0003073C">
        <w:rPr>
          <w:lang w:val="en-US"/>
        </w:rPr>
        <w:t>0</w:t>
      </w:r>
      <w:r w:rsidRPr="0003073C">
        <w:rPr>
          <w:lang w:val="en-US"/>
        </w:rPr>
        <w:t xml:space="preserve"> (R Foundation for Statistical Computing, Vienna, </w:t>
      </w:r>
      <w:proofErr w:type="gramStart"/>
      <w:r w:rsidRPr="0003073C">
        <w:rPr>
          <w:lang w:val="en-US"/>
        </w:rPr>
        <w:t>Austria</w:t>
      </w:r>
      <w:proofErr w:type="gramEnd"/>
      <w:r w:rsidRPr="0003073C">
        <w:rPr>
          <w:lang w:val="en-US"/>
        </w:rPr>
        <w:t>).</w:t>
      </w:r>
      <w:r w:rsidR="000B1498" w:rsidRPr="0003073C">
        <w:rPr>
          <w:lang w:val="en-US"/>
        </w:rPr>
        <w:br w:type="page"/>
      </w:r>
    </w:p>
    <w:p w14:paraId="75E3C368" w14:textId="49A16C29" w:rsidR="003215EF" w:rsidRPr="0003073C" w:rsidRDefault="0048289E" w:rsidP="007419B4">
      <w:pPr>
        <w:pStyle w:val="Titre1"/>
        <w:ind w:left="0"/>
        <w:rPr>
          <w:rFonts w:cs="Times New Roman"/>
          <w:sz w:val="24"/>
          <w:szCs w:val="24"/>
          <w:lang w:val="en-GB"/>
        </w:rPr>
      </w:pPr>
      <w:r w:rsidRPr="0003073C">
        <w:rPr>
          <w:rFonts w:cs="Times New Roman"/>
          <w:w w:val="110"/>
          <w:sz w:val="24"/>
          <w:szCs w:val="24"/>
          <w:lang w:val="en-GB"/>
        </w:rPr>
        <w:lastRenderedPageBreak/>
        <w:t>Results</w:t>
      </w:r>
    </w:p>
    <w:p w14:paraId="4D26DAE5" w14:textId="5C116E5B" w:rsidR="009C6468" w:rsidRPr="0003073C" w:rsidRDefault="00A07D65" w:rsidP="007419B4">
      <w:pPr>
        <w:spacing w:line="480" w:lineRule="auto"/>
        <w:rPr>
          <w:lang w:val="en-GB"/>
        </w:rPr>
      </w:pPr>
      <w:r w:rsidRPr="0003073C">
        <w:rPr>
          <w:lang w:val="en-GB"/>
        </w:rPr>
        <w:t>From a</w:t>
      </w:r>
      <w:r w:rsidR="00C22344" w:rsidRPr="0003073C">
        <w:rPr>
          <w:lang w:val="en-GB"/>
        </w:rPr>
        <w:t xml:space="preserve"> total of </w:t>
      </w:r>
      <w:r w:rsidRPr="0003073C">
        <w:rPr>
          <w:lang w:val="en-GB"/>
        </w:rPr>
        <w:t xml:space="preserve">7,792 </w:t>
      </w:r>
      <w:r w:rsidR="0026408C" w:rsidRPr="0003073C">
        <w:rPr>
          <w:lang w:val="en-GB"/>
        </w:rPr>
        <w:t xml:space="preserve">patients </w:t>
      </w:r>
      <w:r w:rsidRPr="0003073C">
        <w:rPr>
          <w:lang w:val="en-GB"/>
        </w:rPr>
        <w:t xml:space="preserve">(2,516 from BIOSTAT-CHF and 5,276 from ASIAN-HF), </w:t>
      </w:r>
      <w:r w:rsidR="0075258B" w:rsidRPr="0003073C">
        <w:rPr>
          <w:lang w:val="en-GB"/>
        </w:rPr>
        <w:t xml:space="preserve">6,787 </w:t>
      </w:r>
      <w:r w:rsidR="00685D88" w:rsidRPr="0003073C">
        <w:rPr>
          <w:lang w:val="en-GB"/>
        </w:rPr>
        <w:t xml:space="preserve">patients </w:t>
      </w:r>
      <w:r w:rsidR="00C22344" w:rsidRPr="0003073C">
        <w:rPr>
          <w:lang w:val="en-GB"/>
        </w:rPr>
        <w:t>with</w:t>
      </w:r>
      <w:r w:rsidR="00843460" w:rsidRPr="0003073C">
        <w:rPr>
          <w:lang w:val="en-GB"/>
        </w:rPr>
        <w:t xml:space="preserve"> LVEF ≤ 40%</w:t>
      </w:r>
      <w:r w:rsidR="0026408C" w:rsidRPr="0003073C">
        <w:rPr>
          <w:lang w:val="en-GB"/>
        </w:rPr>
        <w:t xml:space="preserve"> </w:t>
      </w:r>
      <w:r w:rsidR="002D7511" w:rsidRPr="0003073C">
        <w:rPr>
          <w:lang w:val="en-GB"/>
        </w:rPr>
        <w:t xml:space="preserve">and information on </w:t>
      </w:r>
      <w:proofErr w:type="spellStart"/>
      <w:r w:rsidR="002D7511" w:rsidRPr="0003073C">
        <w:rPr>
          <w:lang w:val="en-GB"/>
        </w:rPr>
        <w:t>ACEi</w:t>
      </w:r>
      <w:proofErr w:type="spellEnd"/>
      <w:r w:rsidR="002D7511" w:rsidRPr="0003073C">
        <w:rPr>
          <w:lang w:val="en-GB"/>
        </w:rPr>
        <w:t xml:space="preserve">/ARB and β-blocker up-titration </w:t>
      </w:r>
      <w:r w:rsidR="00427949" w:rsidRPr="0003073C">
        <w:rPr>
          <w:lang w:val="en-GB"/>
        </w:rPr>
        <w:t>(</w:t>
      </w:r>
      <w:r w:rsidR="002B684B" w:rsidRPr="0003073C">
        <w:rPr>
          <w:lang w:val="en-GB"/>
        </w:rPr>
        <w:t xml:space="preserve">2,100 from BIOSTAT-CHF and 4,687 from ASIAN-HF, </w:t>
      </w:r>
      <w:r w:rsidR="00427949" w:rsidRPr="0003073C">
        <w:rPr>
          <w:lang w:val="en-GB"/>
        </w:rPr>
        <w:t>mean age 62.6 ±13.2 years, 77.7% men</w:t>
      </w:r>
      <w:r w:rsidR="00113681" w:rsidRPr="0003073C">
        <w:rPr>
          <w:lang w:val="en-GB"/>
        </w:rPr>
        <w:t xml:space="preserve">, mean LVEF </w:t>
      </w:r>
      <w:r w:rsidR="0033146A" w:rsidRPr="0003073C">
        <w:rPr>
          <w:lang w:val="en-GB"/>
        </w:rPr>
        <w:t>27.7</w:t>
      </w:r>
      <w:r w:rsidR="00E27474" w:rsidRPr="0003073C">
        <w:rPr>
          <w:lang w:val="en-GB"/>
        </w:rPr>
        <w:t xml:space="preserve"> </w:t>
      </w:r>
      <w:r w:rsidR="0033146A" w:rsidRPr="0003073C">
        <w:rPr>
          <w:lang w:val="en-GB"/>
        </w:rPr>
        <w:t>±7.21</w:t>
      </w:r>
      <w:r w:rsidR="00113681" w:rsidRPr="0003073C">
        <w:rPr>
          <w:lang w:val="en-GB"/>
        </w:rPr>
        <w:t>%</w:t>
      </w:r>
      <w:r w:rsidR="00427949" w:rsidRPr="0003073C">
        <w:rPr>
          <w:lang w:val="en-GB"/>
        </w:rPr>
        <w:t xml:space="preserve">) </w:t>
      </w:r>
      <w:r w:rsidR="00685D88" w:rsidRPr="0003073C">
        <w:rPr>
          <w:lang w:val="en-GB"/>
        </w:rPr>
        <w:t xml:space="preserve">were </w:t>
      </w:r>
      <w:r w:rsidR="000D375B" w:rsidRPr="0003073C">
        <w:rPr>
          <w:lang w:val="en-GB"/>
        </w:rPr>
        <w:t xml:space="preserve">included </w:t>
      </w:r>
      <w:r w:rsidR="00685D88" w:rsidRPr="0003073C">
        <w:rPr>
          <w:lang w:val="en-GB"/>
        </w:rPr>
        <w:t>in this analysis</w:t>
      </w:r>
      <w:r w:rsidR="00BA418E" w:rsidRPr="0003073C">
        <w:rPr>
          <w:lang w:val="en-GB"/>
        </w:rPr>
        <w:t xml:space="preserve">. </w:t>
      </w:r>
      <w:r w:rsidR="00C00E6A" w:rsidRPr="0003073C">
        <w:rPr>
          <w:rFonts w:eastAsia="Times New Roman" w:cstheme="minorHAnsi"/>
          <w:lang w:val="en-US"/>
        </w:rPr>
        <w:t>Median follow-up of 2,100 patients from BIOSTAT-CHF (22 months [25th-75th percentile 17-27 months] was similar to that in 4,687 patients from ASIAN-HF (21 [11-25] months)</w:t>
      </w:r>
      <w:r w:rsidR="000A306F" w:rsidRPr="0003073C">
        <w:rPr>
          <w:rFonts w:eastAsia="Times New Roman" w:cstheme="minorHAnsi"/>
          <w:lang w:val="en-US"/>
        </w:rPr>
        <w:t xml:space="preserve"> (Supplementary Figure S1)</w:t>
      </w:r>
      <w:r w:rsidR="00C00E6A" w:rsidRPr="0003073C">
        <w:rPr>
          <w:rFonts w:eastAsia="Times New Roman" w:cstheme="minorHAnsi"/>
          <w:lang w:val="en-US"/>
        </w:rPr>
        <w:t>.</w:t>
      </w:r>
      <w:r w:rsidR="00C00E6A" w:rsidRPr="0003073C">
        <w:rPr>
          <w:lang w:val="en-GB"/>
        </w:rPr>
        <w:t xml:space="preserve"> </w:t>
      </w:r>
      <w:r w:rsidR="00056473" w:rsidRPr="0003073C">
        <w:rPr>
          <w:lang w:val="en-GB"/>
        </w:rPr>
        <w:t>Patients from both cohorts were predominantly older men with a history of hypertension and ischaemic aetiology of HF; however patients from A</w:t>
      </w:r>
      <w:r w:rsidR="00F673D9" w:rsidRPr="0003073C">
        <w:rPr>
          <w:lang w:val="en-GB"/>
        </w:rPr>
        <w:t>SIAN</w:t>
      </w:r>
      <w:r w:rsidR="009C6468" w:rsidRPr="0003073C">
        <w:rPr>
          <w:lang w:val="en-GB"/>
        </w:rPr>
        <w:t xml:space="preserve">-HF were </w:t>
      </w:r>
      <w:r w:rsidR="00056473" w:rsidRPr="0003073C">
        <w:rPr>
          <w:lang w:val="en-GB"/>
        </w:rPr>
        <w:t xml:space="preserve">on average ~7 years </w:t>
      </w:r>
      <w:r w:rsidR="009C6468" w:rsidRPr="0003073C">
        <w:rPr>
          <w:lang w:val="en-GB"/>
        </w:rPr>
        <w:t>younger</w:t>
      </w:r>
      <w:r w:rsidR="00056473" w:rsidRPr="0003073C">
        <w:rPr>
          <w:lang w:val="en-GB"/>
        </w:rPr>
        <w:t xml:space="preserve"> with lower body mass index (25 vs 28 kg/m</w:t>
      </w:r>
      <w:r w:rsidR="00056473" w:rsidRPr="0003073C">
        <w:rPr>
          <w:vertAlign w:val="superscript"/>
          <w:lang w:val="en-GB"/>
        </w:rPr>
        <w:t>2</w:t>
      </w:r>
      <w:r w:rsidR="00056473" w:rsidRPr="0003073C">
        <w:rPr>
          <w:lang w:val="en-GB"/>
        </w:rPr>
        <w:t>)</w:t>
      </w:r>
      <w:r w:rsidR="009C6468" w:rsidRPr="0003073C">
        <w:rPr>
          <w:lang w:val="en-GB"/>
        </w:rPr>
        <w:t xml:space="preserve">, </w:t>
      </w:r>
      <w:r w:rsidR="00056473" w:rsidRPr="0003073C">
        <w:rPr>
          <w:lang w:val="en-GB"/>
        </w:rPr>
        <w:t xml:space="preserve">less atrial fibrillation (19 vs 43%) but more diabetes (41 vs 32%) compared to those from BIOSTAT-CHF. Although there was a lower proportion of patients with severe </w:t>
      </w:r>
      <w:r w:rsidR="00DE42D0" w:rsidRPr="0003073C">
        <w:rPr>
          <w:lang w:val="en-GB"/>
        </w:rPr>
        <w:t>[New York Heart Association (</w:t>
      </w:r>
      <w:r w:rsidR="00056473" w:rsidRPr="0003073C">
        <w:rPr>
          <w:lang w:val="en-GB"/>
        </w:rPr>
        <w:t>NYHA</w:t>
      </w:r>
      <w:r w:rsidR="00DE42D0" w:rsidRPr="0003073C">
        <w:rPr>
          <w:lang w:val="en-GB"/>
        </w:rPr>
        <w:t>)</w:t>
      </w:r>
      <w:r w:rsidR="00056473" w:rsidRPr="0003073C">
        <w:rPr>
          <w:lang w:val="en-GB"/>
        </w:rPr>
        <w:t xml:space="preserve"> class III/IV</w:t>
      </w:r>
      <w:r w:rsidR="00DE42D0" w:rsidRPr="0003073C">
        <w:rPr>
          <w:lang w:val="en-GB"/>
        </w:rPr>
        <w:t>]</w:t>
      </w:r>
      <w:r w:rsidR="00056473" w:rsidRPr="0003073C">
        <w:rPr>
          <w:lang w:val="en-GB"/>
        </w:rPr>
        <w:t xml:space="preserve"> symptoms in ASIAN-HF (34 vs 60%), more patients in ASIAN-HF had HF hospitalization within the past year compared to BIOSTAT-CHF (63 vs 32%)</w:t>
      </w:r>
      <w:r w:rsidR="00844EB4" w:rsidRPr="0003073C">
        <w:rPr>
          <w:lang w:val="en-GB"/>
        </w:rPr>
        <w:t xml:space="preserve"> (Table S</w:t>
      </w:r>
      <w:r w:rsidR="00F27DB8" w:rsidRPr="0003073C">
        <w:rPr>
          <w:lang w:val="en-GB"/>
        </w:rPr>
        <w:t>2)</w:t>
      </w:r>
      <w:r w:rsidR="00056473" w:rsidRPr="0003073C">
        <w:rPr>
          <w:lang w:val="en-GB"/>
        </w:rPr>
        <w:t xml:space="preserve">. All subsequent analyses corrected for cohort. </w:t>
      </w:r>
    </w:p>
    <w:p w14:paraId="7F30B2EA" w14:textId="235EC26B" w:rsidR="00320E4B" w:rsidRPr="0003073C" w:rsidRDefault="0025190C" w:rsidP="007419B4">
      <w:pPr>
        <w:spacing w:line="480" w:lineRule="auto"/>
        <w:rPr>
          <w:lang w:val="en-GB"/>
        </w:rPr>
      </w:pPr>
      <w:r w:rsidRPr="0003073C">
        <w:rPr>
          <w:lang w:val="en-GB"/>
        </w:rPr>
        <w:t xml:space="preserve">Baseline characteristics of patients achieving the different treatment dose combinations of guideline-recommended </w:t>
      </w:r>
      <w:proofErr w:type="spellStart"/>
      <w:r w:rsidR="00347A84" w:rsidRPr="0003073C">
        <w:rPr>
          <w:lang w:val="en-GB"/>
        </w:rPr>
        <w:t>ACEi</w:t>
      </w:r>
      <w:proofErr w:type="spellEnd"/>
      <w:r w:rsidR="00347A84" w:rsidRPr="0003073C">
        <w:rPr>
          <w:lang w:val="en-GB"/>
        </w:rPr>
        <w:t>/ARB</w:t>
      </w:r>
      <w:r w:rsidR="00347A84" w:rsidRPr="0003073C" w:rsidDel="0097692F">
        <w:rPr>
          <w:lang w:val="en-GB"/>
        </w:rPr>
        <w:t xml:space="preserve"> </w:t>
      </w:r>
      <w:r w:rsidRPr="0003073C">
        <w:rPr>
          <w:lang w:val="en-GB"/>
        </w:rPr>
        <w:t>and β-blocker target dose</w:t>
      </w:r>
      <w:r w:rsidR="006E2C87" w:rsidRPr="0003073C">
        <w:rPr>
          <w:lang w:val="en-GB"/>
        </w:rPr>
        <w:t>s</w:t>
      </w:r>
      <w:r w:rsidRPr="0003073C">
        <w:rPr>
          <w:lang w:val="en-GB"/>
        </w:rPr>
        <w:t xml:space="preserve"> are presented in Table </w:t>
      </w:r>
      <w:r w:rsidR="00926A89" w:rsidRPr="0003073C">
        <w:rPr>
          <w:lang w:val="en-GB"/>
        </w:rPr>
        <w:t>1</w:t>
      </w:r>
      <w:r w:rsidR="009B1DD4" w:rsidRPr="0003073C">
        <w:rPr>
          <w:lang w:val="en-GB"/>
        </w:rPr>
        <w:t xml:space="preserve"> (selected dose groups to illustrate characteristics of patients with predominant </w:t>
      </w:r>
      <w:proofErr w:type="spellStart"/>
      <w:r w:rsidR="009B1DD4" w:rsidRPr="0003073C">
        <w:rPr>
          <w:lang w:val="en-GB"/>
        </w:rPr>
        <w:t>ACEi</w:t>
      </w:r>
      <w:proofErr w:type="spellEnd"/>
      <w:r w:rsidR="009B1DD4" w:rsidRPr="0003073C">
        <w:rPr>
          <w:lang w:val="en-GB"/>
        </w:rPr>
        <w:t>/ARB vs β-blocker up-titration) and Table S3 (all 16 groups of dose combinations of the two drug classes)</w:t>
      </w:r>
      <w:r w:rsidRPr="0003073C">
        <w:rPr>
          <w:lang w:val="en-GB"/>
        </w:rPr>
        <w:t xml:space="preserve">. </w:t>
      </w:r>
      <w:r w:rsidR="009B1DD4" w:rsidRPr="0003073C">
        <w:rPr>
          <w:lang w:val="en-GB"/>
        </w:rPr>
        <w:t xml:space="preserve">As expected, </w:t>
      </w:r>
      <w:r w:rsidR="00320E4B" w:rsidRPr="0003073C">
        <w:rPr>
          <w:lang w:val="en-GB"/>
        </w:rPr>
        <w:t xml:space="preserve">compared to patients not receiving the drug or receiving only low doses, patients who achieved </w:t>
      </w:r>
      <w:r w:rsidR="009B1DD4" w:rsidRPr="0003073C">
        <w:rPr>
          <w:lang w:val="en-GB"/>
        </w:rPr>
        <w:t xml:space="preserve">higher doses were </w:t>
      </w:r>
      <w:r w:rsidR="00320E4B" w:rsidRPr="0003073C">
        <w:rPr>
          <w:lang w:val="en-GB"/>
        </w:rPr>
        <w:t>y</w:t>
      </w:r>
      <w:r w:rsidR="009B1DD4" w:rsidRPr="0003073C">
        <w:rPr>
          <w:lang w:val="en-GB"/>
        </w:rPr>
        <w:t>ounger</w:t>
      </w:r>
      <w:r w:rsidR="00320E4B" w:rsidRPr="0003073C">
        <w:rPr>
          <w:lang w:val="en-GB"/>
        </w:rPr>
        <w:t xml:space="preserve">, had higher blood pressure and better renal function (for </w:t>
      </w:r>
      <w:proofErr w:type="spellStart"/>
      <w:r w:rsidR="00320E4B" w:rsidRPr="0003073C">
        <w:rPr>
          <w:lang w:val="en-GB"/>
        </w:rPr>
        <w:t>ACEi</w:t>
      </w:r>
      <w:proofErr w:type="spellEnd"/>
      <w:r w:rsidR="00320E4B" w:rsidRPr="0003073C">
        <w:rPr>
          <w:lang w:val="en-GB"/>
        </w:rPr>
        <w:t xml:space="preserve">/ARB up-titration) at baseline, and were more likely to have a history of hypertension or myocardial infarction but less likely to have a history of chronic obstructive pulmonary disease (for β-blocker up-titration). Among the 41 clinical variables included in multivariable models, country of </w:t>
      </w:r>
      <w:r w:rsidR="00320E4B" w:rsidRPr="0003073C">
        <w:rPr>
          <w:lang w:val="en-GB"/>
        </w:rPr>
        <w:lastRenderedPageBreak/>
        <w:t xml:space="preserve">origin/enrolment, </w:t>
      </w:r>
      <w:r w:rsidR="00D753B4" w:rsidRPr="0003073C">
        <w:rPr>
          <w:lang w:val="en-GB"/>
        </w:rPr>
        <w:t>younger</w:t>
      </w:r>
      <w:r w:rsidR="00CA21BA" w:rsidRPr="0003073C">
        <w:rPr>
          <w:lang w:val="en-GB"/>
        </w:rPr>
        <w:t xml:space="preserve"> </w:t>
      </w:r>
      <w:r w:rsidR="00320E4B" w:rsidRPr="0003073C">
        <w:rPr>
          <w:lang w:val="en-GB"/>
        </w:rPr>
        <w:t xml:space="preserve">age, </w:t>
      </w:r>
      <w:r w:rsidR="00CA21BA" w:rsidRPr="0003073C">
        <w:rPr>
          <w:lang w:val="en-GB"/>
        </w:rPr>
        <w:t xml:space="preserve">higher </w:t>
      </w:r>
      <w:r w:rsidR="00AF42AE" w:rsidRPr="0003073C">
        <w:rPr>
          <w:lang w:val="en-GB"/>
        </w:rPr>
        <w:t>systolic/diastolic blood pressure</w:t>
      </w:r>
      <w:r w:rsidR="00320E4B" w:rsidRPr="0003073C">
        <w:rPr>
          <w:lang w:val="en-GB"/>
        </w:rPr>
        <w:t xml:space="preserve">, hypertension, current smoking and history of </w:t>
      </w:r>
      <w:r w:rsidR="00065BED" w:rsidRPr="0003073C">
        <w:rPr>
          <w:lang w:val="en-GB"/>
        </w:rPr>
        <w:t>myocardial infarction</w:t>
      </w:r>
      <w:r w:rsidR="00320E4B" w:rsidRPr="0003073C">
        <w:rPr>
          <w:lang w:val="en-GB"/>
        </w:rPr>
        <w:t xml:space="preserve"> were significant independent predictors which were positively associated with attainment of ≥50% GRTD for </w:t>
      </w:r>
      <w:r w:rsidR="00D620BF" w:rsidRPr="0003073C">
        <w:rPr>
          <w:lang w:val="en-GB"/>
        </w:rPr>
        <w:t>either</w:t>
      </w:r>
      <w:r w:rsidR="00320E4B" w:rsidRPr="0003073C">
        <w:rPr>
          <w:lang w:val="en-GB"/>
        </w:rPr>
        <w:t xml:space="preserve"> therapeutic class. In contrast, the presence of peripheral oedema, higher NYHA class, </w:t>
      </w:r>
      <w:r w:rsidR="00065BED" w:rsidRPr="0003073C">
        <w:rPr>
          <w:lang w:val="en-GB"/>
        </w:rPr>
        <w:t>chronic obstructive pulmonary disease</w:t>
      </w:r>
      <w:r w:rsidR="00320E4B" w:rsidRPr="0003073C">
        <w:rPr>
          <w:lang w:val="en-GB"/>
        </w:rPr>
        <w:t xml:space="preserve"> and increasing serum creatinine levels were negatively associated with attainment of GRTDs</w:t>
      </w:r>
      <w:r w:rsidR="00570D59" w:rsidRPr="0003073C">
        <w:rPr>
          <w:lang w:val="en-GB"/>
        </w:rPr>
        <w:t xml:space="preserve"> (Table S4)</w:t>
      </w:r>
      <w:r w:rsidR="00320E4B" w:rsidRPr="0003073C">
        <w:rPr>
          <w:lang w:val="en-GB"/>
        </w:rPr>
        <w:t>.</w:t>
      </w:r>
      <w:r w:rsidR="005D18C9" w:rsidRPr="0003073C">
        <w:rPr>
          <w:lang w:val="en-GB"/>
        </w:rPr>
        <w:t xml:space="preserve"> This model had an </w:t>
      </w:r>
      <w:r w:rsidR="005D18C9" w:rsidRPr="0003073C">
        <w:rPr>
          <w:rFonts w:eastAsia="Times New Roman" w:cstheme="minorHAnsi"/>
          <w:lang w:val="en-US"/>
        </w:rPr>
        <w:t>AUC of 0.72 and 0.71 when correcting for optimism.</w:t>
      </w:r>
    </w:p>
    <w:p w14:paraId="0EC4C037" w14:textId="43A4FA4C" w:rsidR="009C6468" w:rsidRPr="0003073C" w:rsidRDefault="001F77ED" w:rsidP="007419B4">
      <w:pPr>
        <w:spacing w:line="480" w:lineRule="auto"/>
        <w:rPr>
          <w:lang w:val="en-GB"/>
        </w:rPr>
      </w:pPr>
      <w:r w:rsidRPr="0003073C">
        <w:rPr>
          <w:lang w:val="en-GB"/>
        </w:rPr>
        <w:t xml:space="preserve">Of the </w:t>
      </w:r>
      <w:r w:rsidR="00E62C66" w:rsidRPr="0003073C">
        <w:rPr>
          <w:lang w:val="en-GB"/>
        </w:rPr>
        <w:t xml:space="preserve">6,787 </w:t>
      </w:r>
      <w:r w:rsidRPr="0003073C">
        <w:rPr>
          <w:lang w:val="en-GB"/>
        </w:rPr>
        <w:t xml:space="preserve">patients, </w:t>
      </w:r>
      <w:r w:rsidR="00955429" w:rsidRPr="0003073C">
        <w:rPr>
          <w:lang w:val="en-GB"/>
        </w:rPr>
        <w:t xml:space="preserve">only </w:t>
      </w:r>
      <w:r w:rsidR="001D75A3" w:rsidRPr="0003073C">
        <w:rPr>
          <w:lang w:val="en-GB"/>
        </w:rPr>
        <w:t>14</w:t>
      </w:r>
      <w:r w:rsidRPr="0003073C">
        <w:rPr>
          <w:lang w:val="en-GB"/>
        </w:rPr>
        <w:t>% (n= 981)</w:t>
      </w:r>
      <w:r w:rsidR="00624B24" w:rsidRPr="0003073C">
        <w:rPr>
          <w:lang w:val="en-GB"/>
        </w:rPr>
        <w:t xml:space="preserve"> </w:t>
      </w:r>
      <w:r w:rsidRPr="0003073C">
        <w:rPr>
          <w:lang w:val="en-GB"/>
        </w:rPr>
        <w:t xml:space="preserve">patients achieved </w:t>
      </w:r>
      <w:r w:rsidR="008615B1" w:rsidRPr="0003073C">
        <w:rPr>
          <w:lang w:val="en-GB"/>
        </w:rPr>
        <w:t>≥</w:t>
      </w:r>
      <w:r w:rsidRPr="0003073C">
        <w:rPr>
          <w:lang w:val="en-GB"/>
        </w:rPr>
        <w:t xml:space="preserve">50% </w:t>
      </w:r>
      <w:r w:rsidR="002C7C6C" w:rsidRPr="0003073C">
        <w:rPr>
          <w:lang w:val="en-GB"/>
        </w:rPr>
        <w:t>GRTD</w:t>
      </w:r>
      <w:r w:rsidR="005D4CFC" w:rsidRPr="0003073C">
        <w:rPr>
          <w:lang w:val="en-GB"/>
        </w:rPr>
        <w:t xml:space="preserve"> </w:t>
      </w:r>
      <w:r w:rsidR="00E75D13" w:rsidRPr="0003073C">
        <w:rPr>
          <w:lang w:val="en-GB"/>
        </w:rPr>
        <w:t xml:space="preserve">and 3% (n=190) achieved </w:t>
      </w:r>
      <w:r w:rsidR="004B00BB" w:rsidRPr="0003073C">
        <w:rPr>
          <w:lang w:val="en-GB"/>
        </w:rPr>
        <w:t>100%</w:t>
      </w:r>
      <w:r w:rsidR="00E75D13" w:rsidRPr="0003073C">
        <w:rPr>
          <w:lang w:val="en-GB"/>
        </w:rPr>
        <w:t xml:space="preserve"> </w:t>
      </w:r>
      <w:r w:rsidR="002C7C6C" w:rsidRPr="0003073C">
        <w:rPr>
          <w:lang w:val="en-GB"/>
        </w:rPr>
        <w:t>GRTD</w:t>
      </w:r>
      <w:r w:rsidR="004B00BB" w:rsidRPr="0003073C">
        <w:rPr>
          <w:lang w:val="en-GB"/>
        </w:rPr>
        <w:t xml:space="preserve"> </w:t>
      </w:r>
      <w:r w:rsidRPr="0003073C">
        <w:rPr>
          <w:lang w:val="en-GB"/>
        </w:rPr>
        <w:t xml:space="preserve">for both </w:t>
      </w:r>
      <w:proofErr w:type="spellStart"/>
      <w:r w:rsidR="00347A84" w:rsidRPr="0003073C">
        <w:rPr>
          <w:lang w:val="en-GB"/>
        </w:rPr>
        <w:t>ACEi</w:t>
      </w:r>
      <w:proofErr w:type="spellEnd"/>
      <w:r w:rsidR="00347A84" w:rsidRPr="0003073C">
        <w:rPr>
          <w:lang w:val="en-GB"/>
        </w:rPr>
        <w:t>/ARB</w:t>
      </w:r>
      <w:r w:rsidR="00347A84" w:rsidRPr="0003073C" w:rsidDel="0097692F">
        <w:rPr>
          <w:lang w:val="en-GB"/>
        </w:rPr>
        <w:t xml:space="preserve"> </w:t>
      </w:r>
      <w:r w:rsidRPr="0003073C">
        <w:rPr>
          <w:lang w:val="en-GB"/>
        </w:rPr>
        <w:t xml:space="preserve">and </w:t>
      </w:r>
      <w:r w:rsidR="00247554" w:rsidRPr="0003073C">
        <w:rPr>
          <w:lang w:val="en-GB"/>
        </w:rPr>
        <w:t>β</w:t>
      </w:r>
      <w:r w:rsidRPr="0003073C">
        <w:rPr>
          <w:lang w:val="en-GB"/>
        </w:rPr>
        <w:t>-blocker</w:t>
      </w:r>
      <w:r w:rsidR="00234672" w:rsidRPr="0003073C">
        <w:rPr>
          <w:lang w:val="en-GB"/>
        </w:rPr>
        <w:t xml:space="preserve"> (Table </w:t>
      </w:r>
      <w:r w:rsidR="00926A89" w:rsidRPr="0003073C">
        <w:rPr>
          <w:lang w:val="en-GB"/>
        </w:rPr>
        <w:t>2</w:t>
      </w:r>
      <w:r w:rsidR="00234672" w:rsidRPr="0003073C">
        <w:rPr>
          <w:lang w:val="en-GB"/>
        </w:rPr>
        <w:t>)</w:t>
      </w:r>
      <w:r w:rsidRPr="0003073C">
        <w:rPr>
          <w:lang w:val="en-GB"/>
        </w:rPr>
        <w:t>.</w:t>
      </w:r>
      <w:r w:rsidR="00BC282A" w:rsidRPr="0003073C">
        <w:rPr>
          <w:lang w:val="en-GB"/>
        </w:rPr>
        <w:t xml:space="preserve"> </w:t>
      </w:r>
      <w:r w:rsidR="003235D4" w:rsidRPr="0003073C">
        <w:rPr>
          <w:lang w:val="en-GB"/>
        </w:rPr>
        <w:t>T</w:t>
      </w:r>
      <w:r w:rsidR="005014EB" w:rsidRPr="0003073C">
        <w:rPr>
          <w:lang w:val="en-GB"/>
        </w:rPr>
        <w:t>he ma</w:t>
      </w:r>
      <w:r w:rsidR="003F0D75" w:rsidRPr="0003073C">
        <w:rPr>
          <w:lang w:val="en-GB"/>
        </w:rPr>
        <w:t xml:space="preserve">jority </w:t>
      </w:r>
      <w:r w:rsidR="002D2D81" w:rsidRPr="0003073C">
        <w:rPr>
          <w:lang w:val="en-GB"/>
        </w:rPr>
        <w:t xml:space="preserve">(52%) </w:t>
      </w:r>
      <w:r w:rsidR="003F0D75" w:rsidRPr="0003073C">
        <w:rPr>
          <w:lang w:val="en-GB"/>
        </w:rPr>
        <w:t xml:space="preserve">of patients only achieved 1-49% </w:t>
      </w:r>
      <w:r w:rsidR="00B8263C" w:rsidRPr="0003073C">
        <w:rPr>
          <w:lang w:val="en-GB"/>
        </w:rPr>
        <w:t xml:space="preserve">of the </w:t>
      </w:r>
      <w:r w:rsidR="002C7C6C" w:rsidRPr="0003073C">
        <w:rPr>
          <w:lang w:val="en-GB"/>
        </w:rPr>
        <w:t xml:space="preserve">GRTD </w:t>
      </w:r>
      <w:r w:rsidR="00B8263C" w:rsidRPr="0003073C">
        <w:rPr>
          <w:lang w:val="en-GB"/>
        </w:rPr>
        <w:t xml:space="preserve">of </w:t>
      </w:r>
      <w:r w:rsidR="00955429" w:rsidRPr="0003073C">
        <w:rPr>
          <w:lang w:val="en-GB"/>
        </w:rPr>
        <w:t>β-</w:t>
      </w:r>
      <w:r w:rsidR="003F0D75" w:rsidRPr="0003073C">
        <w:rPr>
          <w:lang w:val="en-GB"/>
        </w:rPr>
        <w:t xml:space="preserve">blockers, regardless of </w:t>
      </w:r>
      <w:proofErr w:type="spellStart"/>
      <w:r w:rsidR="00347A84" w:rsidRPr="0003073C">
        <w:rPr>
          <w:lang w:val="en-GB"/>
        </w:rPr>
        <w:t>ACEi</w:t>
      </w:r>
      <w:proofErr w:type="spellEnd"/>
      <w:r w:rsidR="00347A84" w:rsidRPr="0003073C">
        <w:rPr>
          <w:lang w:val="en-GB"/>
        </w:rPr>
        <w:t>/ARB</w:t>
      </w:r>
      <w:r w:rsidR="00395E1F" w:rsidRPr="0003073C">
        <w:rPr>
          <w:lang w:val="en-GB"/>
        </w:rPr>
        <w:t>, with little heterogeneity between BIOSTAT-CHF and ASIAN-HF sub-cohorts (Figure 1)</w:t>
      </w:r>
      <w:r w:rsidR="003F0D75" w:rsidRPr="0003073C">
        <w:rPr>
          <w:lang w:val="en-GB"/>
        </w:rPr>
        <w:t xml:space="preserve">. </w:t>
      </w:r>
    </w:p>
    <w:p w14:paraId="29F510B3" w14:textId="77777777" w:rsidR="001C22D8" w:rsidRPr="0003073C" w:rsidRDefault="001C22D8" w:rsidP="007419B4">
      <w:pPr>
        <w:spacing w:line="480" w:lineRule="auto"/>
        <w:rPr>
          <w:lang w:val="en-GB"/>
        </w:rPr>
      </w:pPr>
    </w:p>
    <w:p w14:paraId="6357FC47" w14:textId="50B72A09" w:rsidR="00071D2A" w:rsidRPr="0003073C" w:rsidRDefault="001C5532" w:rsidP="007419B4">
      <w:pPr>
        <w:spacing w:line="480" w:lineRule="auto"/>
        <w:rPr>
          <w:i/>
          <w:lang w:val="en-GB"/>
        </w:rPr>
      </w:pPr>
      <w:r w:rsidRPr="0003073C">
        <w:rPr>
          <w:i/>
          <w:iCs/>
          <w:lang w:val="en-GB"/>
        </w:rPr>
        <w:t xml:space="preserve">Association of achieved dose (0%, 1-49%, 50-99% and ≥100%) with </w:t>
      </w:r>
      <w:r w:rsidR="00906117" w:rsidRPr="0003073C">
        <w:rPr>
          <w:i/>
          <w:iCs/>
          <w:lang w:val="en-GB"/>
        </w:rPr>
        <w:t>a</w:t>
      </w:r>
      <w:r w:rsidR="00071D2A" w:rsidRPr="0003073C">
        <w:rPr>
          <w:i/>
          <w:lang w:val="en-GB"/>
        </w:rPr>
        <w:t xml:space="preserve">ll-cause mortality or </w:t>
      </w:r>
      <w:r w:rsidR="000943B9" w:rsidRPr="0003073C">
        <w:rPr>
          <w:i/>
          <w:lang w:val="en-GB"/>
        </w:rPr>
        <w:t>heart failure</w:t>
      </w:r>
      <w:r w:rsidR="00071D2A" w:rsidRPr="0003073C">
        <w:rPr>
          <w:i/>
          <w:lang w:val="en-GB"/>
        </w:rPr>
        <w:t>-related hospitalization</w:t>
      </w:r>
    </w:p>
    <w:p w14:paraId="10631FE1" w14:textId="107C3129" w:rsidR="00F47B17" w:rsidRPr="0003073C" w:rsidRDefault="004B6E5B" w:rsidP="001C0037">
      <w:pPr>
        <w:spacing w:line="480" w:lineRule="auto"/>
        <w:rPr>
          <w:lang w:val="en-GB"/>
        </w:rPr>
      </w:pPr>
      <w:r w:rsidRPr="0003073C">
        <w:rPr>
          <w:lang w:val="en-GB"/>
        </w:rPr>
        <w:t>After adjusting for indication bias</w:t>
      </w:r>
      <w:r w:rsidR="00F318B9" w:rsidRPr="0003073C">
        <w:rPr>
          <w:lang w:val="en-GB"/>
        </w:rPr>
        <w:t xml:space="preserve"> and correcting for cohorts</w:t>
      </w:r>
      <w:r w:rsidRPr="0003073C">
        <w:rPr>
          <w:lang w:val="en-GB"/>
        </w:rPr>
        <w:t xml:space="preserve">, </w:t>
      </w:r>
      <w:r w:rsidR="00300818" w:rsidRPr="0003073C">
        <w:rPr>
          <w:lang w:val="en-GB"/>
        </w:rPr>
        <w:t>increasing</w:t>
      </w:r>
      <w:r w:rsidR="00B65543" w:rsidRPr="0003073C">
        <w:rPr>
          <w:lang w:val="en-GB"/>
        </w:rPr>
        <w:t xml:space="preserve"> doses </w:t>
      </w:r>
      <w:r w:rsidR="00300818" w:rsidRPr="0003073C">
        <w:rPr>
          <w:lang w:val="en-GB"/>
        </w:rPr>
        <w:t>towards</w:t>
      </w:r>
      <w:r w:rsidRPr="0003073C">
        <w:rPr>
          <w:lang w:val="en-GB"/>
        </w:rPr>
        <w:t xml:space="preserve"> </w:t>
      </w:r>
      <w:r w:rsidR="00C3580B" w:rsidRPr="0003073C">
        <w:rPr>
          <w:lang w:val="en-GB"/>
        </w:rPr>
        <w:t>recommended</w:t>
      </w:r>
      <w:r w:rsidRPr="0003073C">
        <w:rPr>
          <w:lang w:val="en-GB"/>
        </w:rPr>
        <w:t xml:space="preserve"> </w:t>
      </w:r>
      <w:proofErr w:type="spellStart"/>
      <w:r w:rsidR="00FD72C1" w:rsidRPr="0003073C">
        <w:rPr>
          <w:lang w:val="en-GB"/>
        </w:rPr>
        <w:t>ACE</w:t>
      </w:r>
      <w:r w:rsidR="00347A84" w:rsidRPr="0003073C">
        <w:rPr>
          <w:lang w:val="en-GB"/>
        </w:rPr>
        <w:t>i</w:t>
      </w:r>
      <w:proofErr w:type="spellEnd"/>
      <w:r w:rsidRPr="0003073C">
        <w:rPr>
          <w:lang w:val="en-GB"/>
        </w:rPr>
        <w:t xml:space="preserve">/ARB </w:t>
      </w:r>
      <w:r w:rsidR="00B65543" w:rsidRPr="0003073C">
        <w:rPr>
          <w:lang w:val="en-GB"/>
        </w:rPr>
        <w:t xml:space="preserve">and </w:t>
      </w:r>
      <w:r w:rsidR="00DC4337" w:rsidRPr="0003073C">
        <w:rPr>
          <w:lang w:val="en-GB"/>
        </w:rPr>
        <w:t>β</w:t>
      </w:r>
      <w:r w:rsidR="00B65543" w:rsidRPr="0003073C">
        <w:rPr>
          <w:lang w:val="en-GB"/>
        </w:rPr>
        <w:t xml:space="preserve">-blocker </w:t>
      </w:r>
      <w:r w:rsidRPr="0003073C">
        <w:rPr>
          <w:lang w:val="en-GB"/>
        </w:rPr>
        <w:t>dose</w:t>
      </w:r>
      <w:r w:rsidR="00B65543" w:rsidRPr="0003073C">
        <w:rPr>
          <w:lang w:val="en-GB"/>
        </w:rPr>
        <w:t>s</w:t>
      </w:r>
      <w:r w:rsidRPr="0003073C">
        <w:rPr>
          <w:lang w:val="en-GB"/>
        </w:rPr>
        <w:t xml:space="preserve"> </w:t>
      </w:r>
      <w:r w:rsidR="00DC4337" w:rsidRPr="0003073C">
        <w:rPr>
          <w:lang w:val="en-GB"/>
        </w:rPr>
        <w:t xml:space="preserve">were </w:t>
      </w:r>
      <w:r w:rsidR="007B3409" w:rsidRPr="0003073C">
        <w:rPr>
          <w:lang w:val="en-GB"/>
        </w:rPr>
        <w:t xml:space="preserve">generally </w:t>
      </w:r>
      <w:r w:rsidR="00DC4337" w:rsidRPr="0003073C">
        <w:rPr>
          <w:lang w:val="en-GB"/>
        </w:rPr>
        <w:t xml:space="preserve">associated with </w:t>
      </w:r>
      <w:r w:rsidRPr="0003073C">
        <w:rPr>
          <w:lang w:val="en-GB"/>
        </w:rPr>
        <w:t xml:space="preserve">a </w:t>
      </w:r>
      <w:r w:rsidR="00300818" w:rsidRPr="0003073C">
        <w:rPr>
          <w:lang w:val="en-GB"/>
        </w:rPr>
        <w:t>decreasing</w:t>
      </w:r>
      <w:r w:rsidRPr="0003073C">
        <w:rPr>
          <w:lang w:val="en-GB"/>
        </w:rPr>
        <w:t xml:space="preserve"> </w:t>
      </w:r>
      <w:r w:rsidR="00300818" w:rsidRPr="0003073C">
        <w:rPr>
          <w:lang w:val="en-GB"/>
        </w:rPr>
        <w:t>risk</w:t>
      </w:r>
      <w:r w:rsidRPr="0003073C">
        <w:rPr>
          <w:lang w:val="en-GB"/>
        </w:rPr>
        <w:t xml:space="preserve"> of </w:t>
      </w:r>
      <w:r w:rsidR="002F0686" w:rsidRPr="0003073C">
        <w:rPr>
          <w:lang w:val="en-GB"/>
        </w:rPr>
        <w:t>a composite outcome (</w:t>
      </w:r>
      <w:r w:rsidR="00B65543" w:rsidRPr="0003073C">
        <w:rPr>
          <w:lang w:val="en-GB"/>
        </w:rPr>
        <w:t>mortality or heart failure hospitalization</w:t>
      </w:r>
      <w:r w:rsidR="001C6A5B" w:rsidRPr="0003073C">
        <w:rPr>
          <w:lang w:val="en-GB"/>
        </w:rPr>
        <w:t>)</w:t>
      </w:r>
      <w:r w:rsidR="00E80391" w:rsidRPr="0003073C">
        <w:rPr>
          <w:lang w:val="en-GB"/>
        </w:rPr>
        <w:t xml:space="preserve">, Figure </w:t>
      </w:r>
      <w:r w:rsidR="00E4032B" w:rsidRPr="0003073C">
        <w:rPr>
          <w:lang w:val="en-GB"/>
        </w:rPr>
        <w:t>2</w:t>
      </w:r>
      <w:r w:rsidR="005D18C9" w:rsidRPr="0003073C">
        <w:rPr>
          <w:lang w:val="en-GB"/>
        </w:rPr>
        <w:t>a</w:t>
      </w:r>
      <w:r w:rsidR="001E7BEA" w:rsidRPr="0003073C">
        <w:rPr>
          <w:lang w:val="en-GB"/>
        </w:rPr>
        <w:t xml:space="preserve">. </w:t>
      </w:r>
      <w:r w:rsidR="00F72E6D" w:rsidRPr="0003073C">
        <w:rPr>
          <w:lang w:val="en-GB"/>
        </w:rPr>
        <w:t xml:space="preserve">When any dose </w:t>
      </w:r>
      <w:r w:rsidR="009F42BA" w:rsidRPr="0003073C">
        <w:rPr>
          <w:lang w:val="en-GB"/>
        </w:rPr>
        <w:t xml:space="preserve">(up to 49% </w:t>
      </w:r>
      <w:r w:rsidR="002C7C6C" w:rsidRPr="0003073C">
        <w:rPr>
          <w:lang w:val="en-GB"/>
        </w:rPr>
        <w:t>GRTD</w:t>
      </w:r>
      <w:r w:rsidR="009F42BA" w:rsidRPr="0003073C">
        <w:rPr>
          <w:lang w:val="en-GB"/>
        </w:rPr>
        <w:t xml:space="preserve">) </w:t>
      </w:r>
      <w:r w:rsidR="00797382" w:rsidRPr="0003073C">
        <w:rPr>
          <w:lang w:val="en-GB"/>
        </w:rPr>
        <w:t>wa</w:t>
      </w:r>
      <w:r w:rsidR="00F72E6D" w:rsidRPr="0003073C">
        <w:rPr>
          <w:lang w:val="en-GB"/>
        </w:rPr>
        <w:t xml:space="preserve">s given for both </w:t>
      </w:r>
      <w:proofErr w:type="spellStart"/>
      <w:r w:rsidR="00347A84" w:rsidRPr="0003073C">
        <w:rPr>
          <w:lang w:val="en-GB"/>
        </w:rPr>
        <w:t>ACEi</w:t>
      </w:r>
      <w:proofErr w:type="spellEnd"/>
      <w:r w:rsidR="00347A84" w:rsidRPr="0003073C">
        <w:rPr>
          <w:lang w:val="en-GB"/>
        </w:rPr>
        <w:t xml:space="preserve">/ARB </w:t>
      </w:r>
      <w:r w:rsidR="009F42BA" w:rsidRPr="0003073C">
        <w:rPr>
          <w:lang w:val="en-GB"/>
        </w:rPr>
        <w:t>and</w:t>
      </w:r>
      <w:r w:rsidR="00F72E6D" w:rsidRPr="0003073C">
        <w:rPr>
          <w:lang w:val="en-GB"/>
        </w:rPr>
        <w:t xml:space="preserve"> β-blocker</w:t>
      </w:r>
      <w:r w:rsidR="009F42BA" w:rsidRPr="0003073C">
        <w:rPr>
          <w:lang w:val="en-GB"/>
        </w:rPr>
        <w:t xml:space="preserve">, the hazard of composite outcome </w:t>
      </w:r>
      <w:r w:rsidR="00073E3C" w:rsidRPr="0003073C">
        <w:rPr>
          <w:lang w:val="en-GB"/>
        </w:rPr>
        <w:t>was lower</w:t>
      </w:r>
      <w:r w:rsidR="00F72E6D" w:rsidRPr="0003073C">
        <w:rPr>
          <w:lang w:val="en-GB"/>
        </w:rPr>
        <w:t xml:space="preserve"> </w:t>
      </w:r>
      <w:r w:rsidR="00073E3C" w:rsidRPr="0003073C">
        <w:rPr>
          <w:lang w:val="en-GB"/>
        </w:rPr>
        <w:t>(</w:t>
      </w:r>
      <w:r w:rsidR="009B517D" w:rsidRPr="0003073C">
        <w:rPr>
          <w:lang w:val="en-GB"/>
        </w:rPr>
        <w:t>Hazard ratio [</w:t>
      </w:r>
      <w:r w:rsidR="00073E3C" w:rsidRPr="0003073C">
        <w:rPr>
          <w:lang w:val="en-GB"/>
        </w:rPr>
        <w:t>HR</w:t>
      </w:r>
      <w:r w:rsidR="009B517D" w:rsidRPr="0003073C">
        <w:rPr>
          <w:lang w:val="en-GB"/>
        </w:rPr>
        <w:t>]</w:t>
      </w:r>
      <w:r w:rsidR="00073E3C" w:rsidRPr="0003073C">
        <w:rPr>
          <w:lang w:val="en-GB"/>
        </w:rPr>
        <w:t xml:space="preserve"> </w:t>
      </w:r>
      <w:r w:rsidR="009F42BA" w:rsidRPr="0003073C">
        <w:rPr>
          <w:rFonts w:eastAsia="Times New Roman"/>
          <w:lang w:val="en-US"/>
        </w:rPr>
        <w:t>0.7</w:t>
      </w:r>
      <w:r w:rsidR="00EF36C2" w:rsidRPr="0003073C">
        <w:rPr>
          <w:rFonts w:eastAsia="Times New Roman"/>
          <w:lang w:val="en-US"/>
        </w:rPr>
        <w:t>1</w:t>
      </w:r>
      <w:r w:rsidR="00073E3C" w:rsidRPr="0003073C">
        <w:rPr>
          <w:rFonts w:eastAsia="Times New Roman"/>
          <w:lang w:val="en-US"/>
        </w:rPr>
        <w:t xml:space="preserve">, </w:t>
      </w:r>
      <w:r w:rsidR="00C34D6F" w:rsidRPr="0003073C">
        <w:rPr>
          <w:rFonts w:eastAsia="Times New Roman"/>
          <w:lang w:val="en-US"/>
        </w:rPr>
        <w:t xml:space="preserve">95% </w:t>
      </w:r>
      <w:r w:rsidR="00D92FA4" w:rsidRPr="0003073C">
        <w:rPr>
          <w:lang w:val="en-GB"/>
        </w:rPr>
        <w:t xml:space="preserve">confidence interval [CI] </w:t>
      </w:r>
      <w:r w:rsidR="009F42BA" w:rsidRPr="0003073C">
        <w:rPr>
          <w:rFonts w:eastAsia="Times New Roman"/>
          <w:lang w:val="en-US"/>
        </w:rPr>
        <w:t>0.6</w:t>
      </w:r>
      <w:r w:rsidR="00EF36C2" w:rsidRPr="0003073C">
        <w:rPr>
          <w:rFonts w:eastAsia="Times New Roman"/>
          <w:lang w:val="en-US"/>
        </w:rPr>
        <w:t>1</w:t>
      </w:r>
      <w:r w:rsidR="009F42BA" w:rsidRPr="0003073C">
        <w:rPr>
          <w:rFonts w:eastAsia="Times New Roman"/>
          <w:lang w:val="en-US"/>
        </w:rPr>
        <w:t>-0.</w:t>
      </w:r>
      <w:r w:rsidR="00EF36C2" w:rsidRPr="0003073C">
        <w:rPr>
          <w:rFonts w:eastAsia="Times New Roman"/>
          <w:lang w:val="en-US"/>
        </w:rPr>
        <w:t>84</w:t>
      </w:r>
      <w:r w:rsidR="009F42BA" w:rsidRPr="0003073C">
        <w:rPr>
          <w:rFonts w:eastAsia="Times New Roman"/>
          <w:lang w:val="en-US"/>
        </w:rPr>
        <w:t>)</w:t>
      </w:r>
      <w:r w:rsidR="00073E3C" w:rsidRPr="0003073C">
        <w:rPr>
          <w:lang w:val="en-GB"/>
        </w:rPr>
        <w:t xml:space="preserve"> compared with none (Table 2).</w:t>
      </w:r>
      <w:r w:rsidR="001C368F" w:rsidRPr="0003073C">
        <w:rPr>
          <w:rFonts w:eastAsia="Times New Roman"/>
          <w:lang w:val="en-US"/>
        </w:rPr>
        <w:t xml:space="preserve"> </w:t>
      </w:r>
      <w:r w:rsidR="002A1857" w:rsidRPr="0003073C">
        <w:rPr>
          <w:rFonts w:eastAsia="Times New Roman"/>
          <w:lang w:val="en-US"/>
        </w:rPr>
        <w:t>Increasing the dose</w:t>
      </w:r>
      <w:r w:rsidR="00073E3C" w:rsidRPr="0003073C">
        <w:rPr>
          <w:rFonts w:eastAsia="Times New Roman"/>
          <w:lang w:val="en-US"/>
        </w:rPr>
        <w:t>s</w:t>
      </w:r>
      <w:r w:rsidR="002A1857" w:rsidRPr="0003073C">
        <w:rPr>
          <w:rFonts w:eastAsia="Times New Roman"/>
          <w:lang w:val="en-US"/>
        </w:rPr>
        <w:t xml:space="preserve"> </w:t>
      </w:r>
      <w:r w:rsidR="008C6BB2" w:rsidRPr="0003073C">
        <w:rPr>
          <w:rFonts w:eastAsia="Times New Roman"/>
          <w:lang w:val="en-US"/>
        </w:rPr>
        <w:t>further</w:t>
      </w:r>
      <w:r w:rsidR="002A1857" w:rsidRPr="0003073C">
        <w:rPr>
          <w:rFonts w:eastAsia="Times New Roman"/>
          <w:lang w:val="en-US"/>
        </w:rPr>
        <w:t xml:space="preserve"> to 50-99% </w:t>
      </w:r>
      <w:r w:rsidR="002C7C6C" w:rsidRPr="0003073C">
        <w:rPr>
          <w:lang w:val="en-GB"/>
        </w:rPr>
        <w:t>GRTD</w:t>
      </w:r>
      <w:r w:rsidR="002A1857" w:rsidRPr="0003073C">
        <w:rPr>
          <w:rFonts w:eastAsia="Times New Roman"/>
          <w:lang w:val="en-US"/>
        </w:rPr>
        <w:t xml:space="preserve"> for either </w:t>
      </w:r>
      <w:proofErr w:type="spellStart"/>
      <w:r w:rsidR="00347A84" w:rsidRPr="0003073C">
        <w:rPr>
          <w:lang w:val="en-GB"/>
        </w:rPr>
        <w:t>ACEi</w:t>
      </w:r>
      <w:proofErr w:type="spellEnd"/>
      <w:r w:rsidR="00347A84" w:rsidRPr="0003073C">
        <w:rPr>
          <w:lang w:val="en-GB"/>
        </w:rPr>
        <w:t>/ARB</w:t>
      </w:r>
      <w:r w:rsidR="002A1857" w:rsidRPr="0003073C">
        <w:rPr>
          <w:rFonts w:eastAsia="Times New Roman"/>
          <w:lang w:val="en-US"/>
        </w:rPr>
        <w:t xml:space="preserve"> or β-blocker</w:t>
      </w:r>
      <w:r w:rsidR="00920EFB" w:rsidRPr="0003073C">
        <w:rPr>
          <w:rFonts w:eastAsia="Times New Roman"/>
          <w:lang w:val="en-US"/>
        </w:rPr>
        <w:t xml:space="preserve"> in combination therapy</w:t>
      </w:r>
      <w:r w:rsidR="002A1857" w:rsidRPr="0003073C">
        <w:rPr>
          <w:rFonts w:eastAsia="Times New Roman"/>
          <w:lang w:val="en-US"/>
        </w:rPr>
        <w:t xml:space="preserve"> reduced the hazards markedly (HR </w:t>
      </w:r>
      <w:r w:rsidR="00EF36C2" w:rsidRPr="0003073C">
        <w:rPr>
          <w:rFonts w:eastAsia="Times New Roman"/>
          <w:lang w:val="en-US"/>
        </w:rPr>
        <w:t>0.50/0.61</w:t>
      </w:r>
      <w:r w:rsidR="002A1857" w:rsidRPr="0003073C">
        <w:rPr>
          <w:rFonts w:eastAsia="Times New Roman"/>
          <w:lang w:val="en-US"/>
        </w:rPr>
        <w:t xml:space="preserve">). </w:t>
      </w:r>
      <w:r w:rsidR="00920EFB" w:rsidRPr="0003073C">
        <w:rPr>
          <w:rFonts w:eastAsia="Times New Roman"/>
          <w:lang w:val="en-US"/>
        </w:rPr>
        <w:t>Of note, the reduction in hazards observed for these combinations, even though not reaching 100% GRTD in either drug class, was greater than that observed with the attainment of 100% GRTD</w:t>
      </w:r>
      <w:r w:rsidR="00D93B5A" w:rsidRPr="0003073C">
        <w:rPr>
          <w:rFonts w:eastAsia="Times New Roman"/>
          <w:lang w:val="en-US"/>
        </w:rPr>
        <w:t xml:space="preserve"> for </w:t>
      </w:r>
      <w:proofErr w:type="spellStart"/>
      <w:r w:rsidR="00D93B5A" w:rsidRPr="0003073C">
        <w:rPr>
          <w:rFonts w:eastAsia="Times New Roman"/>
          <w:lang w:val="en-US"/>
        </w:rPr>
        <w:t>ACEi</w:t>
      </w:r>
      <w:proofErr w:type="spellEnd"/>
      <w:r w:rsidR="00D93B5A" w:rsidRPr="0003073C">
        <w:rPr>
          <w:rFonts w:eastAsia="Times New Roman"/>
          <w:lang w:val="en-US"/>
        </w:rPr>
        <w:t xml:space="preserve">/ARB alone </w:t>
      </w:r>
      <w:r w:rsidR="00D852B9" w:rsidRPr="0003073C">
        <w:rPr>
          <w:rFonts w:eastAsia="Times New Roman"/>
          <w:lang w:val="en-US"/>
        </w:rPr>
        <w:t>(HR 0.7</w:t>
      </w:r>
      <w:r w:rsidR="00EF36C2" w:rsidRPr="0003073C">
        <w:rPr>
          <w:rFonts w:eastAsia="Times New Roman"/>
          <w:lang w:val="en-US"/>
        </w:rPr>
        <w:t>1</w:t>
      </w:r>
      <w:r w:rsidR="00D852B9" w:rsidRPr="0003073C">
        <w:rPr>
          <w:rFonts w:eastAsia="Times New Roman"/>
          <w:lang w:val="en-US"/>
        </w:rPr>
        <w:t>, 95% CI 0.5</w:t>
      </w:r>
      <w:r w:rsidR="00EF36C2" w:rsidRPr="0003073C">
        <w:rPr>
          <w:rFonts w:eastAsia="Times New Roman"/>
          <w:lang w:val="en-US"/>
        </w:rPr>
        <w:t>2</w:t>
      </w:r>
      <w:r w:rsidR="00D852B9" w:rsidRPr="0003073C">
        <w:rPr>
          <w:rFonts w:eastAsia="Times New Roman"/>
          <w:lang w:val="en-US"/>
        </w:rPr>
        <w:t>-0.9</w:t>
      </w:r>
      <w:r w:rsidR="00EF36C2" w:rsidRPr="0003073C">
        <w:rPr>
          <w:rFonts w:eastAsia="Times New Roman"/>
          <w:lang w:val="en-US"/>
        </w:rPr>
        <w:t>6</w:t>
      </w:r>
      <w:r w:rsidR="00D852B9" w:rsidRPr="0003073C">
        <w:rPr>
          <w:rFonts w:eastAsia="Times New Roman"/>
          <w:lang w:val="en-US"/>
        </w:rPr>
        <w:t>)</w:t>
      </w:r>
      <w:r w:rsidR="00A04D85" w:rsidRPr="0003073C">
        <w:rPr>
          <w:rFonts w:eastAsia="Times New Roman"/>
          <w:lang w:val="en-US"/>
        </w:rPr>
        <w:t xml:space="preserve"> </w:t>
      </w:r>
      <w:r w:rsidR="00D93B5A" w:rsidRPr="0003073C">
        <w:rPr>
          <w:rFonts w:eastAsia="Times New Roman"/>
          <w:lang w:val="en-US"/>
        </w:rPr>
        <w:t>or 100% GRTD for β-blocker alone (HR 0.68, 95% CI 0.49-</w:t>
      </w:r>
      <w:r w:rsidR="00D93B5A" w:rsidRPr="0003073C">
        <w:rPr>
          <w:rFonts w:eastAsia="Times New Roman"/>
          <w:lang w:val="en-US"/>
        </w:rPr>
        <w:lastRenderedPageBreak/>
        <w:t>0.93)</w:t>
      </w:r>
      <w:r w:rsidR="00D852B9" w:rsidRPr="0003073C">
        <w:rPr>
          <w:rFonts w:eastAsia="Times New Roman"/>
          <w:lang w:val="en-US"/>
        </w:rPr>
        <w:t xml:space="preserve">(Table </w:t>
      </w:r>
      <w:r w:rsidR="00C86BEF" w:rsidRPr="0003073C">
        <w:rPr>
          <w:rFonts w:eastAsia="Times New Roman"/>
          <w:lang w:val="en-US"/>
        </w:rPr>
        <w:t>2</w:t>
      </w:r>
      <w:r w:rsidR="00D852B9" w:rsidRPr="0003073C">
        <w:rPr>
          <w:rFonts w:eastAsia="Times New Roman"/>
          <w:lang w:val="en-US"/>
        </w:rPr>
        <w:t>).</w:t>
      </w:r>
      <w:r w:rsidR="00444297" w:rsidRPr="0003073C">
        <w:rPr>
          <w:rFonts w:eastAsia="Times New Roman"/>
          <w:lang w:val="en-US"/>
        </w:rPr>
        <w:t xml:space="preserve"> </w:t>
      </w:r>
      <w:r w:rsidR="00431A0C" w:rsidRPr="0003073C">
        <w:rPr>
          <w:rFonts w:eastAsia="Times New Roman"/>
          <w:lang w:val="en-US"/>
        </w:rPr>
        <w:t xml:space="preserve">Treating patients at sub-optimal ACE/ARB and BB doses (1-49% of GDMT) appears not to be better than treating patients at high dose of either single therapy. However, as soon as one of the treatment doses is increased to at least 50% of guideline dose, the risks reduce to </w:t>
      </w:r>
      <w:r w:rsidR="00431A0C" w:rsidRPr="0003073C">
        <w:rPr>
          <w:lang w:val="en-US"/>
        </w:rPr>
        <w:t>0.61 (95% CI 0.49-0.75) and 0.50 (95% CI 0.42-0.61) which is lower than 0.67 and 0.71 for the groups with &lt;50% GDMT.</w:t>
      </w:r>
      <w:r w:rsidR="00431A0C" w:rsidRPr="0003073C">
        <w:rPr>
          <w:i/>
          <w:iCs/>
          <w:sz w:val="20"/>
          <w:szCs w:val="20"/>
          <w:lang w:val="en-US"/>
        </w:rPr>
        <w:t xml:space="preserve"> </w:t>
      </w:r>
      <w:r w:rsidR="00073E3C" w:rsidRPr="0003073C">
        <w:rPr>
          <w:lang w:val="en-GB"/>
        </w:rPr>
        <w:t xml:space="preserve">Achievement of 100% of recommended doses for </w:t>
      </w:r>
      <w:proofErr w:type="spellStart"/>
      <w:r w:rsidR="00073E3C" w:rsidRPr="0003073C">
        <w:rPr>
          <w:lang w:val="en-GB"/>
        </w:rPr>
        <w:t>ACEi</w:t>
      </w:r>
      <w:proofErr w:type="spellEnd"/>
      <w:r w:rsidR="00073E3C" w:rsidRPr="0003073C">
        <w:rPr>
          <w:lang w:val="en-GB"/>
        </w:rPr>
        <w:t xml:space="preserve">/ARB and β-blockers was associated with the lowest hazard ratios (HR 0.32 CI 0.26-0.39). </w:t>
      </w:r>
      <w:r w:rsidR="00EE5252" w:rsidRPr="0003073C">
        <w:rPr>
          <w:rFonts w:eastAsia="Times New Roman"/>
          <w:lang w:val="en-US"/>
        </w:rPr>
        <w:t>Correcting for MRA prescription did not alter the risks of the separate treatment groups.</w:t>
      </w:r>
      <w:r w:rsidR="00402603" w:rsidRPr="0003073C">
        <w:rPr>
          <w:rFonts w:eastAsia="Times New Roman"/>
          <w:lang w:val="en-US"/>
        </w:rPr>
        <w:t xml:space="preserve"> </w:t>
      </w:r>
      <w:r w:rsidR="00402603" w:rsidRPr="0003073C">
        <w:rPr>
          <w:rFonts w:eastAsia="Times New Roman" w:cstheme="minorHAnsi"/>
          <w:bCs/>
          <w:lang w:val="en-US"/>
        </w:rPr>
        <w:t xml:space="preserve">Sex modified the association of medication doses with composite outcomes (p=0.001). In stratified analyses, for all outcomes, women benefited more at lower doses than men, even with sub-optimal doses of &lt;50% </w:t>
      </w:r>
      <w:r w:rsidR="00402603" w:rsidRPr="0003073C">
        <w:rPr>
          <w:lang w:val="en-GB"/>
        </w:rPr>
        <w:t>GRTD</w:t>
      </w:r>
      <w:r w:rsidR="00E729F7" w:rsidRPr="0003073C">
        <w:rPr>
          <w:lang w:val="en-GB"/>
        </w:rPr>
        <w:t xml:space="preserve"> (</w:t>
      </w:r>
      <w:r w:rsidR="00E729F7" w:rsidRPr="0003073C">
        <w:rPr>
          <w:rFonts w:eastAsia="Times New Roman" w:cstheme="minorHAnsi"/>
          <w:lang w:val="en-US"/>
        </w:rPr>
        <w:t>supplementary table S5)</w:t>
      </w:r>
      <w:r w:rsidR="00402603" w:rsidRPr="0003073C">
        <w:rPr>
          <w:rFonts w:eastAsia="Times New Roman" w:cstheme="minorHAnsi"/>
          <w:bCs/>
          <w:lang w:val="en-US"/>
        </w:rPr>
        <w:t>.</w:t>
      </w:r>
    </w:p>
    <w:p w14:paraId="0F58F2BC" w14:textId="6930A3A6" w:rsidR="008705CF" w:rsidRPr="0003073C" w:rsidRDefault="008705CF" w:rsidP="007419B4">
      <w:pPr>
        <w:spacing w:line="480" w:lineRule="auto"/>
        <w:rPr>
          <w:lang w:val="en-GB"/>
        </w:rPr>
      </w:pPr>
    </w:p>
    <w:p w14:paraId="12A6E828" w14:textId="6AA76B0A" w:rsidR="001E3138" w:rsidRPr="0003073C" w:rsidRDefault="002A4CCE" w:rsidP="007419B4">
      <w:pPr>
        <w:spacing w:line="480" w:lineRule="auto"/>
        <w:rPr>
          <w:i/>
          <w:lang w:val="en-GB"/>
        </w:rPr>
      </w:pPr>
      <w:r w:rsidRPr="0003073C">
        <w:rPr>
          <w:i/>
          <w:iCs/>
          <w:lang w:val="en-GB"/>
        </w:rPr>
        <w:t>Association of achieved dose (0%, 1-49%, 50-99% and ≥100%) with</w:t>
      </w:r>
      <w:r w:rsidRPr="0003073C">
        <w:rPr>
          <w:i/>
          <w:lang w:val="en-GB"/>
        </w:rPr>
        <w:t xml:space="preserve"> a</w:t>
      </w:r>
      <w:r w:rsidR="001E3138" w:rsidRPr="0003073C">
        <w:rPr>
          <w:i/>
          <w:lang w:val="en-GB"/>
        </w:rPr>
        <w:t>ll-cause mortality</w:t>
      </w:r>
    </w:p>
    <w:p w14:paraId="24F0FD36" w14:textId="11C72682" w:rsidR="003E5098" w:rsidRPr="0003073C" w:rsidRDefault="00AD4A3F" w:rsidP="007419B4">
      <w:pPr>
        <w:spacing w:line="480" w:lineRule="auto"/>
        <w:rPr>
          <w:lang w:val="en-GB"/>
        </w:rPr>
      </w:pPr>
      <w:r w:rsidRPr="0003073C">
        <w:rPr>
          <w:lang w:val="en-GB"/>
        </w:rPr>
        <w:t>C</w:t>
      </w:r>
      <w:r w:rsidR="00485F63" w:rsidRPr="0003073C">
        <w:rPr>
          <w:lang w:val="en-GB"/>
        </w:rPr>
        <w:t xml:space="preserve">ompared to patients not treated with </w:t>
      </w:r>
      <w:proofErr w:type="spellStart"/>
      <w:r w:rsidR="00B90971" w:rsidRPr="0003073C">
        <w:rPr>
          <w:lang w:val="en-GB"/>
        </w:rPr>
        <w:t>ACE</w:t>
      </w:r>
      <w:r w:rsidR="00A67969" w:rsidRPr="0003073C">
        <w:rPr>
          <w:lang w:val="en-GB"/>
        </w:rPr>
        <w:t>i</w:t>
      </w:r>
      <w:proofErr w:type="spellEnd"/>
      <w:r w:rsidR="00B90971" w:rsidRPr="0003073C">
        <w:rPr>
          <w:lang w:val="en-GB"/>
        </w:rPr>
        <w:t>/ARB</w:t>
      </w:r>
      <w:r w:rsidR="00485F63" w:rsidRPr="0003073C">
        <w:rPr>
          <w:lang w:val="en-GB"/>
        </w:rPr>
        <w:t xml:space="preserve"> and β-blockers, the lowest risk in all-cause mortality was observed in those achieving 100% </w:t>
      </w:r>
      <w:r w:rsidR="002C7C6C" w:rsidRPr="0003073C">
        <w:rPr>
          <w:lang w:val="en-GB"/>
        </w:rPr>
        <w:t>GRTD</w:t>
      </w:r>
      <w:r w:rsidR="00485F63" w:rsidRPr="0003073C">
        <w:rPr>
          <w:lang w:val="en-GB"/>
        </w:rPr>
        <w:t xml:space="preserve"> for both therapeutic classes (with HR 0.19, 95% CI 0.1</w:t>
      </w:r>
      <w:r w:rsidR="00EF36C2" w:rsidRPr="0003073C">
        <w:rPr>
          <w:lang w:val="en-GB"/>
        </w:rPr>
        <w:t>4</w:t>
      </w:r>
      <w:r w:rsidR="00485F63" w:rsidRPr="0003073C">
        <w:rPr>
          <w:lang w:val="en-GB"/>
        </w:rPr>
        <w:t>-0.2</w:t>
      </w:r>
      <w:r w:rsidR="00EF36C2" w:rsidRPr="0003073C">
        <w:rPr>
          <w:lang w:val="en-GB"/>
        </w:rPr>
        <w:t>4</w:t>
      </w:r>
      <w:r w:rsidR="00E65194" w:rsidRPr="0003073C">
        <w:rPr>
          <w:lang w:val="en-GB"/>
        </w:rPr>
        <w:t>,</w:t>
      </w:r>
      <w:r w:rsidR="00D84CBE" w:rsidRPr="0003073C">
        <w:rPr>
          <w:lang w:val="en-GB"/>
        </w:rPr>
        <w:t xml:space="preserve"> Table </w:t>
      </w:r>
      <w:r w:rsidR="00C86BEF" w:rsidRPr="0003073C">
        <w:rPr>
          <w:lang w:val="en-GB"/>
        </w:rPr>
        <w:t>2</w:t>
      </w:r>
      <w:r w:rsidR="005D18C9" w:rsidRPr="0003073C">
        <w:rPr>
          <w:lang w:val="en-GB"/>
        </w:rPr>
        <w:t xml:space="preserve">, </w:t>
      </w:r>
      <w:proofErr w:type="gramStart"/>
      <w:r w:rsidR="005D18C9" w:rsidRPr="0003073C">
        <w:rPr>
          <w:lang w:val="en-GB"/>
        </w:rPr>
        <w:t>Figure</w:t>
      </w:r>
      <w:proofErr w:type="gramEnd"/>
      <w:r w:rsidR="005D18C9" w:rsidRPr="0003073C">
        <w:rPr>
          <w:lang w:val="en-GB"/>
        </w:rPr>
        <w:t xml:space="preserve"> 2b</w:t>
      </w:r>
      <w:r w:rsidR="001E7BEA" w:rsidRPr="0003073C">
        <w:rPr>
          <w:lang w:val="en-GB"/>
        </w:rPr>
        <w:t>)</w:t>
      </w:r>
      <w:r w:rsidR="00E65194" w:rsidRPr="0003073C">
        <w:rPr>
          <w:lang w:val="en-GB"/>
        </w:rPr>
        <w:t xml:space="preserve">. The second lowest risk </w:t>
      </w:r>
      <w:r w:rsidR="00455633" w:rsidRPr="0003073C">
        <w:rPr>
          <w:lang w:val="en-GB"/>
        </w:rPr>
        <w:t xml:space="preserve">HR </w:t>
      </w:r>
      <w:r w:rsidR="003E5098" w:rsidRPr="0003073C">
        <w:rPr>
          <w:lang w:val="en-GB"/>
        </w:rPr>
        <w:t>0.</w:t>
      </w:r>
      <w:r w:rsidR="00E65194" w:rsidRPr="0003073C">
        <w:rPr>
          <w:lang w:val="en-GB"/>
        </w:rPr>
        <w:t>2</w:t>
      </w:r>
      <w:r w:rsidR="00EF36C2" w:rsidRPr="0003073C">
        <w:rPr>
          <w:lang w:val="en-GB"/>
        </w:rPr>
        <w:t>7</w:t>
      </w:r>
      <w:r w:rsidR="00E65194" w:rsidRPr="0003073C">
        <w:rPr>
          <w:lang w:val="en-GB"/>
        </w:rPr>
        <w:t xml:space="preserve"> (</w:t>
      </w:r>
      <w:r w:rsidR="00356FDA" w:rsidRPr="0003073C">
        <w:rPr>
          <w:lang w:val="en-GB"/>
        </w:rPr>
        <w:t>95%</w:t>
      </w:r>
      <w:r w:rsidR="00E65194" w:rsidRPr="0003073C">
        <w:rPr>
          <w:lang w:val="en-GB"/>
        </w:rPr>
        <w:t xml:space="preserve"> </w:t>
      </w:r>
      <w:r w:rsidR="00356FDA" w:rsidRPr="0003073C">
        <w:rPr>
          <w:lang w:val="en-GB"/>
        </w:rPr>
        <w:t xml:space="preserve">CI </w:t>
      </w:r>
      <w:r w:rsidR="003E5098" w:rsidRPr="0003073C">
        <w:rPr>
          <w:lang w:val="en-GB"/>
        </w:rPr>
        <w:t>0.</w:t>
      </w:r>
      <w:r w:rsidR="00E65194" w:rsidRPr="0003073C">
        <w:rPr>
          <w:lang w:val="en-GB"/>
        </w:rPr>
        <w:t>2</w:t>
      </w:r>
      <w:r w:rsidR="00EF36C2" w:rsidRPr="0003073C">
        <w:rPr>
          <w:lang w:val="en-GB"/>
        </w:rPr>
        <w:t>1</w:t>
      </w:r>
      <w:r w:rsidR="00E65194" w:rsidRPr="0003073C">
        <w:rPr>
          <w:lang w:val="en-GB"/>
        </w:rPr>
        <w:t>-0.3</w:t>
      </w:r>
      <w:r w:rsidR="00EF36C2" w:rsidRPr="0003073C">
        <w:rPr>
          <w:lang w:val="en-GB"/>
        </w:rPr>
        <w:t>4</w:t>
      </w:r>
      <w:r w:rsidR="00E65194" w:rsidRPr="0003073C">
        <w:rPr>
          <w:lang w:val="en-GB"/>
        </w:rPr>
        <w:t>) was among those with</w:t>
      </w:r>
      <w:r w:rsidR="003E5098" w:rsidRPr="0003073C">
        <w:rPr>
          <w:lang w:val="en-GB"/>
        </w:rPr>
        <w:t xml:space="preserve"> 50-99% target dose </w:t>
      </w:r>
      <w:r w:rsidR="00E65194" w:rsidRPr="0003073C">
        <w:rPr>
          <w:lang w:val="en-GB"/>
        </w:rPr>
        <w:t xml:space="preserve">for </w:t>
      </w:r>
      <w:proofErr w:type="spellStart"/>
      <w:r w:rsidR="00A67969" w:rsidRPr="0003073C">
        <w:rPr>
          <w:lang w:val="en-GB"/>
        </w:rPr>
        <w:t>ACEi</w:t>
      </w:r>
      <w:proofErr w:type="spellEnd"/>
      <w:r w:rsidR="00A67969" w:rsidRPr="0003073C">
        <w:rPr>
          <w:lang w:val="en-GB"/>
        </w:rPr>
        <w:t xml:space="preserve">/ARB </w:t>
      </w:r>
      <w:r w:rsidR="00E65194" w:rsidRPr="0003073C">
        <w:rPr>
          <w:lang w:val="en-GB"/>
        </w:rPr>
        <w:t>and 100% target dose for β-blockers</w:t>
      </w:r>
      <w:r w:rsidR="001C6A5B" w:rsidRPr="0003073C">
        <w:rPr>
          <w:lang w:val="en-GB"/>
        </w:rPr>
        <w:t>.</w:t>
      </w:r>
      <w:r w:rsidR="00DF79D3" w:rsidRPr="0003073C">
        <w:rPr>
          <w:lang w:val="en-GB"/>
        </w:rPr>
        <w:t xml:space="preserve"> </w:t>
      </w:r>
      <w:r w:rsidR="00FB61BD" w:rsidRPr="0003073C">
        <w:rPr>
          <w:rFonts w:eastAsia="Times New Roman"/>
          <w:lang w:val="en-US"/>
        </w:rPr>
        <w:t xml:space="preserve">As monotherapy, achievement of 100% </w:t>
      </w:r>
      <w:r w:rsidR="00FB61BD" w:rsidRPr="0003073C">
        <w:rPr>
          <w:lang w:val="en-GB"/>
        </w:rPr>
        <w:t>GRTD</w:t>
      </w:r>
      <w:r w:rsidR="00FB61BD" w:rsidRPr="0003073C">
        <w:rPr>
          <w:rFonts w:eastAsia="Times New Roman"/>
          <w:lang w:val="en-US"/>
        </w:rPr>
        <w:t xml:space="preserve"> for </w:t>
      </w:r>
      <w:proofErr w:type="spellStart"/>
      <w:r w:rsidR="00FB61BD" w:rsidRPr="0003073C">
        <w:rPr>
          <w:lang w:val="en-GB"/>
        </w:rPr>
        <w:t>ACEi</w:t>
      </w:r>
      <w:proofErr w:type="spellEnd"/>
      <w:r w:rsidR="00FB61BD" w:rsidRPr="0003073C">
        <w:rPr>
          <w:lang w:val="en-GB"/>
        </w:rPr>
        <w:t>/ARB</w:t>
      </w:r>
      <w:r w:rsidR="007625E9" w:rsidRPr="0003073C">
        <w:rPr>
          <w:lang w:val="en-GB"/>
        </w:rPr>
        <w:t xml:space="preserve"> </w:t>
      </w:r>
      <w:r w:rsidR="00FB61BD" w:rsidRPr="0003073C">
        <w:rPr>
          <w:rFonts w:eastAsia="Times New Roman"/>
          <w:lang w:val="en-US"/>
        </w:rPr>
        <w:t xml:space="preserve">was not associated with additional mortality benefit compared to </w:t>
      </w:r>
      <w:r w:rsidR="00F506AF" w:rsidRPr="0003073C">
        <w:rPr>
          <w:rFonts w:eastAsia="Times New Roman"/>
          <w:lang w:val="en-US"/>
        </w:rPr>
        <w:t>lower doses of A</w:t>
      </w:r>
      <w:proofErr w:type="spellStart"/>
      <w:r w:rsidR="00FB61BD" w:rsidRPr="0003073C">
        <w:rPr>
          <w:lang w:val="en-GB"/>
        </w:rPr>
        <w:t>CEi</w:t>
      </w:r>
      <w:proofErr w:type="spellEnd"/>
      <w:r w:rsidR="00FB61BD" w:rsidRPr="0003073C">
        <w:rPr>
          <w:lang w:val="en-GB"/>
        </w:rPr>
        <w:t>/ARB</w:t>
      </w:r>
      <w:r w:rsidR="00087D5B" w:rsidRPr="0003073C">
        <w:rPr>
          <w:lang w:val="en-GB"/>
        </w:rPr>
        <w:t xml:space="preserve">; </w:t>
      </w:r>
      <w:r w:rsidR="00FB61BD" w:rsidRPr="0003073C">
        <w:rPr>
          <w:rFonts w:eastAsia="Times New Roman"/>
          <w:lang w:val="en-US"/>
        </w:rPr>
        <w:t>in contrast</w:t>
      </w:r>
      <w:r w:rsidR="00F506AF" w:rsidRPr="0003073C">
        <w:rPr>
          <w:rFonts w:eastAsia="Times New Roman"/>
          <w:lang w:val="en-US"/>
        </w:rPr>
        <w:t>,</w:t>
      </w:r>
      <w:r w:rsidR="00FB61BD" w:rsidRPr="0003073C">
        <w:rPr>
          <w:rFonts w:eastAsia="Times New Roman"/>
          <w:lang w:val="en-US"/>
        </w:rPr>
        <w:t xml:space="preserve"> increasing doses of β-blockers as monotherapy</w:t>
      </w:r>
      <w:r w:rsidR="00087D5B" w:rsidRPr="0003073C">
        <w:rPr>
          <w:rFonts w:eastAsia="Times New Roman"/>
          <w:lang w:val="en-US"/>
        </w:rPr>
        <w:t xml:space="preserve"> was associated with steady reduction in hazards for mortality</w:t>
      </w:r>
      <w:r w:rsidR="00F506AF" w:rsidRPr="0003073C">
        <w:rPr>
          <w:rFonts w:eastAsia="Times New Roman"/>
          <w:lang w:val="en-US"/>
        </w:rPr>
        <w:t xml:space="preserve"> (from HR 0.75</w:t>
      </w:r>
      <w:r w:rsidR="00F11491" w:rsidRPr="0003073C">
        <w:rPr>
          <w:rFonts w:eastAsia="Times New Roman"/>
          <w:lang w:val="en-US"/>
        </w:rPr>
        <w:t xml:space="preserve"> [95% </w:t>
      </w:r>
      <w:r w:rsidR="00F506AF" w:rsidRPr="0003073C">
        <w:rPr>
          <w:rFonts w:eastAsia="Times New Roman"/>
          <w:lang w:val="en-US"/>
        </w:rPr>
        <w:t>CI 0.6-0.92</w:t>
      </w:r>
      <w:r w:rsidR="00F11491" w:rsidRPr="0003073C">
        <w:rPr>
          <w:rFonts w:eastAsia="Times New Roman"/>
          <w:lang w:val="en-US"/>
        </w:rPr>
        <w:t>]</w:t>
      </w:r>
      <w:r w:rsidR="00F506AF" w:rsidRPr="0003073C">
        <w:rPr>
          <w:rFonts w:eastAsia="Times New Roman"/>
          <w:lang w:val="en-US"/>
        </w:rPr>
        <w:t xml:space="preserve"> with 1-49% GRTD</w:t>
      </w:r>
      <w:r w:rsidR="00F11491" w:rsidRPr="0003073C">
        <w:rPr>
          <w:rFonts w:eastAsia="Times New Roman"/>
          <w:lang w:val="en-US"/>
        </w:rPr>
        <w:t>, to 0.65 [95% CI, 0.48-0.87] with 50-99% GRTD,</w:t>
      </w:r>
      <w:r w:rsidR="00F506AF" w:rsidRPr="0003073C">
        <w:rPr>
          <w:rFonts w:eastAsia="Times New Roman"/>
          <w:lang w:val="en-US"/>
        </w:rPr>
        <w:t xml:space="preserve"> to 0.4</w:t>
      </w:r>
      <w:r w:rsidR="00F11491" w:rsidRPr="0003073C">
        <w:rPr>
          <w:rFonts w:eastAsia="Times New Roman"/>
          <w:lang w:val="en-US"/>
        </w:rPr>
        <w:t xml:space="preserve"> [</w:t>
      </w:r>
      <w:r w:rsidR="00F506AF" w:rsidRPr="0003073C">
        <w:rPr>
          <w:rFonts w:eastAsia="Times New Roman"/>
          <w:lang w:val="en-US"/>
        </w:rPr>
        <w:t>95% CI 0.25-0.63</w:t>
      </w:r>
      <w:r w:rsidR="00F11491" w:rsidRPr="0003073C">
        <w:rPr>
          <w:rFonts w:eastAsia="Times New Roman"/>
          <w:lang w:val="en-US"/>
        </w:rPr>
        <w:t>]</w:t>
      </w:r>
      <w:r w:rsidR="00F506AF" w:rsidRPr="0003073C">
        <w:rPr>
          <w:rFonts w:eastAsia="Times New Roman"/>
          <w:lang w:val="en-US"/>
        </w:rPr>
        <w:t xml:space="preserve"> with 100% GRTD)</w:t>
      </w:r>
      <w:r w:rsidR="00D93B5A" w:rsidRPr="0003073C">
        <w:rPr>
          <w:rFonts w:eastAsia="Times New Roman"/>
          <w:lang w:val="en-US"/>
        </w:rPr>
        <w:t>.</w:t>
      </w:r>
      <w:r w:rsidR="00FB61BD" w:rsidRPr="0003073C">
        <w:rPr>
          <w:rFonts w:eastAsia="Times New Roman"/>
          <w:lang w:val="en-US"/>
        </w:rPr>
        <w:t xml:space="preserve"> </w:t>
      </w:r>
    </w:p>
    <w:p w14:paraId="797240B0" w14:textId="77777777" w:rsidR="00CF07D7" w:rsidRPr="0003073C" w:rsidRDefault="00CF07D7">
      <w:pPr>
        <w:widowControl w:val="0"/>
        <w:rPr>
          <w:i/>
          <w:iCs/>
          <w:lang w:val="en-GB"/>
        </w:rPr>
      </w:pPr>
      <w:r w:rsidRPr="0003073C">
        <w:rPr>
          <w:i/>
          <w:iCs/>
          <w:lang w:val="en-GB"/>
        </w:rPr>
        <w:br w:type="page"/>
      </w:r>
    </w:p>
    <w:p w14:paraId="22ECB5AF" w14:textId="097F732D" w:rsidR="006F5A33" w:rsidRPr="0003073C" w:rsidRDefault="00CF07D7" w:rsidP="006F5A33">
      <w:pPr>
        <w:spacing w:line="480" w:lineRule="auto"/>
        <w:rPr>
          <w:i/>
          <w:lang w:val="en-GB"/>
        </w:rPr>
      </w:pPr>
      <w:r w:rsidRPr="0003073C">
        <w:rPr>
          <w:i/>
          <w:iCs/>
          <w:lang w:val="en-GB"/>
        </w:rPr>
        <w:lastRenderedPageBreak/>
        <w:t xml:space="preserve">Association of achieved dose (0%, 1-49%, 50-99% and ≥100%) with </w:t>
      </w:r>
      <w:r w:rsidR="006F5A33" w:rsidRPr="0003073C">
        <w:rPr>
          <w:i/>
          <w:lang w:val="en-GB"/>
        </w:rPr>
        <w:t>HF-related hospitalization</w:t>
      </w:r>
    </w:p>
    <w:p w14:paraId="5BEEA6C8" w14:textId="4F493CFB" w:rsidR="00E4032B" w:rsidRPr="0003073C" w:rsidRDefault="0092302E" w:rsidP="00452AC7">
      <w:pPr>
        <w:spacing w:line="480" w:lineRule="auto"/>
        <w:rPr>
          <w:iCs/>
          <w:lang w:val="en-GB"/>
        </w:rPr>
      </w:pPr>
      <w:r w:rsidRPr="0003073C">
        <w:rPr>
          <w:rFonts w:eastAsia="Times New Roman" w:cstheme="minorHAnsi"/>
          <w:bCs/>
          <w:iCs/>
          <w:lang w:val="en-US"/>
        </w:rPr>
        <w:t xml:space="preserve">Increasing doses of combinations of ACE-inhibitors/ARBs and β-blockers were not directly associated with risk of HF-hospitalization (Table </w:t>
      </w:r>
      <w:r w:rsidR="00E729F7" w:rsidRPr="0003073C">
        <w:rPr>
          <w:rFonts w:eastAsia="Times New Roman" w:cstheme="minorHAnsi"/>
          <w:bCs/>
          <w:iCs/>
          <w:lang w:val="en-US"/>
        </w:rPr>
        <w:t>2</w:t>
      </w:r>
      <w:r w:rsidR="005D18C9" w:rsidRPr="0003073C">
        <w:rPr>
          <w:lang w:val="en-GB"/>
        </w:rPr>
        <w:t>, Figure 2c</w:t>
      </w:r>
      <w:r w:rsidRPr="0003073C">
        <w:rPr>
          <w:rFonts w:eastAsia="Times New Roman" w:cstheme="minorHAnsi"/>
          <w:bCs/>
          <w:iCs/>
          <w:lang w:val="en-US"/>
        </w:rPr>
        <w:t>), although a lower risk was seen in patients with increasing dose of single therapy of ACE-inhibitors/ARBs</w:t>
      </w:r>
      <w:r w:rsidR="008A620A" w:rsidRPr="0003073C">
        <w:rPr>
          <w:rFonts w:eastAsia="Times New Roman" w:cstheme="minorHAnsi"/>
          <w:bCs/>
          <w:iCs/>
          <w:lang w:val="en-US"/>
        </w:rPr>
        <w:t>.</w:t>
      </w:r>
      <w:r w:rsidRPr="0003073C">
        <w:rPr>
          <w:iCs/>
          <w:lang w:val="en-GB"/>
        </w:rPr>
        <w:t xml:space="preserve"> </w:t>
      </w:r>
    </w:p>
    <w:p w14:paraId="0E6949E0" w14:textId="77777777" w:rsidR="00452AC7" w:rsidRPr="0003073C" w:rsidRDefault="00452AC7" w:rsidP="00452AC7">
      <w:pPr>
        <w:spacing w:line="480" w:lineRule="auto"/>
        <w:rPr>
          <w:iCs/>
          <w:lang w:val="en-GB"/>
        </w:rPr>
      </w:pPr>
    </w:p>
    <w:p w14:paraId="198A8B4E" w14:textId="6D2C6A15" w:rsidR="00B103A5" w:rsidRPr="0003073C" w:rsidRDefault="002A3544" w:rsidP="007419B4">
      <w:pPr>
        <w:widowControl w:val="0"/>
        <w:spacing w:line="480" w:lineRule="auto"/>
        <w:rPr>
          <w:b/>
          <w:lang w:val="en-GB"/>
        </w:rPr>
      </w:pPr>
      <w:r w:rsidRPr="0003073C">
        <w:rPr>
          <w:b/>
          <w:lang w:val="en-GB"/>
        </w:rPr>
        <w:t>Discussion</w:t>
      </w:r>
    </w:p>
    <w:p w14:paraId="48ADFB20" w14:textId="76BEDB5B" w:rsidR="003E05D2" w:rsidRPr="0003073C" w:rsidRDefault="00B05E3E" w:rsidP="007419B4">
      <w:pPr>
        <w:widowControl w:val="0"/>
        <w:spacing w:line="480" w:lineRule="auto"/>
        <w:rPr>
          <w:lang w:val="en-GB"/>
        </w:rPr>
      </w:pPr>
      <w:r w:rsidRPr="0003073C">
        <w:rPr>
          <w:lang w:val="en-GB"/>
        </w:rPr>
        <w:t>Our</w:t>
      </w:r>
      <w:r w:rsidR="00337701" w:rsidRPr="0003073C">
        <w:rPr>
          <w:lang w:val="en-GB"/>
        </w:rPr>
        <w:t xml:space="preserve"> key findings </w:t>
      </w:r>
      <w:r w:rsidR="008C0595" w:rsidRPr="0003073C">
        <w:rPr>
          <w:lang w:val="en-GB"/>
        </w:rPr>
        <w:t xml:space="preserve">from our multinational observational studies </w:t>
      </w:r>
      <w:r w:rsidRPr="0003073C">
        <w:rPr>
          <w:lang w:val="en-GB"/>
        </w:rPr>
        <w:t xml:space="preserve">are: In both </w:t>
      </w:r>
      <w:r w:rsidR="00267848" w:rsidRPr="0003073C">
        <w:rPr>
          <w:lang w:val="en-GB"/>
        </w:rPr>
        <w:t xml:space="preserve">Europe and Asia, achievement of </w:t>
      </w:r>
      <w:r w:rsidRPr="0003073C">
        <w:rPr>
          <w:lang w:val="en-GB"/>
        </w:rPr>
        <w:t xml:space="preserve">full </w:t>
      </w:r>
      <w:r w:rsidR="002C7C6C" w:rsidRPr="0003073C">
        <w:rPr>
          <w:lang w:val="en-GB"/>
        </w:rPr>
        <w:t xml:space="preserve">GRTD </w:t>
      </w:r>
      <w:r w:rsidR="00267848" w:rsidRPr="0003073C">
        <w:rPr>
          <w:lang w:val="en-GB"/>
        </w:rPr>
        <w:t xml:space="preserve">for </w:t>
      </w:r>
      <w:r w:rsidR="00E80911" w:rsidRPr="0003073C">
        <w:rPr>
          <w:lang w:val="en-GB"/>
        </w:rPr>
        <w:t xml:space="preserve">both </w:t>
      </w:r>
      <w:proofErr w:type="spellStart"/>
      <w:r w:rsidR="00A67969" w:rsidRPr="0003073C">
        <w:rPr>
          <w:lang w:val="en-GB"/>
        </w:rPr>
        <w:t>ACEi</w:t>
      </w:r>
      <w:proofErr w:type="spellEnd"/>
      <w:r w:rsidR="00A67969" w:rsidRPr="0003073C">
        <w:rPr>
          <w:lang w:val="en-GB"/>
        </w:rPr>
        <w:t xml:space="preserve">/ARB </w:t>
      </w:r>
      <w:r w:rsidR="00267848" w:rsidRPr="0003073C">
        <w:rPr>
          <w:lang w:val="en-GB"/>
        </w:rPr>
        <w:t xml:space="preserve">and β-blockers </w:t>
      </w:r>
      <w:r w:rsidR="00115559" w:rsidRPr="0003073C">
        <w:rPr>
          <w:lang w:val="en-GB"/>
        </w:rPr>
        <w:t xml:space="preserve">was </w:t>
      </w:r>
      <w:r w:rsidR="008C0595" w:rsidRPr="0003073C">
        <w:rPr>
          <w:lang w:val="en-GB"/>
        </w:rPr>
        <w:t xml:space="preserve">rare. </w:t>
      </w:r>
      <w:r w:rsidR="00F32093" w:rsidRPr="0003073C">
        <w:rPr>
          <w:lang w:val="en-GB"/>
        </w:rPr>
        <w:t>Not surprisingly, t</w:t>
      </w:r>
      <w:r w:rsidR="00267848" w:rsidRPr="0003073C">
        <w:rPr>
          <w:lang w:val="en-GB"/>
        </w:rPr>
        <w:t>he b</w:t>
      </w:r>
      <w:r w:rsidR="005C37B6" w:rsidRPr="0003073C">
        <w:rPr>
          <w:lang w:val="en-GB"/>
        </w:rPr>
        <w:t xml:space="preserve">est outcomes were observed in those who achieved 100% </w:t>
      </w:r>
      <w:r w:rsidR="002C7C6C" w:rsidRPr="0003073C">
        <w:rPr>
          <w:lang w:val="en-GB"/>
        </w:rPr>
        <w:t>GRTD</w:t>
      </w:r>
      <w:r w:rsidR="005C37B6" w:rsidRPr="0003073C">
        <w:rPr>
          <w:lang w:val="en-GB"/>
        </w:rPr>
        <w:t xml:space="preserve"> of combined therapy</w:t>
      </w:r>
      <w:r w:rsidR="008C0595" w:rsidRPr="0003073C">
        <w:rPr>
          <w:lang w:val="en-GB"/>
        </w:rPr>
        <w:t>. However</w:t>
      </w:r>
      <w:r w:rsidR="00207CBF" w:rsidRPr="0003073C">
        <w:rPr>
          <w:lang w:val="en-GB"/>
        </w:rPr>
        <w:t>,</w:t>
      </w:r>
      <w:r w:rsidR="008C0595" w:rsidRPr="0003073C">
        <w:rPr>
          <w:lang w:val="en-GB"/>
        </w:rPr>
        <w:t xml:space="preserve"> in the vast majority of patients not reaching 100% GRTD, </w:t>
      </w:r>
      <w:r w:rsidR="00F11491" w:rsidRPr="0003073C">
        <w:rPr>
          <w:lang w:val="en-GB"/>
        </w:rPr>
        <w:t xml:space="preserve">taking any dose combination was better than none, and </w:t>
      </w:r>
      <w:r w:rsidR="008C0595" w:rsidRPr="0003073C">
        <w:rPr>
          <w:lang w:val="en-GB"/>
        </w:rPr>
        <w:t xml:space="preserve">achieving lower doses of both drug classes was associated with better outcomes than reaching the highest dose of only one class. For mortality reduction, up-titrating β-blockers </w:t>
      </w:r>
      <w:r w:rsidR="0055231F" w:rsidRPr="0003073C">
        <w:rPr>
          <w:lang w:val="en-GB"/>
        </w:rPr>
        <w:t xml:space="preserve">to 100% GRTD </w:t>
      </w:r>
      <w:r w:rsidR="008C0595" w:rsidRPr="0003073C">
        <w:rPr>
          <w:lang w:val="en-GB"/>
        </w:rPr>
        <w:t xml:space="preserve">was associated with greater benefit than up-titrating </w:t>
      </w:r>
      <w:proofErr w:type="spellStart"/>
      <w:r w:rsidR="008C0595" w:rsidRPr="0003073C">
        <w:rPr>
          <w:lang w:val="en-GB"/>
        </w:rPr>
        <w:t>ACEi</w:t>
      </w:r>
      <w:proofErr w:type="spellEnd"/>
      <w:r w:rsidR="008C0595" w:rsidRPr="0003073C">
        <w:rPr>
          <w:lang w:val="en-GB"/>
        </w:rPr>
        <w:t>/ARB</w:t>
      </w:r>
      <w:r w:rsidR="00F11491" w:rsidRPr="0003073C">
        <w:rPr>
          <w:lang w:val="en-GB"/>
        </w:rPr>
        <w:t xml:space="preserve"> to 100% GRTD</w:t>
      </w:r>
      <w:r w:rsidR="008C0595" w:rsidRPr="0003073C">
        <w:rPr>
          <w:lang w:val="en-GB"/>
        </w:rPr>
        <w:t xml:space="preserve">. </w:t>
      </w:r>
      <w:r w:rsidR="00360806" w:rsidRPr="0003073C">
        <w:rPr>
          <w:lang w:val="en-GB"/>
        </w:rPr>
        <w:t xml:space="preserve">The key practical questions we sought to answer in this study </w:t>
      </w:r>
      <w:r w:rsidR="00A955E3" w:rsidRPr="0003073C">
        <w:rPr>
          <w:lang w:val="en-GB"/>
        </w:rPr>
        <w:t xml:space="preserve">are very unlikely to be answered in large </w:t>
      </w:r>
      <w:r w:rsidR="005749B8" w:rsidRPr="0003073C">
        <w:rPr>
          <w:lang w:val="en-GB"/>
        </w:rPr>
        <w:t>randomized controlled trial</w:t>
      </w:r>
      <w:r w:rsidR="00A955E3" w:rsidRPr="0003073C">
        <w:rPr>
          <w:lang w:val="en-GB"/>
        </w:rPr>
        <w:t>s</w:t>
      </w:r>
      <w:r w:rsidR="0055231F" w:rsidRPr="0003073C">
        <w:rPr>
          <w:lang w:val="en-GB"/>
        </w:rPr>
        <w:t xml:space="preserve">, yet </w:t>
      </w:r>
      <w:r w:rsidR="00A955E3" w:rsidRPr="0003073C">
        <w:rPr>
          <w:lang w:val="en-GB"/>
        </w:rPr>
        <w:t xml:space="preserve">very relevant to day-to-day </w:t>
      </w:r>
      <w:r w:rsidR="00360806" w:rsidRPr="0003073C">
        <w:rPr>
          <w:lang w:val="en-GB"/>
        </w:rPr>
        <w:t xml:space="preserve">clinical </w:t>
      </w:r>
      <w:r w:rsidR="00A955E3" w:rsidRPr="0003073C">
        <w:rPr>
          <w:lang w:val="en-GB"/>
        </w:rPr>
        <w:t xml:space="preserve">practice. </w:t>
      </w:r>
      <w:r w:rsidR="0041427D" w:rsidRPr="0003073C">
        <w:rPr>
          <w:lang w:val="en-GB"/>
        </w:rPr>
        <w:t xml:space="preserve">In RCTs, novel drugs are given on top of standard of care. However, regarding standard of care, the main outcome papers of these RCTs only provide data on whether </w:t>
      </w:r>
      <w:proofErr w:type="spellStart"/>
      <w:r w:rsidR="0041427D" w:rsidRPr="0003073C">
        <w:rPr>
          <w:lang w:val="en-GB"/>
        </w:rPr>
        <w:t>ACEi</w:t>
      </w:r>
      <w:proofErr w:type="spellEnd"/>
      <w:r w:rsidR="0041427D" w:rsidRPr="0003073C">
        <w:rPr>
          <w:lang w:val="en-GB"/>
        </w:rPr>
        <w:t xml:space="preserve">/ARB/BB/MRA </w:t>
      </w:r>
      <w:proofErr w:type="spellStart"/>
      <w:r w:rsidR="0041427D" w:rsidRPr="0003073C">
        <w:rPr>
          <w:lang w:val="en-GB"/>
        </w:rPr>
        <w:t>etc</w:t>
      </w:r>
      <w:proofErr w:type="spellEnd"/>
      <w:r w:rsidR="0041427D" w:rsidRPr="0003073C">
        <w:rPr>
          <w:lang w:val="en-GB"/>
        </w:rPr>
        <w:t xml:space="preserve"> are used or not (yes/no) but the doses as percentage of the guideline-recommended target doses are never reported. In this paper these data are provided which makes them even more important.</w:t>
      </w:r>
    </w:p>
    <w:p w14:paraId="199EE135" w14:textId="0DE9844D" w:rsidR="006F5B71" w:rsidRPr="0003073C" w:rsidRDefault="00C11C8D" w:rsidP="007419B4">
      <w:pPr>
        <w:widowControl w:val="0"/>
        <w:spacing w:line="480" w:lineRule="auto"/>
        <w:rPr>
          <w:lang w:val="en-GB"/>
        </w:rPr>
      </w:pPr>
      <w:r w:rsidRPr="0003073C">
        <w:rPr>
          <w:lang w:val="en-GB"/>
        </w:rPr>
        <w:t xml:space="preserve">There are few previous reports on the </w:t>
      </w:r>
      <w:r w:rsidR="00F51317" w:rsidRPr="0003073C">
        <w:rPr>
          <w:lang w:val="en-GB"/>
        </w:rPr>
        <w:t xml:space="preserve">doses of </w:t>
      </w:r>
      <w:r w:rsidR="00E130CA" w:rsidRPr="0003073C">
        <w:rPr>
          <w:lang w:val="en-GB"/>
        </w:rPr>
        <w:t xml:space="preserve">first-line </w:t>
      </w:r>
      <w:r w:rsidR="00F51317" w:rsidRPr="0003073C">
        <w:rPr>
          <w:lang w:val="en-GB"/>
        </w:rPr>
        <w:t xml:space="preserve">evidence-based pharmacotherapy </w:t>
      </w:r>
      <w:r w:rsidR="005D3967" w:rsidRPr="0003073C">
        <w:rPr>
          <w:lang w:val="en-GB"/>
        </w:rPr>
        <w:t>in</w:t>
      </w:r>
      <w:r w:rsidR="00F51317" w:rsidRPr="0003073C">
        <w:rPr>
          <w:lang w:val="en-GB"/>
        </w:rPr>
        <w:t xml:space="preserve"> HFrEF patients</w:t>
      </w:r>
      <w:r w:rsidR="00594925" w:rsidRPr="0003073C">
        <w:rPr>
          <w:lang w:val="en-GB"/>
        </w:rPr>
        <w:t xml:space="preserve"> </w:t>
      </w:r>
      <w:r w:rsidR="00594925" w:rsidRPr="0003073C">
        <w:rPr>
          <w:lang w:val="en-GB"/>
        </w:rPr>
        <w:fldChar w:fldCharType="begin" w:fldLock="1"/>
      </w:r>
      <w:r w:rsidR="0019034B" w:rsidRPr="0003073C">
        <w:rPr>
          <w:lang w:val="en-GB"/>
        </w:rPr>
        <w:instrText>ADDIN CSL_CITATION {"citationItems":[{"id":"ITEM-1","itemData":{"DOI":"10.1016/S2214-109X(18)30306-1","ISSN":"2214-109X","PMID":"30103979","abstract":"BACKGROUND Angiotensin-converting enzyme (ACE) inhibitors or angiotensin II receptor blockers (ARBs), β blockers, and mineralocorticoid receptor antagonists (MRAs) are of proven benefit and are recommended by guidelines for management of patients with heart failure and reduced ejection fraction (HFrEF). We aimed to examine the first prospective multinational data from Asia on prescribing patterns of guideline-directed medical therapies and analyse its effect on outcomes. METHODS In the prospective multinational ASIAN-HF registry (with enrolment from 46 centres in 11 countries in Asia), we enrolled patients aged 18 years or older, with symptomatic heart failure (stage C, with at least one episode of decompensated heart failure in the past 6 months that resulted in admission to hospital or was treated in an outpatient clinic) and left ventricular systolic dysfunction (ejection fraction ≤40% on baseline echocardiography, consistent with 2016 European Society of Cardiology guidelines). We excluded patients with heart failure caused by severe valvular heart disease, life-threatening comorbidity with a life expectancy of less than 1 year, who were unable or unwilling to give consent, or who had concurrent participation in a clinical trial. Patients were followed up for 3 years for the outcomes of death and cause-specific admittance to hospital. Primary outcomes were uptake of guideline-directed medical therapies (as proportions) by therapeutic class, achieved doses as proportions of guideline-recommended doses, and their association with 1-year composite outcome of all-cause death or admittance to hospital because of heart failure. This study is registered with ClinicalTrials.gov, number NCT01633398. FINDINGS Between Oct 1, 2012, and Dec 31, 2015, we enrolled 5276 patients with HFrEF (mean age 59·6 years [SD 13·2], 77% men, body-mass index 24·9 kg/m2 [5·1], 33% New York Heart Association class III or IV). Follow-up data were available for 4544 (90%) of 5061 eligible patients taking medication for heart failure, with median follow-up of 417 days (IQR 214-735). ACE inhibitors or ARBs were prescribed to 3868 (77%) of 5005 patients, β blockers to 3975 (79%) of 5061, and MRAs to 2998 (58%) of 5205, with substantial regional variation. Guideline-recommended dose was achieved in only 17% of cases for ACE inhibitors or ARB, 13% for β blockers, and 29% for MRAs. Country (all three drug classes), increasing body-mass index (ACE inhibitors or ARBs and MRAs), and in-pati…","author":[{"dropping-particle":"","family":"Teng","given":"Tiew-Hwa K","non-dropping-particle":"","parse-names":false,"suffix":""},{"dropping-particle":"","family":"Tromp","given":"Jasper","non-dropping-particle":"","parse-names":false,"suffix":""},{"dropping-particle":"","family":"Tay","given":"Wan Ting","non-dropping-particle":"","parse-names":false,"suffix":""},{"dropping-particle":"","family":"Anand","given":"Inder","non-dropping-particle":"","parse-names":false,"suffix":""},{"dropping-particle":"","family":"Ouwerkerk","given":"Wouter","non-dropping-particle":"","parse-names":false,"suffix":""},{"dropping-particle":"","family":"Chopra","given":"Vijay","non-dropping-particle":"","parse-names":false,"suffix":""},{"dropping-particle":"","family":"Wander","given":"Gurpreet S.","non-dropping-particle":"","parse-names":false,"suffix":""},{"dropping-particle":"","family":"Yap","given":"Jonathan JL","non-dropping-particle":"","parse-names":false,"suffix":""},{"dropping-particle":"","family":"MacDonald","given":"Michael R.","non-dropping-particle":"","parse-names":false,"suffix":""},{"dropping-particle":"","family":"Xu","given":"Chang Fen","non-dropping-particle":"","parse-names":false,"suffix":""},{"dropping-particle":"","family":"Chia","given":"Yvonne MF","non-dropping-particle":"","parse-names":false,"suffix":""},{"dropping-particle":"","family":"Shimizu","given":"Wataru","non-dropping-particle":"","parse-names":false,"suffix":""},{"dropping-particle":"","family":"ASIAN-HF investigators","given":"","non-dropping-particle":"","parse-names":false,"suffix":""},{"dropping-particle":"","family":"Richards","given":"A. Mark","non-dropping-particle":"","parse-names":false,"suffix":""},{"dropping-particle":"","family":"Voors","given":"Adriaan","non-dropping-particle":"","parse-names":false,"suffix":""},{"dropping-particle":"","family":"Lam","given":"Carolyn SP","non-dropping-particle":"","parse-names":false,"suffix":""}],"container-title":"The Lancet. Global health","id":"ITEM-1","issue":"9","issued":{"date-parts":[["2018"]]},"page":"e1008-e1018","publisher":"The Author(s). Published by Elsevier Ltd. This is an open access article under the CC BY-NC-ND 4.0 license","title":"Prescribing patterns of evidence-based heart failure pharmacotherapy and outcomes in the ASIAN-HF registry: a cohort study.","type":"article-journal","volume":"6"},"uris":["http://www.mendeley.com/documents/?uuid=62cfceaf-e285-4d45-9b45-888441d182f2"]},{"id":"ITEM-2","itemData":{"DOI":"10.1093/eurheartj/ehx026","ISBN":"2076792171","ISSN":"15229645","PMID":"27899565","abstract":"Introduction Despite clear guidelines recommendations, most patients with heart failure and reduced ejection–fraction (HFrEF) do not attain guideline-recommended target doses. We aimed to investigate characteristics and for treatment-indication-bias corrected clinical outcome of patients with HFrEF that did not reach recommended treatment doses of ACE-inhibitors/Angiotensin receptor blockers (ARBs) and/or beta-blockers. BIOSTAT-CHF was specifically designed to study uptitration of ACE-inhibitors/ARBs and/or beta-blockers in 2516 heart failure patients from 69 centres in 11 European countries who were selected if they were suboptimally treated while initiation or uptitration was anticipated and encouraged. Patients who died during the uptitration period (n = 151) and patients with a LVEF &gt; 40% (n = 242) were excluded. Median follow up was 21 months. We studied 2100 HFrEF patients (76% male; mean age 68 ±12), of which 22% achieved the recommended treatment dose for ACE-inhibitor/ ARB and 12% of beta-blocker. There were marked differences between European countries. Reaching &lt;50% of the rec-ommended ACE-inhibitor/ARB and beta-blocker dose was associated with an increased risk of death and/or heart fail-ure hospitalization. Patients reaching 50–99% of the recommended ACE-inhibitor/ARB and/or beta-blocker dose had comparable risk of death and/or heart failure hospitalization to those reaching &gt; _100%. Patients not reaching recom-mended dose because of symptoms, side effects and non-cardiac organ dysfunction had the highest mortality rate (for ACE-inhibitor/ARB: HR 1.72; 95% CI 1.43–2.01; for beta-blocker: HR 1.70; 95% CI 1.36–2.05). Patients with HFrEF who were treated with less than 50% of recommended dose of ACE-inhibitors/ARBs and beta-blockers seemed to have a greater risk of death and/or heart failure hospitalization compared with patients reaching &gt; _100%.","author":[{"dropping-particle":"","family":"Ouwerkerk","given":"W.","non-dropping-particle":"","parse-names":false,"suffix":""},{"dropping-particle":"","family":"Voors","given":"A. A.","non-dropping-particle":"","parse-names":false,"suffix":""},{"dropping-particle":"","family":"Anker","given":"S. D.","non-dropping-particle":"","parse-names":false,"suffix":""},{"dropping-particle":"","family":"Cleland","given":"J. G.","non-dropping-particle":"","parse-names":false,"suffix":""},{"dropping-particle":"","family":"Dickstein","given":"K.","non-dropping-particle":"","parse-names":false,"suffix":""},{"dropping-particle":"","family":"Filippatos","given":"G.","non-dropping-particle":"","parse-names":false,"suffix":""},{"dropping-particle":"","family":"Harst","given":"P.","non-dropping-particle":"Van Der","parse-names":false,"suffix":""},{"dropping-particle":"","family":"Hillege","given":"H. L.","non-dropping-particle":"","parse-names":false,"suffix":""},{"dropping-particle":"","family":"Lang","given":"C. C.","non-dropping-particle":"","parse-names":false,"suffix":""},{"dropping-particle":"","family":"Maaten","given":"J. M.","non-dropping-particle":"Ter","parse-names":false,"suffix":""},{"dropping-particle":"","family":"Ng","given":"L. L.","non-dropping-particle":"","parse-names":false,"suffix":""},{"dropping-particle":"","family":"Ponikowski","given":"P.","non-dropping-particle":"","parse-names":false,"suffix":""},{"dropping-particle":"","family":"Samani","given":"N. J.","non-dropping-particle":"","parse-names":false,"suffix":""},{"dropping-particle":"","family":"Veldhuisen","given":"D. J.","non-dropping-particle":"Van","parse-names":false,"suffix":""},{"dropping-particle":"","family":"Zannad","given":"F.","non-dropping-particle":"","parse-names":false,"suffix":""},{"dropping-particle":"","family":"Metra","given":"M.","non-dropping-particle":"","parse-names":false,"suffix":""},{"dropping-particle":"","family":"Zwinderman","given":"A. H.","non-dropping-particle":"","parse-names":false,"suffix":""}],"container-title":"European Heart Journal","id":"ITEM-2","issue":"24","issued":{"date-parts":[["2017"]]},"page":"1883-1890","title":"Determinants and clinical outcome of uptitration of ACE-inhibitors and beta-blockers in patients with heart failure: A prospective European study","type":"article-journal","volume":"38"},"uris":["http://www.mendeley.com/documents/?uuid=a4fb182b-b848-48db-aa90-64a5852de2da"]},{"id":"ITEM-3","itemData":{"DOI":"10.1016/j.jacc.2018.04.070","ISSN":"1558-3597","PMID":"30025570","abstract":"BACKGROUND Guidelines strongly recommend patients with heart failure with reduced ejection fraction (HFrEF) be treated with multiple medications proven to improve clinical outcomes, as tolerated. The degree to which gaps in medication use and dosing persist in contemporary outpatient practice is unclear. OBJECTIVES This study sought to characterize patterns and factors associated with use and dose of HFrEF medications in current practice. METHODS The CHAMP-HF (Change the Management of Patients with Heart Failure) registry included outpatients in the United States with chronic HFrEF receiving at least 1 oral medication for management of HF. Patients were characterized by baseline use and dose of angiotensin-converting enzyme inhibitor (ACEI)/angiotensin II receptor blocker (ARB), angiotensin receptor neprilysin inhibitor (ARNI), beta-blocker, and mineralocorticoid receptor antagonist (MRA). Patient-level factors associated with medication use were examined. RESULTS Overall, 3,518 patients from 150 primary care and cardiology practices were included. Mean age was 66 ± 13 years, 29% were female, and mean EF was 29 ± 8%. Among eligible patients, 27%, 33%, and 67% were not prescribed ACEI/ARB/ARNI, beta-blocker, and MRA therapy, respectively. When medications were prescribed, few patients were receiving target doses of ACEI/ARB (17%), ARNI (14%), and beta-blocker (28%), whereas most patients were receiving target doses of MRA therapy (77%). Among patients eligible for all classes of medication, 1% were simultaneously receiving target doses of ACE/ARB/ARNI, beta-blocker, and MRA. In adjusted models, older age, lower blood pressure, more severe functional class, renal insufficiency, and recent HF hospitalization generally favored lower medication utilization or dose. Social and economic characteristics were not independently associated with medication use or dose. CONCLUSIONS In this contemporary outpatient HFrEF registry, significant gaps in use and dose of guideline-directed medical therapy remain. Multiple clinical factors were associated with medication use and dose prescribed. Strategies to improve guideline-directed use of HFrEF medications remain urgently needed, and these findings may inform targeted approaches to optimize outpatient medical therapy.","author":[{"dropping-particle":"","family":"Greene","given":"Stephen J.","non-dropping-particle":"","parse-names":false,"suffix":""},{"dropping-particle":"","family":"Butler","given":"Javed","non-dropping-particle":"","parse-names":false,"suffix":""},{"dropping-particle":"","family":"Albert","given":"Nancy M.","non-dropping-particle":"","parse-names":false,"suffix":""},{"dropping-particle":"","family":"DeVore","given":"Adam D.","non-dropping-particle":"","parse-names":false,"suffix":""},{"dropping-particle":"","family":"Sharma","given":"Puza P.","non-dropping-particle":"","parse-names":false,"suffix":""},{"dropping-particle":"","family":"Duffy","given":"Carol I.","non-dropping-particle":"","parse-names":false,"suffix":""},{"dropping-particle":"","family":"Hill","given":"C. Larry","non-dropping-particle":"","parse-names":false,"suffix":""},{"dropping-particle":"","family":"McCague","given":"Kevin","non-dropping-particle":"","parse-names":false,"suffix":""},{"dropping-particle":"","family":"Mi","given":"Xiaojuan","non-dropping-particle":"","parse-names":false,"suffix":""},{"dropping-particle":"","family":"Patterson","given":"J. Herbert","non-dropping-particle":"","parse-names":false,"suffix":""},{"dropping-particle":"","family":"Spertus","given":"John A.","non-dropping-particle":"","parse-names":false,"suffix":""},{"dropping-particle":"","family":"Thomas","given":"Laine","non-dropping-particle":"","parse-names":false,"suffix":""},{"dropping-particle":"","family":"Williams","given":"Fredonia B.","non-dropping-particle":"","parse-names":false,"suffix":""},{"dropping-particle":"","family":"Hernandez","given":"Adrian F.","non-dropping-particle":"","parse-names":false,"suffix":""},{"dropping-particle":"","family":"Fonarow","given":"Gregg C.","non-dropping-particle":"","parse-names":false,"suffix":""}],"container-title":"Journal of the American College of Cardiology","id":"ITEM-3","issue":"4","issued":{"date-parts":[["2018"]]},"page":"351-366","title":"Medical Therapy for Heart Failure With Reduced Ejection Fraction: The CHAMP-HF Registry.","type":"article-journal","volume":"72"},"uris":["http://www.mendeley.com/documents/?uuid=e78bc10a-2a98-4119-a068-18c5cfa602a4"]},{"id":"ITEM-4","itemData":{"DOI":"10.1016/j.jchf.2018.11.011","ISSN":"2213-1787","PMID":"30738978","abstract":"OBJECTIVES This study sought to determine the rate of use of target doses of foundational guideline-directed medical therapy (GDMT) in a contemporary cohort of patients with heart failure with reduced ejection fraction (HFrEF) across systolic blood pressure (SBP) categories. BACKGROUND Patients with HFrEF are infrequently titrated to recommended doses of GDMT. The relationship between SBP and achieving GDMT target doses is not well studied. METHODS Patients enrolled in the CHAMP-HF (Change the Management of Patients With Heart Failure) registry without documented intolerance to angiotensin-converting enzyme inhibitors (ACEIs), angiotensin receptor blockers (ARBs), angiotensin receptor-neprilysin inhibitors (ARNIs), and beta blockers (BBs) were assessed at enrollment. We estimated the proportion receiving target doses (% of target dose [95% confidence interval (CI)]) based on the most recent American College of Cardiology/American Heart Association/Heart Failure Society of America heart failure guidelines at baseline in all patients, and by SBP category (≥110 vs. &lt;110 mm Hg). RESULTS Of the 3,095 patients eligible for analysis, 2,421 (78.2%) had SBP ≥110 mm Hg. The proportion of patients receiving target doses were 18.7% (95% CI: 17.3% to 20.0%; BB), 10.8% (95% CI: 9.7% to 11.9%; ACEI/ARB), and 2.0% (95% CI: 1.5% to 2.5%; ARNI). Among those with SBP &lt;110 mm Hg (n = 674), 17.5% (95% CI: 14.6% to 20.4%; BB), 6.2% (95% CI: 4.4% to 8.1%; ACEI/ARB), and 1.8% (95% CI: 0.8% to 2.8%; ARNI) were receiving target doses. Among those with SBP ≥110 mm Hg (n = 2,421), 19.0% (95% CI: 17.4% to 20.6%; BB), 12.1% (95% CI: 10.8% to 13.4%; ACEI/ARB), and 2.0% (95% CI: 1.5% to 2.6%; ARNI) were receiving target doses. CONCLUSIONS In a large, contemporary registry of outpatients with chronic HFrEF eligible for treatment with BBs and ACEI/ARB/ARNI, &lt;20% of patients were receiving target doses, even among those with SBP ≥110 mm Hg.","author":[{"dropping-particle":"","family":"Peri-Okonny","given":"Poghni A.","non-dropping-particle":"","parse-names":false,"suffix":""},{"dropping-particle":"","family":"Mi","given":"Xiaojuan","non-dropping-particle":"","parse-names":false,"suffix":""},{"dropping-particle":"","family":"Khariton","given":"Yevgeniy","non-dropping-particle":"","parse-names":false,"suffix":""},{"dropping-particle":"","family":"Patel","given":"Krishna K.","non-dropping-particle":"","parse-names":false,"suffix":""},{"dropping-particle":"","family":"Thomas","given":"Laine","non-dropping-particle":"","parse-names":false,"suffix":""},{"dropping-particle":"","family":"Fonarow","given":"Gregg C.","non-dropping-particle":"","parse-names":false,"suffix":""},{"dropping-particle":"","family":"Sharma","given":"Puza P.","non-dropping-particle":"","parse-names":false,"suffix":""},{"dropping-particle":"","family":"Duffy","given":"Carol I.","non-dropping-particle":"","parse-names":false,"suffix":""},{"dropping-particle":"","family":"Albert","given":"Nancy M.","non-dropping-particle":"","parse-names":false,"suffix":""},{"dropping-particle":"","family":"Butler","given":"Javed","non-dropping-particle":"","parse-names":false,"suffix":""},{"dropping-particle":"","family":"Hernandez","given":"Adrian F.","non-dropping-particle":"","parse-names":false,"suffix":""},{"dropping-particle":"","family":"McCague","given":"Kevin","non-dropping-particle":"","parse-names":false,"suffix":""},{"dropping-particle":"","family":"Williams","given":"Fredonia B.","non-dropping-particle":"","parse-names":false,"suffix":""},{"dropping-particle":"","family":"DeVore","given":"Adam D.","non-dropping-particle":"","parse-names":false,"suffix":""},{"dropping-particle":"","family":"Patterson","given":"J. Herbert","non-dropping-particle":"","parse-names":false,"suffix":""},{"dropping-particle":"","family":"Spertus","given":"John A.","non-dropping-particle":"","parse-names":false,"suffix":""}],"container-title":"JACC. Heart failure","id":"ITEM-4","issue":"4","issued":{"date-parts":[["2019","4"]]},"page":"350-358","title":"Target Doses of Heart Failure Medical Therapy and Blood Pressure: Insights From the CHAMP-HF Registry.","type":"article-journal","volume":"7"},"uris":["http://www.mendeley.com/documents/?uuid=e3c83f18-8013-462f-91c3-36f6d5b57ea1"]},{"id":"ITEM-5","itemData":{"DOI":"10.1161/CIRCHEARTFAILURE.109.912683","ISSN":"1941-3297","PMID":"20634483","abstract":"BACKGROUND Few data exist to characterize the delivery of evidence-based medical therapy for outpatients with heart failure who have received implantable cardioverter-defibrillators or cardiac resynchronization therapy (CRT) for systolic dysfunction. METHODS AND RESULTS IMPROVE HF is a prospective study characterizing the management of 15 381 outpatients with systolic heart failure (left ventricular ejection fraction ≤35%) enrolled from 167 US cardiology practices. Data were abstracted for dose, type, and daily frequency for angiotensin-converting enzyme inhibitors, angiotensin receptor blockers, β-blockers, and aldosterone antagonists. Target doses for each medication class were based on current guidelines. Patients with devices (implantable cardioverter-defibrillators, CRT with defibrillators, or CRT with pacemakers) more frequently received evidence-based medical therapy than did those without such devices, although treatment at or above target doses was low for angiotensin-converting enzyme inhibitors/angiotensin receptor blockers (implantable cardioverter-defibrillators 32.6%, CRT with pacemaker 30.7%, CRT with defibrillator 32.0%, no device 34.6%) and β-blockers (20.2%, 17.4%, 20.4%, and 15.3%, respectively). Fewer patients received aldosterone antagonists, although when used, doses were more frequently within the target dosing range (70.1%, 72.1%, 72.7%, and 76.5%, respectively). Multivariable models showed that use of CRT with defibrillators and CRT with pacemakers was significantly associated with delivery of β-blockers at or above target doses, but no device therapies were associated with angiotensin-converting enzyme inhibitor/angiotensin receptor blocker or aldosterone antagonist dosing. CONCLUSIONS Patients treated with heart failure devices received evidence-based medical therapy at similar or greater frequency than did those without such devices. Patients with CRT with defibrillator or CRT with pacemaker devices were more likely to be treated with target doses of β-blockers than were patients not treated with device therapy. Doses of evidenced-based therapies remain significantly lower in clinical practice than in clinical trials. CLINICAL TRIAL REGISTRATION URL: http://www.clinicaltrials.gov. Unique identifier: NCT00303979.","author":[{"dropping-particle":"","family":"Heywood","given":"J. Thomas","non-dropping-particle":"","parse-names":false,"suffix":""},{"dropping-particle":"","family":"Fonarow","given":"Gregg C.","non-dropping-particle":"","parse-names":false,"suffix":""},{"dropping-particle":"","family":"Yancy","given":"Clyde W.","non-dropping-particle":"","parse-names":false,"suffix":""},{"dropping-particle":"","family":"Albert","given":"Nancy M.","non-dropping-particle":"","parse-names":false,"suffix":""},{"dropping-particle":"","family":"Curtis","given":"Anne B.","non-dropping-particle":"","parse-names":false,"suffix":""},{"dropping-particle":"","family":"Gheorghiade","given":"Mihai","non-dropping-particle":"","parse-names":false,"suffix":""},{"dropping-particle":"","family":"Inge","given":"Patches Johnson","non-dropping-particle":"","parse-names":false,"suffix":""},{"dropping-particle":"","family":"McBride","given":"Mark L.","non-dropping-particle":"","parse-names":false,"suffix":""},{"dropping-particle":"","family":"Mehra","given":"Mandeep R.","non-dropping-particle":"","parse-names":false,"suffix":""},{"dropping-particle":"","family":"O'Connor","given":"Christopher M.","non-dropping-particle":"","parse-names":false,"suffix":""},{"dropping-particle":"","family":"Reynolds","given":"Dwight","non-dropping-particle":"","parse-names":false,"suffix":""},{"dropping-particle":"","family":"Walsh","given":"Mary Norine","non-dropping-particle":"","parse-names":false,"suffix":""}],"container-title":"Circulation. Heart failure","id":"ITEM-5","issue":"5","issued":{"date-parts":[["2010","9"]]},"page":"596-605","title":"Comparison of medical therapy dosing in outpatients cared for in cardiology practices with heart failure and reduced ejection fraction with and without device therapy: report from IMPROVE HF.","type":"article-journal","volume":"3"},"uris":["http://www.mendeley.com/documents/?uuid=2df944a3-bd3c-458e-a21f-4681833bfe55"]}],"mendeley":{"formattedCitation":"&lt;sup&gt;20,21,38–40&lt;/sup&gt;","plainTextFormattedCitation":"20,21,38–40","previouslyFormattedCitation":"&lt;sup&gt;20,21,38–40&lt;/sup&gt;"},"properties":{"noteIndex":0},"schema":"https://github.com/citation-style-language/schema/raw/master/csl-citation.json"}</w:instrText>
      </w:r>
      <w:r w:rsidR="00594925" w:rsidRPr="0003073C">
        <w:rPr>
          <w:lang w:val="en-GB"/>
        </w:rPr>
        <w:fldChar w:fldCharType="separate"/>
      </w:r>
      <w:r w:rsidR="000B1498" w:rsidRPr="0003073C">
        <w:rPr>
          <w:noProof/>
          <w:vertAlign w:val="superscript"/>
          <w:lang w:val="en-GB"/>
        </w:rPr>
        <w:t>20,21,38–40</w:t>
      </w:r>
      <w:r w:rsidR="00594925" w:rsidRPr="0003073C">
        <w:rPr>
          <w:lang w:val="en-GB"/>
        </w:rPr>
        <w:fldChar w:fldCharType="end"/>
      </w:r>
      <w:r w:rsidR="00594925" w:rsidRPr="0003073C">
        <w:rPr>
          <w:lang w:val="en-GB"/>
        </w:rPr>
        <w:t>.</w:t>
      </w:r>
      <w:r w:rsidR="00EA674D" w:rsidRPr="0003073C">
        <w:rPr>
          <w:lang w:val="en-GB"/>
        </w:rPr>
        <w:t xml:space="preserve"> Despite</w:t>
      </w:r>
      <w:r w:rsidR="005D3967" w:rsidRPr="0003073C">
        <w:rPr>
          <w:lang w:val="en-GB"/>
        </w:rPr>
        <w:t xml:space="preserve"> robust evidence showing </w:t>
      </w:r>
      <w:r w:rsidRPr="0003073C">
        <w:rPr>
          <w:lang w:val="en-GB"/>
        </w:rPr>
        <w:t xml:space="preserve">the </w:t>
      </w:r>
      <w:r w:rsidR="004430F0" w:rsidRPr="0003073C">
        <w:rPr>
          <w:lang w:val="en-GB"/>
        </w:rPr>
        <w:t xml:space="preserve">benefits of attainment of </w:t>
      </w:r>
      <w:r w:rsidR="002C7C6C" w:rsidRPr="0003073C">
        <w:rPr>
          <w:lang w:val="en-GB"/>
        </w:rPr>
        <w:t>GRTD</w:t>
      </w:r>
      <w:r w:rsidR="004430F0" w:rsidRPr="0003073C">
        <w:rPr>
          <w:lang w:val="en-GB"/>
        </w:rPr>
        <w:t xml:space="preserve"> </w:t>
      </w:r>
      <w:r w:rsidR="00250EE0" w:rsidRPr="0003073C">
        <w:rPr>
          <w:lang w:val="en-GB"/>
        </w:rPr>
        <w:t>of</w:t>
      </w:r>
      <w:r w:rsidR="00446CA5" w:rsidRPr="0003073C">
        <w:rPr>
          <w:lang w:val="en-GB"/>
        </w:rPr>
        <w:t xml:space="preserve"> </w:t>
      </w:r>
      <w:proofErr w:type="spellStart"/>
      <w:r w:rsidR="005D3967" w:rsidRPr="0003073C">
        <w:rPr>
          <w:lang w:val="en-GB"/>
        </w:rPr>
        <w:t>ACE</w:t>
      </w:r>
      <w:r w:rsidR="00081D44" w:rsidRPr="0003073C">
        <w:rPr>
          <w:lang w:val="en-GB"/>
        </w:rPr>
        <w:t>i</w:t>
      </w:r>
      <w:proofErr w:type="spellEnd"/>
      <w:r w:rsidR="005D3967" w:rsidRPr="0003073C">
        <w:rPr>
          <w:lang w:val="en-GB"/>
        </w:rPr>
        <w:t>/ARB</w:t>
      </w:r>
      <w:r w:rsidR="000342EC" w:rsidRPr="0003073C">
        <w:rPr>
          <w:lang w:val="en-GB"/>
        </w:rPr>
        <w:fldChar w:fldCharType="begin" w:fldLock="1"/>
      </w:r>
      <w:r w:rsidR="00891E5E" w:rsidRPr="0003073C">
        <w:rPr>
          <w:lang w:val="en-GB"/>
        </w:rPr>
        <w:instrText>ADDIN CSL_CITATION {"citationItems":[{"id":"ITEM-1","itemData":{"DOI":"10.1161/01.CIR.100.23.2312","ISSN":"0009-7322","PMID":"10587334","abstract":"BACKGROUND Angiotensin-converting enzyme (ACE) inhibitors are generally prescribed by physicians in doses lower than the large doses that have been shown to reduce morbidity and mortality in patients with heart failure. It is unclear, however, if low doses and high doses of ACE inhibitors have similar benefits. METHODS AND RESULTS We randomly assigned 3164 patients with New York Heart Association class II to IV heart failure and an ejection fraction &lt; or = 30% to double-blind treatment with either low doses (2.5 to 5.0 mg daily, n=1596) or high doses (32.5 to 35 mg daily, n=1568) of the ACE inhibitor, lisinopril, for 39 to 58 months, while background therapy for heart failure was continued. When compared with the low-dose group, patients in the high-dose group had a nonsignificant 8% lower risk of death (P=0.128) but a significant 12% lower risk of death or hospitalization for any reason (P=0.002) and 24% fewer hospitalizations for heart failure (P=0.002). Dizziness and renal insufficiency was observed more frequently in the high-dose group, but the 2 groups were similar in the number of patients requiring discontinuation of the study medication. Conclusions-These findings indicate that patients with heart failure should not generally be maintained on very low doses of an ACE inhibitor (unless these are the only doses that can be tolerated) and suggest that the difference in efficacy between intermediate and high doses of an ACE inhibitor (if any) is likely to be very small.","author":[{"dropping-particle":"","family":"Packer","given":"M.","non-dropping-particle":"","parse-names":false,"suffix":""},{"dropping-particle":"","family":"Poole-Wilson","given":"P. a.","non-dropping-particle":"","parse-names":false,"suffix":""},{"dropping-particle":"","family":"Armstrong","given":"P. W.","non-dropping-particle":"","parse-names":false,"suffix":""},{"dropping-particle":"","family":"Cleland","given":"J G","non-dropping-particle":"","parse-names":false,"suffix":""},{"dropping-particle":"","family":"Horowitz","given":"J. D.","non-dropping-particle":"","parse-names":false,"suffix":""},{"dropping-particle":"","family":"Massie","given":"B. M.","non-dropping-particle":"","parse-names":false,"suffix":""},{"dropping-particle":"","family":"Rydén","given":"L","non-dropping-particle":"","parse-names":false,"suffix":""},{"dropping-particle":"","family":"Thygesen","given":"K.","non-dropping-particle":"","parse-names":false,"suffix":""},{"dropping-particle":"","family":"Uretsky","given":"B. F.","non-dropping-particle":"","parse-names":false,"suffix":""}],"container-title":"Circulation","id":"ITEM-1","issue":"23","issued":{"date-parts":[["1999","12","7"]]},"page":"2312-8","title":"Comparative effects of low and high doses of the angiotensin-converting enzyme inhibitor, lisinopril, on morbidity and mortality in chronic heart failure. ATLAS Study Group.","type":"article-journal","volume":"100"},"uris":["http://www.mendeley.com/documents/?uuid=d95b9e5f-9d64-440b-8d10-65839480d1aa"]},{"id":"ITEM-2","itemData":{"DOI":"10.1016/S0140-6736(09)61913-9","ISSN":"1474-547X","PMID":"19922995","abstract":"BACKGROUND Angiotensin-receptor blockers (ARBs) are effective treatments for patients with heart failure, but the relation between dose and clinical outcomes has not been explored. We compared the effects of high-dose versus low-dose losartan on clinical outcomes in patients with heart failure. METHODS This double-blind trial was undertaken in 255 sites in 30 countries. 3846 patients with heart failure of New York Heart Association class II-IV, left-ventricular ejection fraction 40% or less, and intolerance to angiotensin-converting-enzyme (ACE) inhibitors were randomly assigned to losartan 150 mg (n=1927) or 50 mg daily (n=1919). Allocation was by block randomisation stratified by centre and presence or absence of beta-blocker therapy, and all patients and investigators were masked to assignment. The primary endpoint was death or admission for heart failure. Analysis was by intention to treat. This study is registered with ClinicalTrials.gov, number NCT00090259. FINDINGS Six patients in each group were excluded because of poor data quality. With 4.7-year median follow-up in each group (IQR 3.7-5.5 for losartan 150 mg; 3.4-5.5 for losartan 50 mg), 828 (43%) patients in the 150 mg group versus 889 (46%) in the 50 mg group died or were admitted for heart failure (hazard ratio [HR] 0.90, 95% CI 0.82-0.99; p=0.027). For the two primary endpoint components, 635 patients in the 150 mg group versus 665 in the 50 mg group died (HR 0.94, 95% CI 0.84-1.04; p=0.24), and 450 versus 503 patients were admitted for heart failure (0.87, 0.76-0.98; p=0.025). Renal impairment (n=454 vs 317), hypotension (203 vs 145), and hyperkalaemia (195 vs 131) were more common in the 150 mg group than in the 50 mg group, but these adverse events did not lead to significantly more treatment discontinuations in the 150 mg group. INTERPRETATION Losartan 150 mg daily reduced the rate of death or admission for heart failure in patients with heart failure, reduced left-ventricular ejection fraction, and intolerance to ACE inhibitors compared with losartan 50 mg daily. These findings show the value of up-titrating ARB doses to confer clinical benefit. FUNDING Merck (USA).","author":[{"dropping-particle":"","family":"Konstam","given":"Marvin A","non-dropping-particle":"","parse-names":false,"suffix":""},{"dropping-particle":"","family":"Neaton","given":"James D","non-dropping-particle":"","parse-names":false,"suffix":""},{"dropping-particle":"","family":"Dickstein","given":"Kenneth","non-dropping-particle":"","parse-names":false,"suffix":""},{"dropping-particle":"","family":"Drexler","given":"Helmut","non-dropping-particle":"","parse-names":false,"suffix":""},{"dropping-particle":"","family":"Komajda","given":"Michel","non-dropping-particle":"","parse-names":false,"suffix":""},{"dropping-particle":"","family":"Martinez","given":"Felipe A","non-dropping-particle":"","parse-names":false,"suffix":""},{"dropping-particle":"","family":"Riegger","given":"Gunter A J","non-dropping-particle":"","parse-names":false,"suffix":""},{"dropping-particle":"","family":"Malbecq","given":"William","non-dropping-particle":"","parse-names":false,"suffix":""},{"dropping-particle":"","family":"Smith","given":"Ronald D","non-dropping-particle":"","parse-names":false,"suffix":""},{"dropping-particle":"","family":"Guptha","given":"Soneil","non-dropping-particle":"","parse-names":false,"suffix":""},{"dropping-particle":"","family":"Poole-Wilson","given":"Philip A","non-dropping-particle":"","parse-names":false,"suffix":""},{"dropping-particle":"","family":"HEAAL Investigators","given":"","non-dropping-particle":"","parse-names":false,"suffix":""}],"container-title":"Lancet (London, England)","id":"ITEM-2","issue":"9704","issued":{"date-parts":[["2009","11","28"]]},"page":"1840-8","publisher":"Elsevier Ltd","title":"Effects of high-dose versus low-dose losartan on clinical outcomes in patients with heart failure (HEAAL study): a randomised, double-blind trial.","type":"article-journal","volume":"374"},"uris":["http://www.mendeley.com/documents/?uuid=1d39fc98-a21e-4959-8522-d87ba615befc"]}],"mendeley":{"formattedCitation":"&lt;sup&gt;14,16&lt;/sup&gt;","plainTextFormattedCitation":"14,16","previouslyFormattedCitation":"&lt;sup&gt;14,16&lt;/sup&gt;"},"properties":{"noteIndex":0},"schema":"https://github.com/citation-style-language/schema/raw/master/csl-citation.json"}</w:instrText>
      </w:r>
      <w:r w:rsidR="000342EC" w:rsidRPr="0003073C">
        <w:rPr>
          <w:lang w:val="en-GB"/>
        </w:rPr>
        <w:fldChar w:fldCharType="separate"/>
      </w:r>
      <w:r w:rsidR="00891E5E" w:rsidRPr="0003073C">
        <w:rPr>
          <w:noProof/>
          <w:vertAlign w:val="superscript"/>
          <w:lang w:val="en-GB"/>
        </w:rPr>
        <w:t>14,16</w:t>
      </w:r>
      <w:r w:rsidR="000342EC" w:rsidRPr="0003073C">
        <w:rPr>
          <w:lang w:val="en-GB"/>
        </w:rPr>
        <w:fldChar w:fldCharType="end"/>
      </w:r>
      <w:r w:rsidR="000342EC" w:rsidRPr="0003073C">
        <w:rPr>
          <w:lang w:val="en-GB"/>
        </w:rPr>
        <w:t xml:space="preserve"> </w:t>
      </w:r>
      <w:r w:rsidR="005D3967" w:rsidRPr="0003073C">
        <w:rPr>
          <w:lang w:val="en-GB"/>
        </w:rPr>
        <w:t>and β-blockers</w:t>
      </w:r>
      <w:r w:rsidR="007215EB" w:rsidRPr="0003073C">
        <w:rPr>
          <w:lang w:val="en-GB"/>
        </w:rPr>
        <w:t xml:space="preserve"> </w:t>
      </w:r>
      <w:r w:rsidR="000342EC" w:rsidRPr="0003073C">
        <w:rPr>
          <w:lang w:val="en-GB"/>
        </w:rPr>
        <w:fldChar w:fldCharType="begin" w:fldLock="1"/>
      </w:r>
      <w:r w:rsidR="0019034B" w:rsidRPr="0003073C">
        <w:rPr>
          <w:lang w:val="en-GB"/>
        </w:rPr>
        <w:instrText>ADDIN CSL_CITATION {"citationItems":[{"id":"ITEM-1","itemData":{"ISSN":"0009-7322","PMID":"8941106","abstract":"BACKGROUND We conducted a multicenter, placebo-controlled trial designed to establish the efficacy and safety of carvedilol, a \"third-generation\" beta -blocking agent with vasodilator properties, in chronic heart failure. METHODS AND RESULTS Three hundred forty-five subjects with mild to moderate, stable chronic heart failure were randomized to receive treatment with placebo, 6.25 mg BID carvedilol (low-dose group), 12.5 mg BID carvedilol (medium-dose group), or 25 mg BID carvedilol (high-dose group). After a 2- to 4-week up-titration period, subjects remained on study medication for a period of 6 months. The primary efficacy parameter was submaximal exercise measured by two different techniques, the 6-minute corridor walk test and the 9-minute self-powered treadmill test. Carvedilol had no detectable effect on submaximal exercise as measured by either technique. However, carvedilol was associated with dose-related improvements in LV function (by 5, 6, and 8 ejection fraction [EF] units in the low-, medium-, and high-dose carvedilol groups, respectively, compared with 2 EF units with placebo, P &lt; .001 for linear dose response) and survival (respective crude mortality rates of 6.0%, 6.7%, and 1.1% with increasing doses of carvedilol compared with 15.5% in the placebo group, P &lt; .001). When the three carvedilol groups were combined, the all-cause actuarial mortality risk was lowered by 73% in carvedilol-treated subjects (P &lt; .001). Carvedilol also lowered the hospitalization rate (by 58% to 64%, P = .01) and was generally well tolerated. CONCLUSIONS In subjects with mild to moderate heart failure from systolic dysfunction, carvedilol produced dose-related improvements in LV function and dose-related reductions in mortality and hospitalization rate.","author":[{"dropping-particle":"","family":"Bristow","given":"M R","non-dropping-particle":"","parse-names":false,"suffix":""},{"dropping-particle":"","family":"Gilbert","given":"E M","non-dropping-particle":"","parse-names":false,"suffix":""},{"dropping-particle":"","family":"Abraham","given":"W T","non-dropping-particle":"","parse-names":false,"suffix":""},{"dropping-particle":"","family":"Adams","given":"K F","non-dropping-particle":"","parse-names":false,"suffix":""},{"dropping-particle":"","family":"Fowler","given":"M B","non-dropping-particle":"","parse-names":false,"suffix":""},{"dropping-particle":"","family":"Hershberger","given":"R E","non-dropping-particle":"","parse-names":false,"suffix":""},{"dropping-particle":"","family":"Kubo","given":"S H","non-dropping-particle":"","parse-names":false,"suffix":""},{"dropping-particle":"","family":"Narahara","given":"K A","non-dropping-particle":"","parse-names":false,"suffix":""},{"dropping-particle":"","family":"Ingersoll","given":"H","non-dropping-particle":"","parse-names":false,"suffix":""},{"dropping-particle":"","family":"Krueger","given":"S","non-dropping-particle":"","parse-names":false,"suffix":""},{"dropping-particle":"","family":"Young","given":"S","non-dropping-particle":"","parse-names":false,"suffix":""},{"dropping-particle":"","family":"Shusterman","given":"N","non-dropping-particle":"","parse-names":false,"suffix":""}],"container-title":"Circulation","id":"ITEM-1","issue":"11","issued":{"date-parts":[["1996","12","1"]]},"page":"2807-16","title":"Carvedilol produces dose-related improvements in left ventricular function and survival in subjects with chronic heart failure. MOCHA Investigators.","type":"article-journal","volume":"94"},"uris":["http://www.mendeley.com/documents/?uuid=5362128c-9c9e-4dd7-bdbf-844ca0086860"]},{"id":"ITEM-2","itemData":{"DOI":"10.1016/j.jacc.2012.03.023","ISBN":"6176321972","ISSN":"1558-3597","PMID":"22560018","abstract":"OBJECTIVES This study sought to examine the association between baseline beta-blocker (BB) dose and outcomes in the HF-ACTION (Heart Failure: A Controlled Trial Investigating Outcomes of Exercise Training) trial. BACKGROUND Beta-blockers reduce morbidity and mortality in chronic heart failure (HF) patients with reduced ejection fraction, but it is unclear whether titrating to higher BB doses improves outcomes in this setting. METHODS The HF-ACTION trial was a randomized, multicenter trial enrolling 2,331 ambulatory HF patients with systolic dysfunction (New York Heart Association functional class II to IV, left ventricular ejection fraction &lt;0.35) randomized to exercise training versus usual care, with median follow-up of 2.5 years. The BB dose at baseline was standardized with carvedilol equivalents and analyzed as a continuous variable and by discrete dose groups. The relationship between BB dose and the primary endpoint of all-cause mortality or all-cause hospitalization and other cardiovascular secondary endpoints was determined before and after adjustment for variables significantly associated with outcomes in the HF-ACTION cohort. RESULTS Ninety-five percent of patients were receiving a BB. There was a significant inverse relationship between BB dose and all-cause death or hospitalization but not other cardiovascular endpoints after adjustment for other predictors of outcome, with a linear benefit up to the 50-mg daily dose. There was a significant association between BB dose and change in peak VO(2) at 3 months. There was no increase in bradycardia with higher doses of BB. CONCLUSIONS There was a significant inverse relationship between BB dose and the endpoint of all-cause death or all-cause hospitalization in this well-treated HF cohort with systolic dysfunction, supporting recommendations that titrating doses up to 50 mg/day might confer a benefit in such patients. (Exercise Training Program to Improve Clinical Outcomes in Individuals With Congestive Heart Failure; NCT00047437).","author":[{"dropping-particle":"","family":"Fiuzat","given":"Mona","non-dropping-particle":"","parse-names":false,"suffix":""},{"dropping-particle":"","family":"Wojdyla","given":"Daniel","non-dropping-particle":"","parse-names":false,"suffix":""},{"dropping-particle":"","family":"Kitzman","given":"Dalane","non-dropping-particle":"","parse-names":false,"suffix":""},{"dropping-particle":"","family":"Fleg","given":"Jerome","non-dropping-particle":"","parse-names":false,"suffix":""},{"dropping-particle":"","family":"Keteyian","given":"Steven J","non-dropping-particle":"","parse-names":false,"suffix":""},{"dropping-particle":"","family":"Kraus","given":"William E","non-dropping-particle":"","parse-names":false,"suffix":""},{"dropping-particle":"","family":"Piña","given":"Ileana L","non-dropping-particle":"","parse-names":false,"suffix":""},{"dropping-particle":"","family":"Whellan","given":"David","non-dropping-particle":"","parse-names":false,"suffix":""},{"dropping-particle":"","family":"O'Connor","given":"Christopher M","non-dropping-particle":"","parse-names":false,"suffix":""}],"container-title":"Journal of the American College of Cardiology","id":"ITEM-2","issue":"3","issued":{"date-parts":[["2012","7","17"]]},"page":"208-15","title":"Relationship of beta-blocker dose with outcomes in ambulatory heart failure patients with systolic dysfunction: results from the HF-ACTION (Heart Failure: A Controlled Trial Investigating Outcomes of Exercise Training) trial.","type":"article-journal","volume":"60"},"uris":["http://www.mendeley.com/documents/?uuid=4bda11ed-9baf-4747-b6d0-2750b471bace"]},{"id":"ITEM-3","itemData":{"DOI":"10.1016/j.jacc.2017.03.563","ISSN":"1558-3597","PMID":"28521892","abstract":"Heart failure (HF) is associated with significant morbidity and mortality. Although initially thought to be harmful in HF, beta-adrenergic blockers (β-blockers) have consistently been shown to reduce mortality and HF hospitalization in chronic HF with reduced ejection fraction. Proposed mechanisms include neurohormonal blockade and heart rate reduction. A new therapeutic agent now exists to target further heart rate lowering in patients who have been stable on a \"maximally tolerated β-blocker dose,\" but this definition and how to achieve it are incompletely understood. In this review, the authors summarize published reports on the mechanisms by which β-blockers improve clinical outcomes. The authors describe differences in doses achieved in landmark clinical trials and those observed in routine clinical practice. They further discuss reasons for intolerance and the evidence behind using β-blocker dose and heart rate as therapeutic targets. Finally, the authors offer recommendations for clinicians actively initiating and up-titrating β-blockers that may aid in achieving maximally tolerated doses.","author":[{"dropping-particle":"","family":"Bhatt","given":"Ankeet S.","non-dropping-particle":"","parse-names":false,"suffix":""},{"dropping-particle":"","family":"DeVore","given":"Adam D.","non-dropping-particle":"","parse-names":false,"suffix":""},{"dropping-particle":"","family":"DeWald","given":"Tracy A.","non-dropping-particle":"","parse-names":false,"suffix":""},{"dropping-particle":"","family":"Swedberg","given":"Karl","non-dropping-particle":"","parse-names":false,"suffix":""},{"dropping-particle":"","family":"Mentz","given":"Robert J.","non-dropping-particle":"","parse-names":false,"suffix":""}],"container-title":"Journal of the American College of Cardiology","id":"ITEM-3","issue":"20","issued":{"date-parts":[["2017","5","23"]]},"page":"2542-2550","title":"Achieving a Maximally Tolerated β-Blocker Dose in Heart Failure Patients: Is There Room for Improvement?","type":"article-journal","volume":"69"},"uris":["http://www.mendeley.com/documents/?uuid=af7f5b61-8a8b-4f87-a80f-3042e322e8bb"]}],"mendeley":{"formattedCitation":"&lt;sup&gt;15,41,42&lt;/sup&gt;","plainTextFormattedCitation":"15,41,42","previouslyFormattedCitation":"&lt;sup&gt;15,41,42&lt;/sup&gt;"},"properties":{"noteIndex":0},"schema":"https://github.com/citation-style-language/schema/raw/master/csl-citation.json"}</w:instrText>
      </w:r>
      <w:r w:rsidR="000342EC" w:rsidRPr="0003073C">
        <w:rPr>
          <w:lang w:val="en-GB"/>
        </w:rPr>
        <w:fldChar w:fldCharType="separate"/>
      </w:r>
      <w:r w:rsidR="000B1498" w:rsidRPr="0003073C">
        <w:rPr>
          <w:noProof/>
          <w:vertAlign w:val="superscript"/>
          <w:lang w:val="en-GB"/>
        </w:rPr>
        <w:t>15,41,42</w:t>
      </w:r>
      <w:r w:rsidR="000342EC" w:rsidRPr="0003073C">
        <w:rPr>
          <w:lang w:val="en-GB"/>
        </w:rPr>
        <w:fldChar w:fldCharType="end"/>
      </w:r>
      <w:r w:rsidR="004430F0" w:rsidRPr="0003073C">
        <w:rPr>
          <w:lang w:val="en-GB"/>
        </w:rPr>
        <w:t xml:space="preserve"> </w:t>
      </w:r>
      <w:r w:rsidR="007215EB" w:rsidRPr="0003073C">
        <w:rPr>
          <w:lang w:val="en-GB"/>
        </w:rPr>
        <w:t xml:space="preserve">, </w:t>
      </w:r>
      <w:r w:rsidRPr="0003073C">
        <w:rPr>
          <w:lang w:val="en-GB"/>
        </w:rPr>
        <w:t>many</w:t>
      </w:r>
      <w:r w:rsidR="00AD08DD" w:rsidRPr="0003073C">
        <w:rPr>
          <w:lang w:val="en-GB"/>
        </w:rPr>
        <w:t xml:space="preserve"> studies </w:t>
      </w:r>
      <w:r w:rsidRPr="0003073C">
        <w:rPr>
          <w:lang w:val="en-GB"/>
        </w:rPr>
        <w:t xml:space="preserve">report </w:t>
      </w:r>
      <w:r w:rsidR="00AD08DD" w:rsidRPr="0003073C">
        <w:rPr>
          <w:lang w:val="en-GB"/>
        </w:rPr>
        <w:t xml:space="preserve">failure to achieve </w:t>
      </w:r>
      <w:r w:rsidR="00446CA5" w:rsidRPr="0003073C">
        <w:rPr>
          <w:lang w:val="en-GB"/>
        </w:rPr>
        <w:t>guideline-</w:t>
      </w:r>
      <w:r w:rsidR="00AD08DD" w:rsidRPr="0003073C">
        <w:rPr>
          <w:lang w:val="en-GB"/>
        </w:rPr>
        <w:t>target</w:t>
      </w:r>
      <w:r w:rsidR="00446CA5" w:rsidRPr="0003073C">
        <w:rPr>
          <w:lang w:val="en-GB"/>
        </w:rPr>
        <w:t xml:space="preserve"> </w:t>
      </w:r>
      <w:r w:rsidR="00446CA5" w:rsidRPr="0003073C">
        <w:rPr>
          <w:lang w:val="en-GB"/>
        </w:rPr>
        <w:lastRenderedPageBreak/>
        <w:t xml:space="preserve">doses </w:t>
      </w:r>
      <w:r w:rsidR="00AD08DD" w:rsidRPr="0003073C">
        <w:rPr>
          <w:lang w:val="en-GB"/>
        </w:rPr>
        <w:t>in usual care setting</w:t>
      </w:r>
      <w:r w:rsidR="00A70F4B" w:rsidRPr="0003073C">
        <w:rPr>
          <w:lang w:val="en-GB"/>
        </w:rPr>
        <w:fldChar w:fldCharType="begin" w:fldLock="1"/>
      </w:r>
      <w:r w:rsidR="0019034B" w:rsidRPr="0003073C">
        <w:rPr>
          <w:lang w:val="en-GB"/>
        </w:rPr>
        <w:instrText>ADDIN CSL_CITATION {"citationItems":[{"id":"ITEM-1","itemData":{"DOI":"10.1093/eurheartj/ehx026","ISBN":"2076792171","ISSN":"15229645","PMID":"27899565","abstract":"Introduction Despite clear guidelines recommendations, most patients with heart failure and reduced ejection–fraction (HFrEF) do not attain guideline-recommended target doses. We aimed to investigate characteristics and for treatment-indication-bias corrected clinical outcome of patients with HFrEF that did not reach recommended treatment doses of ACE-inhibitors/Angiotensin receptor blockers (ARBs) and/or beta-blockers. BIOSTAT-CHF was specifically designed to study uptitration of ACE-inhibitors/ARBs and/or beta-blockers in 2516 heart failure patients from 69 centres in 11 European countries who were selected if they were suboptimally treated while initiation or uptitration was anticipated and encouraged. Patients who died during the uptitration period (n = 151) and patients with a LVEF &gt; 40% (n = 242) were excluded. Median follow up was 21 months. We studied 2100 HFrEF patients (76% male; mean age 68 ±12), of which 22% achieved the recommended treatment dose for ACE-inhibitor/ ARB and 12% of beta-blocker. There were marked differences between European countries. Reaching &lt;50% of the rec-ommended ACE-inhibitor/ARB and beta-blocker dose was associated with an increased risk of death and/or heart fail-ure hospitalization. Patients reaching 50–99% of the recommended ACE-inhibitor/ARB and/or beta-blocker dose had comparable risk of death and/or heart failure hospitalization to those reaching &gt; _100%. Patients not reaching recom-mended dose because of symptoms, side effects and non-cardiac organ dysfunction had the highest mortality rate (for ACE-inhibitor/ARB: HR 1.72; 95% CI 1.43–2.01; for beta-blocker: HR 1.70; 95% CI 1.36–2.05). Patients with HFrEF who were treated with less than 50% of recommended dose of ACE-inhibitors/ARBs and beta-blockers seemed to have a greater risk of death and/or heart failure hospitalization compared with patients reaching &gt; _100%.","author":[{"dropping-particle":"","family":"Ouwerkerk","given":"W.","non-dropping-particle":"","parse-names":false,"suffix":""},{"dropping-particle":"","family":"Voors","given":"A. A.","non-dropping-particle":"","parse-names":false,"suffix":""},{"dropping-particle":"","family":"Anker","given":"S. D.","non-dropping-particle":"","parse-names":false,"suffix":""},{"dropping-particle":"","family":"Cleland","given":"J. G.","non-dropping-particle":"","parse-names":false,"suffix":""},{"dropping-particle":"","family":"Dickstein","given":"K.","non-dropping-particle":"","parse-names":false,"suffix":""},{"dropping-particle":"","family":"Filippatos","given":"G.","non-dropping-particle":"","parse-names":false,"suffix":""},{"dropping-particle":"","family":"Harst","given":"P.","non-dropping-particle":"Van Der","parse-names":false,"suffix":""},{"dropping-particle":"","family":"Hillege","given":"H. L.","non-dropping-particle":"","parse-names":false,"suffix":""},{"dropping-particle":"","family":"Lang","given":"C. C.","non-dropping-particle":"","parse-names":false,"suffix":""},{"dropping-particle":"","family":"Maaten","given":"J. M.","non-dropping-particle":"Ter","parse-names":false,"suffix":""},{"dropping-particle":"","family":"Ng","given":"L. L.","non-dropping-particle":"","parse-names":false,"suffix":""},{"dropping-particle":"","family":"Ponikowski","given":"P.","non-dropping-particle":"","parse-names":false,"suffix":""},{"dropping-particle":"","family":"Samani","given":"N. J.","non-dropping-particle":"","parse-names":false,"suffix":""},{"dropping-particle":"","family":"Veldhuisen","given":"D. J.","non-dropping-particle":"Van","parse-names":false,"suffix":""},{"dropping-particle":"","family":"Zannad","given":"F.","non-dropping-particle":"","parse-names":false,"suffix":""},{"dropping-particle":"","family":"Metra","given":"M.","non-dropping-particle":"","parse-names":false,"suffix":""},{"dropping-particle":"","family":"Zwinderman","given":"A. H.","non-dropping-particle":"","parse-names":false,"suffix":""}],"container-title":"European Heart Journal","id":"ITEM-1","issue":"24","issued":{"date-parts":[["2017"]]},"page":"1883-1890","title":"Determinants and clinical outcome of uptitration of ACE-inhibitors and beta-blockers in patients with heart failure: A prospective European study","type":"article-journal","volume":"38"},"uris":["http://www.mendeley.com/documents/?uuid=a4fb182b-b848-48db-aa90-64a5852de2da"]},{"id":"ITEM-2","itemData":{"DOI":"10.1016/S2214-109X(18)30306-1","ISSN":"2214-109X","PMID":"30103979","abstract":"BACKGROUND Angiotensin-converting enzyme (ACE) inhibitors or angiotensin II receptor blockers (ARBs), β blockers, and mineralocorticoid receptor antagonists (MRAs) are of proven benefit and are recommended by guidelines for management of patients with heart failure and reduced ejection fraction (HFrEF). We aimed to examine the first prospective multinational data from Asia on prescribing patterns of guideline-directed medical therapies and analyse its effect on outcomes. METHODS In the prospective multinational ASIAN-HF registry (with enrolment from 46 centres in 11 countries in Asia), we enrolled patients aged 18 years or older, with symptomatic heart failure (stage C, with at least one episode of decompensated heart failure in the past 6 months that resulted in admission to hospital or was treated in an outpatient clinic) and left ventricular systolic dysfunction (ejection fraction ≤40% on baseline echocardiography, consistent with 2016 European Society of Cardiology guidelines). We excluded patients with heart failure caused by severe valvular heart disease, life-threatening comorbidity with a life expectancy of less than 1 year, who were unable or unwilling to give consent, or who had concurrent participation in a clinical trial. Patients were followed up for 3 years for the outcomes of death and cause-specific admittance to hospital. Primary outcomes were uptake of guideline-directed medical therapies (as proportions) by therapeutic class, achieved doses as proportions of guideline-recommended doses, and their association with 1-year composite outcome of all-cause death or admittance to hospital because of heart failure. This study is registered with ClinicalTrials.gov, number NCT01633398. FINDINGS Between Oct 1, 2012, and Dec 31, 2015, we enrolled 5276 patients with HFrEF (mean age 59·6 years [SD 13·2], 77% men, body-mass index 24·9 kg/m2 [5·1], 33% New York Heart Association class III or IV). Follow-up data were available for 4544 (90%) of 5061 eligible patients taking medication for heart failure, with median follow-up of 417 days (IQR 214-735). ACE inhibitors or ARBs were prescribed to 3868 (77%) of 5005 patients, β blockers to 3975 (79%) of 5061, and MRAs to 2998 (58%) of 5205, with substantial regional variation. Guideline-recommended dose was achieved in only 17% of cases for ACE inhibitors or ARB, 13% for β blockers, and 29% for MRAs. Country (all three drug classes), increasing body-mass index (ACE inhibitors or ARBs and MRAs), and in-pati…","author":[{"dropping-particle":"","family":"Teng","given":"Tiew-Hwa K","non-dropping-particle":"","parse-names":false,"suffix":""},{"dropping-particle":"","family":"Tromp","given":"Jasper","non-dropping-particle":"","parse-names":false,"suffix":""},{"dropping-particle":"","family":"Tay","given":"Wan Ting","non-dropping-particle":"","parse-names":false,"suffix":""},{"dropping-particle":"","family":"Anand","given":"Inder","non-dropping-particle":"","parse-names":false,"suffix":""},{"dropping-particle":"","family":"Ouwerkerk","given":"Wouter","non-dropping-particle":"","parse-names":false,"suffix":""},{"dropping-particle":"","family":"Chopra","given":"Vijay","non-dropping-particle":"","parse-names":false,"suffix":""},{"dropping-particle":"","family":"Wander","given":"Gurpreet S.","non-dropping-particle":"","parse-names":false,"suffix":""},{"dropping-particle":"","family":"Yap","given":"Jonathan JL","non-dropping-particle":"","parse-names":false,"suffix":""},{"dropping-particle":"","family":"MacDonald","given":"Michael R.","non-dropping-particle":"","parse-names":false,"suffix":""},{"dropping-particle":"","family":"Xu","given":"Chang Fen","non-dropping-particle":"","parse-names":false,"suffix":""},{"dropping-particle":"","family":"Chia","given":"Yvonne MF","non-dropping-particle":"","parse-names":false,"suffix":""},{"dropping-particle":"","family":"Shimizu","given":"Wataru","non-dropping-particle":"","parse-names":false,"suffix":""},{"dropping-particle":"","family":"ASIAN-HF investigators","given":"","non-dropping-particle":"","parse-names":false,"suffix":""},{"dropping-particle":"","family":"Richards","given":"A. Mark","non-dropping-particle":"","parse-names":false,"suffix":""},{"dropping-particle":"","family":"Voors","given":"Adriaan","non-dropping-particle":"","parse-names":false,"suffix":""},{"dropping-particle":"","family":"Lam","given":"Carolyn SP","non-dropping-particle":"","parse-names":false,"suffix":""}],"container-title":"The Lancet. Global health","id":"ITEM-2","issue":"9","issued":{"date-parts":[["2018"]]},"page":"e1008-e1018","publisher":"The Author(s). Published by Elsevier Ltd. This is an open access article under the CC BY-NC-ND 4.0 license","title":"Prescribing patterns of evidence-based heart failure pharmacotherapy and outcomes in the ASIAN-HF registry: a cohort study.","type":"article-journal","volume":"6"},"uris":["http://www.mendeley.com/documents/?uuid=62cfceaf-e285-4d45-9b45-888441d182f2"]},{"id":"ITEM-3","itemData":{"DOI":"10.1016/j.jacc.2018.04.070","ISSN":"1558-3597","PMID":"30025570","abstract":"BACKGROUND Guidelines strongly recommend patients with heart failure with reduced ejection fraction (HFrEF) be treated with multiple medications proven to improve clinical outcomes, as tolerated. The degree to which gaps in medication use and dosing persist in contemporary outpatient practice is unclear. OBJECTIVES This study sought to characterize patterns and factors associated with use and dose of HFrEF medications in current practice. METHODS The CHAMP-HF (Change the Management of Patients with Heart Failure) registry included outpatients in the United States with chronic HFrEF receiving at least 1 oral medication for management of HF. Patients were characterized by baseline use and dose of angiotensin-converting enzyme inhibitor (ACEI)/angiotensin II receptor blocker (ARB), angiotensin receptor neprilysin inhibitor (ARNI), beta-blocker, and mineralocorticoid receptor antagonist (MRA). Patient-level factors associated with medication use were examined. RESULTS Overall, 3,518 patients from 150 primary care and cardiology practices were included. Mean age was 66 ± 13 years, 29% were female, and mean EF was 29 ± 8%. Among eligible patients, 27%, 33%, and 67% were not prescribed ACEI/ARB/ARNI, beta-blocker, and MRA therapy, respectively. When medications were prescribed, few patients were receiving target doses of ACEI/ARB (17%), ARNI (14%), and beta-blocker (28%), whereas most patients were receiving target doses of MRA therapy (77%). Among patients eligible for all classes of medication, 1% were simultaneously receiving target doses of ACE/ARB/ARNI, beta-blocker, and MRA. In adjusted models, older age, lower blood pressure, more severe functional class, renal insufficiency, and recent HF hospitalization generally favored lower medication utilization or dose. Social and economic characteristics were not independently associated with medication use or dose. CONCLUSIONS In this contemporary outpatient HFrEF registry, significant gaps in use and dose of guideline-directed medical therapy remain. Multiple clinical factors were associated with medication use and dose prescribed. Strategies to improve guideline-directed use of HFrEF medications remain urgently needed, and these findings may inform targeted approaches to optimize outpatient medical therapy.","author":[{"dropping-particle":"","family":"Greene","given":"Stephen J.","non-dropping-particle":"","parse-names":false,"suffix":""},{"dropping-particle":"","family":"Butler","given":"Javed","non-dropping-particle":"","parse-names":false,"suffix":""},{"dropping-particle":"","family":"Albert","given":"Nancy M.","non-dropping-particle":"","parse-names":false,"suffix":""},{"dropping-particle":"","family":"DeVore","given":"Adam D.","non-dropping-particle":"","parse-names":false,"suffix":""},{"dropping-particle":"","family":"Sharma","given":"Puza P.","non-dropping-particle":"","parse-names":false,"suffix":""},{"dropping-particle":"","family":"Duffy","given":"Carol I.","non-dropping-particle":"","parse-names":false,"suffix":""},{"dropping-particle":"","family":"Hill","given":"C. Larry","non-dropping-particle":"","parse-names":false,"suffix":""},{"dropping-particle":"","family":"McCague","given":"Kevin","non-dropping-particle":"","parse-names":false,"suffix":""},{"dropping-particle":"","family":"Mi","given":"Xiaojuan","non-dropping-particle":"","parse-names":false,"suffix":""},{"dropping-particle":"","family":"Patterson","given":"J. Herbert","non-dropping-particle":"","parse-names":false,"suffix":""},{"dropping-particle":"","family":"Spertus","given":"John A.","non-dropping-particle":"","parse-names":false,"suffix":""},{"dropping-particle":"","family":"Thomas","given":"Laine","non-dropping-particle":"","parse-names":false,"suffix":""},{"dropping-particle":"","family":"Williams","given":"Fredonia B.","non-dropping-particle":"","parse-names":false,"suffix":""},{"dropping-particle":"","family":"Hernandez","given":"Adrian F.","non-dropping-particle":"","parse-names":false,"suffix":""},{"dropping-particle":"","family":"Fonarow","given":"Gregg C.","non-dropping-particle":"","parse-names":false,"suffix":""}],"container-title":"Journal of the American College of Cardiology","id":"ITEM-3","issue":"4","issued":{"date-parts":[["2018"]]},"page":"351-366","title":"Medical Therapy for Heart Failure With Reduced Ejection Fraction: The CHAMP-HF Registry.","type":"article-journal","volume":"72"},"uris":["http://www.mendeley.com/documents/?uuid=e78bc10a-2a98-4119-a068-18c5cfa602a4"]},{"id":"ITEM-4","itemData":{"DOI":"10.1016/j.jchf.2018.11.011","ISSN":"2213-1787","PMID":"30738978","abstract":"OBJECTIVES This study sought to determine the rate of use of target doses of foundational guideline-directed medical therapy (GDMT) in a contemporary cohort of patients with heart failure with reduced ejection fraction (HFrEF) across systolic blood pressure (SBP) categories. BACKGROUND Patients with HFrEF are infrequently titrated to recommended doses of GDMT. The relationship between SBP and achieving GDMT target doses is not well studied. METHODS Patients enrolled in the CHAMP-HF (Change the Management of Patients With Heart Failure) registry without documented intolerance to angiotensin-converting enzyme inhibitors (ACEIs), angiotensin receptor blockers (ARBs), angiotensin receptor-neprilysin inhibitors (ARNIs), and beta blockers (BBs) were assessed at enrollment. We estimated the proportion receiving target doses (% of target dose [95% confidence interval (CI)]) based on the most recent American College of Cardiology/American Heart Association/Heart Failure Society of America heart failure guidelines at baseline in all patients, and by SBP category (≥110 vs. &lt;110 mm Hg). RESULTS Of the 3,095 patients eligible for analysis, 2,421 (78.2%) had SBP ≥110 mm Hg. The proportion of patients receiving target doses were 18.7% (95% CI: 17.3% to 20.0%; BB), 10.8% (95% CI: 9.7% to 11.9%; ACEI/ARB), and 2.0% (95% CI: 1.5% to 2.5%; ARNI). Among those with SBP &lt;110 mm Hg (n = 674), 17.5% (95% CI: 14.6% to 20.4%; BB), 6.2% (95% CI: 4.4% to 8.1%; ACEI/ARB), and 1.8% (95% CI: 0.8% to 2.8%; ARNI) were receiving target doses. Among those with SBP ≥110 mm Hg (n = 2,421), 19.0% (95% CI: 17.4% to 20.6%; BB), 12.1% (95% CI: 10.8% to 13.4%; ACEI/ARB), and 2.0% (95% CI: 1.5% to 2.6%; ARNI) were receiving target doses. CONCLUSIONS In a large, contemporary registry of outpatients with chronic HFrEF eligible for treatment with BBs and ACEI/ARB/ARNI, &lt;20% of patients were receiving target doses, even among those with SBP ≥110 mm Hg.","author":[{"dropping-particle":"","family":"Peri-Okonny","given":"Poghni A.","non-dropping-particle":"","parse-names":false,"suffix":""},{"dropping-particle":"","family":"Mi","given":"Xiaojuan","non-dropping-particle":"","parse-names":false,"suffix":""},{"dropping-particle":"","family":"Khariton","given":"Yevgeniy","non-dropping-particle":"","parse-names":false,"suffix":""},{"dropping-particle":"","family":"Patel","given":"Krishna K.","non-dropping-particle":"","parse-names":false,"suffix":""},{"dropping-particle":"","family":"Thomas","given":"Laine","non-dropping-particle":"","parse-names":false,"suffix":""},{"dropping-particle":"","family":"Fonarow","given":"Gregg C.","non-dropping-particle":"","parse-names":false,"suffix":""},{"dropping-particle":"","family":"Sharma","given":"Puza P.","non-dropping-particle":"","parse-names":false,"suffix":""},{"dropping-particle":"","family":"Duffy","given":"Carol I.","non-dropping-particle":"","parse-names":false,"suffix":""},{"dropping-particle":"","family":"Albert","given":"Nancy M.","non-dropping-particle":"","parse-names":false,"suffix":""},{"dropping-particle":"","family":"Butler","given":"Javed","non-dropping-particle":"","parse-names":false,"suffix":""},{"dropping-particle":"","family":"Hernandez","given":"Adrian F.","non-dropping-particle":"","parse-names":false,"suffix":""},{"dropping-particle":"","family":"McCague","given":"Kevin","non-dropping-particle":"","parse-names":false,"suffix":""},{"dropping-particle":"","family":"Williams","given":"Fredonia B.","non-dropping-particle":"","parse-names":false,"suffix":""},{"dropping-particle":"","family":"DeVore","given":"Adam D.","non-dropping-particle":"","parse-names":false,"suffix":""},{"dropping-particle":"","family":"Patterson","given":"J. Herbert","non-dropping-particle":"","parse-names":false,"suffix":""},{"dropping-particle":"","family":"Spertus","given":"John A.","non-dropping-particle":"","parse-names":false,"suffix":""}],"container-title":"JACC. Heart failure","id":"ITEM-4","issue":"4","issued":{"date-parts":[["2019","4"]]},"page":"350-358","title":"Target Doses of Heart Failure Medical Therapy and Blood Pressure: Insights From the CHAMP-HF Registry.","type":"article-journal","volume":"7"},"uris":["http://www.mendeley.com/documents/?uuid=e3c83f18-8013-462f-91c3-36f6d5b57ea1"]},{"id":"ITEM-5","itemData":{"DOI":"10.1016/j.ahj.2015.10.026","ISBN":"9196848111","ISSN":"1097-6744","PMID":"26920611","abstract":"BACKGROUND Elevated heart rate of ≥70 beats/min despite β-blocker use may represent a new treatment target in patients in sinus rhythm with heart failure with reduced ejection fraction. However, little is known about the proportion of patients with elevated heart rate despite β-blocker therapy. METHODS We analyzed data from a large clinical registry to describe discharge heart rate as a function of β-blocker use and dose. We included patients with left ventricular ejection fraction &lt;40% who were admitted with acute heart failure in 2003 and 2004; we excluded patients with a history of atrial arrhythmia or with a pacemaker or cardiac resynchronization therapy. We considered the β-blockers carvedilol, metoprolol succinate, bisoprolol, atenolol, and metoprolol tartrate and described discharge dose as a percentage of target dose (ie, &lt;25%, 25%-49%, 50%-99%, and ≥100%). RESULTS Among 10,696 patients, median discharge heart rate was 76 beats/min (interquartile range [IQR] 66-86 beats/min). Of these, 7,826 (73%) were discharged on a β-blocker. For patients not on a β-blocker, median discharge heart rate was 80 beats/min (IQR 70-89 beats/min), compared with 78 beats/min (IQR 69-88 beats/min) on &lt;25% of target dose, 75 beats/min (IQR 66-85 beats/min) on 25% to 49% of target dose, 74 beats/min (IQR 66-82 beats/min) on 50% to 99% of target dose, and 72 beats/min (IQR 65% to 80%) on 100% of target dose or greater (P &lt; .001). Most patients, 7,647 (71%), had a discharge heart rate of ≥70 beats/min, including 1,460 (63%) of 2,301 patients discharged on 50% of target dose or greater. CONCLUSIONS Despite treatment with β-blockers, a substantial proportion of patients hospitalized with heart failure with reduced ejection fraction have elevated heart rate at discharge.","author":[{"dropping-particle":"","family":"DeVore","given":"Adam D","non-dropping-particle":"","parse-names":false,"suffix":""},{"dropping-particle":"","family":"Mi","given":"Xiaojuan","non-dropping-particle":"","parse-names":false,"suffix":""},{"dropping-particle":"","family":"Mentz","given":"Robert J.","non-dropping-particle":"","parse-names":false,"suffix":""},{"dropping-particle":"","family":"Fonarow","given":"Gregg C.","non-dropping-particle":"","parse-names":false,"suffix":""},{"dropping-particle":"","family":"Dyke","given":"Melissa K.","non-dropping-particle":"Van","parse-names":false,"suffix":""},{"dropping-particle":"","family":"Maya","given":"Juan F.","non-dropping-particle":"","parse-names":false,"suffix":""},{"dropping-particle":"","family":"Hardy","given":"N. Chantelle","non-dropping-particle":"","parse-names":false,"suffix":""},{"dropping-particle":"","family":"Hammill","given":"Bradley G.","non-dropping-particle":"","parse-names":false,"suffix":""},{"dropping-particle":"","family":"Hernandez","given":"Adrian F.","non-dropping-particle":"","parse-names":false,"suffix":""}],"container-title":"American heart journal","id":"ITEM-5","issued":{"date-parts":[["2016","3"]]},"page":"172-8","publisher":"Elsevier B.V.","title":"Discharge heart rate and β-blocker dose in patients hospitalized with heart failure: Findings from the OPTIMIZE-HF registry.","type":"article-journal","volume":"173"},"uris":["http://www.mendeley.com/documents/?uuid=9097ba12-dae2-4f17-b946-089a61f631e2"]},{"id":"ITEM-6","itemData":{"DOI":"10.1016/j.ahj.2007.03.010","ISSN":"1097-6744","PMID":"17540206","abstract":"BACKGROUND Community patients with heart failure (HF) are older, less often treated by HF specialists, and have more comorbidity than those in randomized clinical trials. These differences might affect beta-blocker prescribing in HF. METHODS To explore patterns of beta-blocker prescribing for HF in the community and their association with outcomes, we determined carvedilol doses at end titration in 4113 patients from a community-based beta-blocker HF registry according to physician and patient characteristics, HF severity, and rates of hospitalization and death. RESULTS Female sex, age &gt; or = 65 years, and left ventricular ejection fraction &gt; or = 35% were associated with lower beta-blocker doses. Average daily dose of beta-blocker was lower with worse baseline New York Heart Association class. More patients of cardiologists achieved carvedilol doses &gt; or = 25 mg twice daily, whereas in those of noncardiologists lower doses were more common. Relative risk of HF hospitalizations or all-cause death was significantly lower with higher doses of beta-blocker. CONCLUSIONS Beta-blocker dosing in community HF appears lower than in randomized clinical trials, especially when prescribed by noncardiologists. At all doses, patients taking the beta-blocker carvedilol have a lower incidence of death and HF hospitalization than those discontinuing it, regardless of physician type in the community setting.","author":[{"dropping-particle":"","family":"Fowler","given":"Michael B.","non-dropping-particle":"","parse-names":false,"suffix":""},{"dropping-particle":"","family":"Lottes","given":"Sandra R.","non-dropping-particle":"","parse-names":false,"suffix":""},{"dropping-particle":"","family":"Nelson","given":"Jeanenne J.","non-dropping-particle":"","parse-names":false,"suffix":""},{"dropping-particle":"","family":"Lukas","given":"Mary Ann","non-dropping-particle":"","parse-names":false,"suffix":""},{"dropping-particle":"","family":"Gilbert","given":"Edward M.","non-dropping-particle":"","parse-names":false,"suffix":""},{"dropping-particle":"","family":"Greenberg","given":"Barry","non-dropping-particle":"","parse-names":false,"suffix":""},{"dropping-particle":"","family":"Massie","given":"Barry M.","non-dropping-particle":"","parse-names":false,"suffix":""},{"dropping-particle":"","family":"Abraham","given":"William T.","non-dropping-particle":"","parse-names":false,"suffix":""},{"dropping-particle":"","family":"Franciosa","given":"Joseph A.","non-dropping-particle":"","parse-names":false,"suffix":""},{"dropping-particle":"","family":"COHERE Participant Physicians","given":"","non-dropping-particle":"","parse-names":false,"suffix":""}],"container-title":"American heart journal","id":"ITEM-6","issue":"6","issued":{"date-parts":[["2007","6"]]},"page":"1029-36","title":"Beta-blocker dosing in community-based treatment of heart failure.","type":"article-journal","volume":"153"},"uris":["http://www.mendeley.com/documents/?uuid=a2694509-8b93-491d-901a-de888a197d4d"]}],"mendeley":{"formattedCitation":"&lt;sup&gt;20,21,38,39,43,44&lt;/sup&gt;","plainTextFormattedCitation":"20,21,38,39,43,44","previouslyFormattedCitation":"&lt;sup&gt;20,21,38,39,43,44&lt;/sup&gt;"},"properties":{"noteIndex":0},"schema":"https://github.com/citation-style-language/schema/raw/master/csl-citation.json"}</w:instrText>
      </w:r>
      <w:r w:rsidR="00A70F4B" w:rsidRPr="0003073C">
        <w:rPr>
          <w:lang w:val="en-GB"/>
        </w:rPr>
        <w:fldChar w:fldCharType="separate"/>
      </w:r>
      <w:r w:rsidR="000B1498" w:rsidRPr="0003073C">
        <w:rPr>
          <w:noProof/>
          <w:vertAlign w:val="superscript"/>
          <w:lang w:val="en-GB"/>
        </w:rPr>
        <w:t>20,21,38,39,43,44</w:t>
      </w:r>
      <w:r w:rsidR="00A70F4B" w:rsidRPr="0003073C">
        <w:rPr>
          <w:lang w:val="en-GB"/>
        </w:rPr>
        <w:fldChar w:fldCharType="end"/>
      </w:r>
      <w:r w:rsidR="00A70F4B" w:rsidRPr="0003073C">
        <w:rPr>
          <w:lang w:val="en-GB"/>
        </w:rPr>
        <w:t>,</w:t>
      </w:r>
      <w:r w:rsidR="00074289" w:rsidRPr="0003073C">
        <w:rPr>
          <w:lang w:val="en-US"/>
        </w:rPr>
        <w:t xml:space="preserve"> </w:t>
      </w:r>
      <w:r w:rsidR="00074289" w:rsidRPr="0003073C">
        <w:rPr>
          <w:lang w:val="en-GB"/>
        </w:rPr>
        <w:t xml:space="preserve">and even in </w:t>
      </w:r>
      <w:r w:rsidRPr="0003073C">
        <w:rPr>
          <w:lang w:val="en-GB"/>
        </w:rPr>
        <w:t xml:space="preserve">the </w:t>
      </w:r>
      <w:r w:rsidR="00074289" w:rsidRPr="0003073C">
        <w:rPr>
          <w:lang w:val="en-GB"/>
        </w:rPr>
        <w:t>trial setting, with  CIBIS-II</w:t>
      </w:r>
      <w:r w:rsidR="00A70F4B" w:rsidRPr="0003073C">
        <w:rPr>
          <w:lang w:val="en-GB"/>
        </w:rPr>
        <w:fldChar w:fldCharType="begin" w:fldLock="1"/>
      </w:r>
      <w:r w:rsidR="0041427D" w:rsidRPr="0003073C">
        <w:rPr>
          <w:lang w:val="en-GB"/>
        </w:rPr>
        <w:instrText>ADDIN CSL_CITATION {"citationItems":[{"id":"ITEM-1","itemData":{"DOI":"10.1016/S0140-6736(98)11181-9","ISBN":"0140-6736 (Print) 0140-6736 (Linking)","ISSN":"0140-6736","PMID":"10023943","abstract":"BACKGROUND In patients with heart failure, beta-blockade has improved morbidity and left-ventricular function, but the impact on survival is uncertain. We investigated the efficacy of bisoprolol, a beta1 selective adrenoceptor blocker in decreasing all-cause mortality in chronic heart failure. METHODS In a multicentre double-blind randomised placebo-controlled trial in Europe, we enrolled 2647 symptomatic patients in New York Heart Association class III or IV, with left-ventricular ejection fraction of 35% or less receiving standard therapy with diuretics and inhibitors of angiotensin-converting enzyme. We randomly assigned patients bisoprolol 1.25 mg (n=1327) or placebo (n=1320) daily, the drug being progressively increased to a maximum of 10 mg per day. Patients were followed up for a mean of 1.3 years. Analysis was by intention to treat. FINDINGS CIBIS-II was stopped early, after the second interim analysis, because bisoprolol showed a significant mortality benefit. All-cause mortality was significantly lower with bisoprolol than on placebo (156 [11.8%] vs 228 [17.3%] deaths with a hazard ratio of 0.66 (95% CI 0.54-0.81, p&lt;0.0001). There were significantly fewer sudden deaths among patients on bisoprolol than in those on placebo (48 [3.6%] vs 83 [6.3%] deaths), with a hazard ratio of 0.56 (0.39-0.80, p=0.0011). Treatment effects were independent of the severity or cause of heart failure. INTERPRETATION Beta-blocker therapy had benefits for survival in stable heart-failure patients. Results should not, however, be extrapolated to patients with severe class IV symptoms and recent instability because safety and efficacy has not been established in these patients.","author":[{"dropping-particle":"","family":"CIBIS-II Investigators and Committees","given":"","non-dropping-particle":"","parse-names":false,"suffix":""}],"container-title":"Lancet (London, England)","id":"ITEM-1","issue":"9146","issued":{"date-parts":[["1999","1","2"]]},"page":"9-13","title":"The Cardiac Insufficiency Bisoprolol Study II (CIBIS-II): a randomised trial.","type":"article-journal","volume":"353"},"uris":["http://www.mendeley.com/documents/?uuid=bf6fa4b9-9dc6-460c-85e8-d52be28d93c6"]}],"mendeley":{"formattedCitation":"&lt;sup&gt;10&lt;/sup&gt;","plainTextFormattedCitation":"10","previouslyFormattedCitation":"&lt;sup&gt;10&lt;/sup&gt;"},"properties":{"noteIndex":0},"schema":"https://github.com/citation-style-language/schema/raw/master/csl-citation.json"}</w:instrText>
      </w:r>
      <w:r w:rsidR="00A70F4B" w:rsidRPr="0003073C">
        <w:rPr>
          <w:lang w:val="en-GB"/>
        </w:rPr>
        <w:fldChar w:fldCharType="separate"/>
      </w:r>
      <w:r w:rsidR="0041427D" w:rsidRPr="0003073C">
        <w:rPr>
          <w:noProof/>
          <w:vertAlign w:val="superscript"/>
          <w:lang w:val="en-GB"/>
        </w:rPr>
        <w:t>10</w:t>
      </w:r>
      <w:r w:rsidR="00A70F4B" w:rsidRPr="0003073C">
        <w:rPr>
          <w:lang w:val="en-GB"/>
        </w:rPr>
        <w:fldChar w:fldCharType="end"/>
      </w:r>
      <w:r w:rsidR="00A70F4B" w:rsidRPr="0003073C">
        <w:rPr>
          <w:lang w:val="en-GB"/>
        </w:rPr>
        <w:t xml:space="preserve">, </w:t>
      </w:r>
      <w:r w:rsidR="00074289" w:rsidRPr="0003073C">
        <w:rPr>
          <w:lang w:val="en-GB"/>
        </w:rPr>
        <w:t>CIBIS-ELD</w:t>
      </w:r>
      <w:r w:rsidR="00A70F4B" w:rsidRPr="0003073C">
        <w:rPr>
          <w:lang w:val="en-GB"/>
        </w:rPr>
        <w:fldChar w:fldCharType="begin" w:fldLock="1"/>
      </w:r>
      <w:r w:rsidR="0019034B" w:rsidRPr="0003073C">
        <w:rPr>
          <w:lang w:val="en-GB"/>
        </w:rPr>
        <w:instrText>ADDIN CSL_CITATION {"citationItems":[{"id":"ITEM-1","itemData":{"DOI":"10.1093/eurjhf/hfr020","ISBN":"1879-0844 (Electronic)\\r1388-9842 (Linking)","ISSN":"1879-0844","PMID":"21429992","abstract":"AIMS Various beta-blockers with distinct pharmacological profiles are approved in heart failure, yet they remain underused and underdosed. Although potentially of major public health importance, whether one agent is superior in terms of tolerability and optimal dosing has not been investigated. The aim of this study was therefore to compare the tolerability and clinical effects of two proven beta-blockers in elderly patients with heart failure. METHODS AND RESULTS We performed a double-blind superiority trial of bisoprolol vs. carvedilol in 883 elderly heart failure patients with reduced or preserved left ventricular ejection fraction in 41 European centres. The primary endpoint was tolerability, defined as reaching and maintaining guideline-recommended target doses after 12 weeks treatment. Adverse events and clinical parameters of patient status were secondary endpoints. None of the beta-blockers was superior with regards to tolerability: 24% [95% confidence interval (CI) 20-28] of patients in the bisoprolol arm and 25% (95% CI 21-29) of patients in the carvedilol arm achieved the primary endpoint (P= 0.64). The use of bisoprolol resulted in greater reduction of heart rate (adjusted mean difference 2.1 b.p.m., 95% CI 0.5-3.6, P= 0.008) and more, dose-limiting, bradycardic adverse events (16 vs. 11%; P= 0.02). The use of carvedilol led to a reduction of forced expiratory volume (adjusted mean difference 50 mL, 95% CI 4-95, P= 0.03) and more, non-dose-limiting, pulmonary adverse events (10 vs. 4%; P &lt; 0.001). CONCLUSION Overall tolerability to target doses was comparable. The pattern of intolerance, however, was different: bradycardia occurred more often in the bisoprolol group, whereas pulmonary adverse events occurred more often in the carvedilol group. This study is registered with controlled-trials.com, number ISRCTN34827306.","author":[{"dropping-particle":"","family":"Düngen","given":"Hans-Dirk","non-dropping-particle":"","parse-names":false,"suffix":""},{"dropping-particle":"","family":"Apostolovic","given":"Svetlana","non-dropping-particle":"","parse-names":false,"suffix":""},{"dropping-particle":"","family":"Inkrot","given":"Simone","non-dropping-particle":"","parse-names":false,"suffix":""},{"dropping-particle":"","family":"Tahirovic","given":"Elvis","non-dropping-particle":"","parse-names":false,"suffix":""},{"dropping-particle":"","family":"Töpper","given":"Agnieszka","non-dropping-particle":"","parse-names":false,"suffix":""},{"dropping-particle":"","family":"Mehrhof","given":"Felix","non-dropping-particle":"","parse-names":false,"suffix":""},{"dropping-particle":"","family":"Prettin","given":"Christiane","non-dropping-particle":"","parse-names":false,"suffix":""},{"dropping-particle":"","family":"Putnikovic","given":"Biljana","non-dropping-particle":"","parse-names":false,"suffix":""},{"dropping-particle":"","family":"Neskovic","given":"Aleksandar N","non-dropping-particle":"","parse-names":false,"suffix":""},{"dropping-particle":"","family":"Krotin","given":"Mirjana","non-dropping-particle":"","parse-names":false,"suffix":""},{"dropping-particle":"","family":"Sakac","given":"Dejan","non-dropping-particle":"","parse-names":false,"suffix":""},{"dropping-particle":"","family":"Lainscak","given":"Mitja","non-dropping-particle":"","parse-names":false,"suffix":""},{"dropping-particle":"","family":"Edelmann","given":"Frank","non-dropping-particle":"","parse-names":false,"suffix":""},{"dropping-particle":"","family":"Wachter","given":"Rolf","non-dropping-particle":"","parse-names":false,"suffix":""},{"dropping-particle":"","family":"Rau","given":"Thomas","non-dropping-particle":"","parse-names":false,"suffix":""},{"dropping-particle":"","family":"Eschenhagen","given":"Thomas","non-dropping-particle":"","parse-names":false,"suffix":""},{"dropping-particle":"","family":"Doehner","given":"Wolfram","non-dropping-particle":"","parse-names":false,"suffix":""},{"dropping-particle":"","family":"Anker","given":"Stefan D.","non-dropping-particle":"","parse-names":false,"suffix":""},{"dropping-particle":"","family":"Waagstein","given":"Finn","non-dropping-particle":"","parse-names":false,"suffix":""},{"dropping-particle":"","family":"Herrmann-Lingen","given":"Christoph","non-dropping-particle":"","parse-names":false,"suffix":""},{"dropping-particle":"","family":"Gelbrich","given":"Goetz","non-dropping-particle":"","parse-names":false,"suffix":""},{"dropping-particle":"","family":"Dietz","given":"Rainer","non-dropping-particle":"","parse-names":false,"suffix":""},{"dropping-particle":"","family":"CIBIS-ELD investigators and Project Multicentre Trials in the Competence Network Heart Failure","given":"","non-dropping-particle":"","parse-names":false,"suffix":""}],"container-title":"European journal of heart failure","id":"ITEM-1","issue":"6","issued":{"date-parts":[["2011","6"]]},"page":"670-80","title":"Titration to target dose of bisoprolol vs. carvedilol in elderly patients with heart failure: the CIBIS-ELD trial.","type":"article-journal","volume":"13"},"uris":["http://www.mendeley.com/documents/?uuid=e0e573d1-4120-3835-ab78-a607e3f349f9"]}],"mendeley":{"formattedCitation":"&lt;sup&gt;45&lt;/sup&gt;","plainTextFormattedCitation":"45","previouslyFormattedCitation":"&lt;sup&gt;45&lt;/sup&gt;"},"properties":{"noteIndex":0},"schema":"https://github.com/citation-style-language/schema/raw/master/csl-citation.json"}</w:instrText>
      </w:r>
      <w:r w:rsidR="00A70F4B" w:rsidRPr="0003073C">
        <w:rPr>
          <w:lang w:val="en-GB"/>
        </w:rPr>
        <w:fldChar w:fldCharType="separate"/>
      </w:r>
      <w:r w:rsidR="000B1498" w:rsidRPr="0003073C">
        <w:rPr>
          <w:noProof/>
          <w:vertAlign w:val="superscript"/>
          <w:lang w:val="en-GB"/>
        </w:rPr>
        <w:t>45</w:t>
      </w:r>
      <w:r w:rsidR="00A70F4B" w:rsidRPr="0003073C">
        <w:rPr>
          <w:lang w:val="en-GB"/>
        </w:rPr>
        <w:fldChar w:fldCharType="end"/>
      </w:r>
      <w:r w:rsidRPr="0003073C">
        <w:rPr>
          <w:lang w:val="en-GB"/>
        </w:rPr>
        <w:t xml:space="preserve"> and</w:t>
      </w:r>
      <w:r w:rsidR="00074289" w:rsidRPr="0003073C">
        <w:rPr>
          <w:lang w:val="en-GB"/>
        </w:rPr>
        <w:t xml:space="preserve"> HF-ACTION</w:t>
      </w:r>
      <w:r w:rsidR="00A70F4B" w:rsidRPr="0003073C">
        <w:rPr>
          <w:lang w:val="en-GB"/>
        </w:rPr>
        <w:fldChar w:fldCharType="begin" w:fldLock="1"/>
      </w:r>
      <w:r w:rsidR="0019034B" w:rsidRPr="0003073C">
        <w:rPr>
          <w:lang w:val="en-GB"/>
        </w:rPr>
        <w:instrText>ADDIN CSL_CITATION {"citationItems":[{"id":"ITEM-1","itemData":{"DOI":"10.1001/jama.2009.454","ISSN":"1538-3598","PMID":"19351941","abstract":"CONTEXT Guidelines recommend that exercise training be considered for medically stable outpatients with heart failure. Previous studies have not had adequate statistical power to measure the effects of exercise training on clinical outcomes. OBJECTIVE To test the efficacy and safety of exercise training among patients with heart failure. DESIGN, SETTING, AND PATIENTS Multicenter, randomized controlled trial of 2331 medically stable outpatients with heart failure and reduced ejection fraction. Participants in Heart Failure: A Controlled Trial Investigating Outcomes of Exercise Training (HF-ACTION) were randomized from April 2003 through February 2007 at 82 centers within the United States, Canada, and France; median follow-up was 30 months. INTERVENTIONS Usual care plus aerobic exercise training, consisting of 36 supervised sessions followed by home-based training, or usual care alone. MAIN OUTCOME MEASURES Composite primary end point of all-cause mortality or hospitalization and prespecified secondary end points of all-cause mortality, cardiovascular mortality or cardiovascular hospitalization, and cardiovascular mortality or heart failure hospitalization. RESULTS The median age was 59 years, 28% were women, and 37% had New York Heart Association class III or IV symptoms. Heart failure etiology was ischemic in 51%, and median left ventricular ejection fraction was 25%. Exercise adherence decreased from a median of 95 minutes per week during months 4 through 6 of follow-up to 74 minutes per week during months 10 through 12. A total of 759 patients (65%) in the exercise training group died or were hospitalized compared with 796 patients (68%) in the usual care group (hazard ratio [HR], 0.93 [95% confidence interval {CI}, 0.84-1.02]; P = .13). There were nonsignificant reductions in the exercise training group for mortality (189 patients [16%] in the exercise training group vs 198 patients [17%] in the usual care group; HR, 0.96 [95% CI, 0.79-1.17]; P = .70), cardiovascular mortality or cardiovascular hospitalization (632 [55%] in the exercise training group vs 677 [58%] in the usual care group; HR, 0.92 [95% CI, 0.83-1.03]; P = .14), and cardiovascular mortality or heart failure hospitalization (344 [30%] in the exercise training group vs 393 [34%] in the usual care group; HR, 0.87 [95% CI, 0.75-1.00]; P = .06). In prespecified supplementary analyses adjusting for highly prognostic baseline characteristics, the HRs were 0.89 (95% CI, 0.81-0.99; P = .03) f…","author":[{"dropping-particle":"","family":"O'Connor","given":"Christopher M","non-dropping-particle":"","parse-names":false,"suffix":""},{"dropping-particle":"","family":"Whellan","given":"David J","non-dropping-particle":"","parse-names":false,"suffix":""},{"dropping-particle":"","family":"Lee","given":"Kerry L","non-dropping-particle":"","parse-names":false,"suffix":""},{"dropping-particle":"","family":"Keteyian","given":"Steven J","non-dropping-particle":"","parse-names":false,"suffix":""},{"dropping-particle":"","family":"Cooper","given":"Lawton S","non-dropping-particle":"","parse-names":false,"suffix":""},{"dropping-particle":"","family":"Ellis","given":"Stephen J","non-dropping-particle":"","parse-names":false,"suffix":""},{"dropping-particle":"","family":"Leifer","given":"Eric S","non-dropping-particle":"","parse-names":false,"suffix":""},{"dropping-particle":"","family":"Kraus","given":"William E","non-dropping-particle":"","parse-names":false,"suffix":""},{"dropping-particle":"","family":"Kitzman","given":"Dalane W.","non-dropping-particle":"","parse-names":false,"suffix":""},{"dropping-particle":"","family":"Blumenthal","given":"James A","non-dropping-particle":"","parse-names":false,"suffix":""},{"dropping-particle":"","family":"Rendall","given":"David S","non-dropping-particle":"","parse-names":false,"suffix":""},{"dropping-particle":"","family":"Miller","given":"Nancy Houston","non-dropping-particle":"","parse-names":false,"suffix":""},{"dropping-particle":"","family":"Fleg","given":"Jerome L","non-dropping-particle":"","parse-names":false,"suffix":""},{"dropping-particle":"","family":"Schulman","given":"Kevin A.","non-dropping-particle":"","parse-names":false,"suffix":""},{"dropping-particle":"","family":"McKelvie","given":"Robert S.","non-dropping-particle":"","parse-names":false,"suffix":""},{"dropping-particle":"","family":"Zannad","given":"Faiez","non-dropping-particle":"","parse-names":false,"suffix":""},{"dropping-particle":"","family":"Piña","given":"Ileana L","non-dropping-particle":"","parse-names":false,"suffix":""},{"dropping-particle":"","family":"HF-ACTION Investigators","given":"","non-dropping-particle":"","parse-names":false,"suffix":""}],"container-title":"JAMA","id":"ITEM-1","issue":"14","issued":{"date-parts":[["2009","4","8"]]},"page":"1439-50","title":"Efficacy and safety of exercise training in patients with chronic heart failure: HF-ACTION randomized controlled trial.","type":"article-journal","volume":"301"},"uris":["http://www.mendeley.com/documents/?uuid=3d12799f-fc3d-46b0-8dae-aef4ea387305"]}],"mendeley":{"formattedCitation":"&lt;sup&gt;46&lt;/sup&gt;","plainTextFormattedCitation":"46","previouslyFormattedCitation":"&lt;sup&gt;46&lt;/sup&gt;"},"properties":{"noteIndex":0},"schema":"https://github.com/citation-style-language/schema/raw/master/csl-citation.json"}</w:instrText>
      </w:r>
      <w:r w:rsidR="00A70F4B" w:rsidRPr="0003073C">
        <w:rPr>
          <w:lang w:val="en-GB"/>
        </w:rPr>
        <w:fldChar w:fldCharType="separate"/>
      </w:r>
      <w:r w:rsidR="000B1498" w:rsidRPr="0003073C">
        <w:rPr>
          <w:noProof/>
          <w:vertAlign w:val="superscript"/>
          <w:lang w:val="en-GB"/>
        </w:rPr>
        <w:t>46</w:t>
      </w:r>
      <w:r w:rsidR="00A70F4B" w:rsidRPr="0003073C">
        <w:rPr>
          <w:lang w:val="en-GB"/>
        </w:rPr>
        <w:fldChar w:fldCharType="end"/>
      </w:r>
      <w:r w:rsidR="00074289" w:rsidRPr="0003073C">
        <w:rPr>
          <w:lang w:val="en-GB"/>
        </w:rPr>
        <w:t xml:space="preserve"> showing that  ≤25% to ≤50%, of patients achieve target doses </w:t>
      </w:r>
      <w:r w:rsidRPr="0003073C">
        <w:rPr>
          <w:lang w:val="en-GB"/>
        </w:rPr>
        <w:t>of</w:t>
      </w:r>
      <w:r w:rsidR="00074289" w:rsidRPr="0003073C">
        <w:rPr>
          <w:lang w:val="en-GB"/>
        </w:rPr>
        <w:t xml:space="preserve"> β-blockers</w:t>
      </w:r>
      <w:r w:rsidR="00574C89" w:rsidRPr="0003073C">
        <w:rPr>
          <w:lang w:val="en-GB"/>
        </w:rPr>
        <w:fldChar w:fldCharType="begin" w:fldLock="1"/>
      </w:r>
      <w:r w:rsidR="0019034B" w:rsidRPr="0003073C">
        <w:rPr>
          <w:lang w:val="en-GB"/>
        </w:rPr>
        <w:instrText>ADDIN CSL_CITATION {"citationItems":[{"id":"ITEM-1","itemData":{"DOI":"10.1016/j.jacc.2017.03.563","ISSN":"1558-3597","PMID":"28521892","abstract":"Heart failure (HF) is associated with significant morbidity and mortality. Although initially thought to be harmful in HF, beta-adrenergic blockers (β-blockers) have consistently been shown to reduce mortality and HF hospitalization in chronic HF with reduced ejection fraction. Proposed mechanisms include neurohormonal blockade and heart rate reduction. A new therapeutic agent now exists to target further heart rate lowering in patients who have been stable on a \"maximally tolerated β-blocker dose,\" but this definition and how to achieve it are incompletely understood. In this review, the authors summarize published reports on the mechanisms by which β-blockers improve clinical outcomes. The authors describe differences in doses achieved in landmark clinical trials and those observed in routine clinical practice. They further discuss reasons for intolerance and the evidence behind using β-blocker dose and heart rate as therapeutic targets. Finally, the authors offer recommendations for clinicians actively initiating and up-titrating β-blockers that may aid in achieving maximally tolerated doses.","author":[{"dropping-particle":"","family":"Bhatt","given":"Ankeet S.","non-dropping-particle":"","parse-names":false,"suffix":""},{"dropping-particle":"","family":"DeVore","given":"Adam D.","non-dropping-particle":"","parse-names":false,"suffix":""},{"dropping-particle":"","family":"DeWald","given":"Tracy A.","non-dropping-particle":"","parse-names":false,"suffix":""},{"dropping-particle":"","family":"Swedberg","given":"Karl","non-dropping-particle":"","parse-names":false,"suffix":""},{"dropping-particle":"","family":"Mentz","given":"Robert J.","non-dropping-particle":"","parse-names":false,"suffix":""}],"container-title":"Journal of the American College of Cardiology","id":"ITEM-1","issue":"20","issued":{"date-parts":[["2017","5","23"]]},"page":"2542-2550","title":"Achieving a Maximally Tolerated β-Blocker Dose in Heart Failure Patients: Is There Room for Improvement?","type":"article-journal","volume":"69"},"uris":["http://www.mendeley.com/documents/?uuid=af7f5b61-8a8b-4f87-a80f-3042e322e8bb"]}],"mendeley":{"formattedCitation":"&lt;sup&gt;42&lt;/sup&gt;","plainTextFormattedCitation":"42","previouslyFormattedCitation":"&lt;sup&gt;42&lt;/sup&gt;"},"properties":{"noteIndex":0},"schema":"https://github.com/citation-style-language/schema/raw/master/csl-citation.json"}</w:instrText>
      </w:r>
      <w:r w:rsidR="00574C89" w:rsidRPr="0003073C">
        <w:rPr>
          <w:lang w:val="en-GB"/>
        </w:rPr>
        <w:fldChar w:fldCharType="separate"/>
      </w:r>
      <w:r w:rsidR="000B1498" w:rsidRPr="0003073C">
        <w:rPr>
          <w:noProof/>
          <w:vertAlign w:val="superscript"/>
          <w:lang w:val="en-GB"/>
        </w:rPr>
        <w:t>42</w:t>
      </w:r>
      <w:r w:rsidR="00574C89" w:rsidRPr="0003073C">
        <w:rPr>
          <w:lang w:val="en-GB"/>
        </w:rPr>
        <w:fldChar w:fldCharType="end"/>
      </w:r>
      <w:r w:rsidR="00341D39" w:rsidRPr="0003073C">
        <w:rPr>
          <w:lang w:val="en-GB"/>
        </w:rPr>
        <w:t>.</w:t>
      </w:r>
      <w:r w:rsidR="00E30A5D" w:rsidRPr="0003073C">
        <w:rPr>
          <w:lang w:val="en-GB"/>
        </w:rPr>
        <w:t xml:space="preserve"> </w:t>
      </w:r>
      <w:r w:rsidR="008035A4" w:rsidRPr="0003073C">
        <w:rPr>
          <w:lang w:val="en-GB"/>
        </w:rPr>
        <w:t>Reason</w:t>
      </w:r>
      <w:r w:rsidR="0047613E" w:rsidRPr="0003073C">
        <w:rPr>
          <w:lang w:val="en-GB"/>
        </w:rPr>
        <w:t>s for failure to achieve guideline-targeted doses are multifactorial</w:t>
      </w:r>
      <w:r w:rsidRPr="0003073C">
        <w:rPr>
          <w:lang w:val="en-GB"/>
        </w:rPr>
        <w:t xml:space="preserve"> and include</w:t>
      </w:r>
      <w:r w:rsidR="00841DFA" w:rsidRPr="0003073C">
        <w:rPr>
          <w:lang w:val="en-GB"/>
        </w:rPr>
        <w:t xml:space="preserve"> patients’ clinical status,</w:t>
      </w:r>
      <w:r w:rsidR="00535C05" w:rsidRPr="0003073C">
        <w:rPr>
          <w:lang w:val="en-GB"/>
        </w:rPr>
        <w:t xml:space="preserve"> </w:t>
      </w:r>
      <w:r w:rsidR="00841DFA" w:rsidRPr="0003073C">
        <w:rPr>
          <w:lang w:val="en-GB"/>
        </w:rPr>
        <w:t xml:space="preserve">drug </w:t>
      </w:r>
      <w:r w:rsidR="00535C05" w:rsidRPr="0003073C">
        <w:rPr>
          <w:lang w:val="en-GB"/>
        </w:rPr>
        <w:t xml:space="preserve">intolerance </w:t>
      </w:r>
      <w:r w:rsidR="00841DFA" w:rsidRPr="0003073C">
        <w:rPr>
          <w:lang w:val="en-GB"/>
        </w:rPr>
        <w:t>or</w:t>
      </w:r>
      <w:r w:rsidR="00535C05" w:rsidRPr="0003073C">
        <w:rPr>
          <w:lang w:val="en-GB"/>
        </w:rPr>
        <w:t xml:space="preserve"> </w:t>
      </w:r>
      <w:r w:rsidR="0047613E" w:rsidRPr="0003073C">
        <w:rPr>
          <w:lang w:val="en-GB"/>
        </w:rPr>
        <w:t>adverse effects</w:t>
      </w:r>
      <w:r w:rsidR="00841DFA" w:rsidRPr="0003073C">
        <w:rPr>
          <w:lang w:val="en-GB"/>
        </w:rPr>
        <w:t xml:space="preserve"> (for instance hypotension, bradycardia</w:t>
      </w:r>
      <w:r w:rsidR="0047613E" w:rsidRPr="0003073C">
        <w:rPr>
          <w:lang w:val="en-GB"/>
        </w:rPr>
        <w:t>,</w:t>
      </w:r>
      <w:r w:rsidR="00841DFA" w:rsidRPr="0003073C">
        <w:rPr>
          <w:lang w:val="en-GB"/>
        </w:rPr>
        <w:t xml:space="preserve"> renal impairment, hyperkalaemia, and other real or perceived side effects),</w:t>
      </w:r>
      <w:r w:rsidR="0047613E" w:rsidRPr="0003073C">
        <w:rPr>
          <w:lang w:val="en-GB"/>
        </w:rPr>
        <w:t xml:space="preserve"> </w:t>
      </w:r>
      <w:r w:rsidR="00841DFA" w:rsidRPr="0003073C">
        <w:rPr>
          <w:lang w:val="en-GB"/>
        </w:rPr>
        <w:t xml:space="preserve">physicians’ </w:t>
      </w:r>
      <w:r w:rsidR="0047613E" w:rsidRPr="0003073C">
        <w:rPr>
          <w:lang w:val="en-GB"/>
        </w:rPr>
        <w:t xml:space="preserve">prescribing patterns, </w:t>
      </w:r>
      <w:r w:rsidR="00841DFA" w:rsidRPr="0003073C">
        <w:rPr>
          <w:lang w:val="en-GB"/>
        </w:rPr>
        <w:t xml:space="preserve">polypharmacy and lack of compliance, as well as </w:t>
      </w:r>
      <w:r w:rsidR="001E1438" w:rsidRPr="0003073C">
        <w:rPr>
          <w:lang w:val="en-GB"/>
        </w:rPr>
        <w:t>cost constraints</w:t>
      </w:r>
      <w:r w:rsidR="002A6402" w:rsidRPr="0003073C">
        <w:rPr>
          <w:lang w:val="en-GB"/>
        </w:rPr>
        <w:fldChar w:fldCharType="begin" w:fldLock="1"/>
      </w:r>
      <w:r w:rsidR="0019034B" w:rsidRPr="0003073C">
        <w:rPr>
          <w:lang w:val="en-GB"/>
        </w:rPr>
        <w:instrText>ADDIN CSL_CITATION {"citationItems":[{"id":"ITEM-1","itemData":{"DOI":"10.1016/j.jacc.2019.03.464","ISSN":"1558-3597","PMID":"31097156","author":[{"dropping-particle":"","family":"Bozkurt","given":"Biykem","non-dropping-particle":"","parse-names":false,"suffix":""}],"container-title":"Journal of the American College of Cardiology","id":"ITEM-1","issue":"19","issued":{"date-parts":[["2019","5","21"]]},"page":"2384-2387","title":"Reasons for Lack of Improvement in Treatment With Evidence-Based Therapies in Heart Failure.","type":"article-journal","volume":"73"},"uris":["http://www.mendeley.com/documents/?uuid=f7552634-10fb-4139-b504-3d30757d3edf"]}],"mendeley":{"formattedCitation":"&lt;sup&gt;47&lt;/sup&gt;","plainTextFormattedCitation":"47","previouslyFormattedCitation":"&lt;sup&gt;47&lt;/sup&gt;"},"properties":{"noteIndex":0},"schema":"https://github.com/citation-style-language/schema/raw/master/csl-citation.json"}</w:instrText>
      </w:r>
      <w:r w:rsidR="002A6402" w:rsidRPr="0003073C">
        <w:rPr>
          <w:lang w:val="en-GB"/>
        </w:rPr>
        <w:fldChar w:fldCharType="separate"/>
      </w:r>
      <w:r w:rsidR="000B1498" w:rsidRPr="0003073C">
        <w:rPr>
          <w:noProof/>
          <w:vertAlign w:val="superscript"/>
          <w:lang w:val="en-GB"/>
        </w:rPr>
        <w:t>47</w:t>
      </w:r>
      <w:r w:rsidR="002A6402" w:rsidRPr="0003073C">
        <w:rPr>
          <w:lang w:val="en-GB"/>
        </w:rPr>
        <w:fldChar w:fldCharType="end"/>
      </w:r>
      <w:r w:rsidR="00886C7C" w:rsidRPr="0003073C">
        <w:rPr>
          <w:lang w:val="en-GB"/>
        </w:rPr>
        <w:t>.</w:t>
      </w:r>
      <w:r w:rsidR="006978BE" w:rsidRPr="0003073C">
        <w:rPr>
          <w:lang w:val="en-GB"/>
        </w:rPr>
        <w:t xml:space="preserve"> </w:t>
      </w:r>
      <w:r w:rsidR="00244805" w:rsidRPr="0003073C">
        <w:rPr>
          <w:lang w:val="en-GB"/>
        </w:rPr>
        <w:t xml:space="preserve">Our results are consistent with contemporary US-based data, with the recently reported </w:t>
      </w:r>
      <w:r w:rsidR="00F11491" w:rsidRPr="0003073C">
        <w:rPr>
          <w:lang w:val="en-GB"/>
        </w:rPr>
        <w:t>CHAMP-HF (Change the Management of Patients with Heart Failure) registry</w:t>
      </w:r>
      <w:r w:rsidR="00574C89" w:rsidRPr="0003073C">
        <w:rPr>
          <w:lang w:val="en-GB"/>
        </w:rPr>
        <w:fldChar w:fldCharType="begin" w:fldLock="1"/>
      </w:r>
      <w:r w:rsidR="0019034B" w:rsidRPr="0003073C">
        <w:rPr>
          <w:lang w:val="en-GB"/>
        </w:rPr>
        <w:instrText>ADDIN CSL_CITATION {"citationItems":[{"id":"ITEM-1","itemData":{"DOI":"10.1016/j.jacc.2018.04.070","ISSN":"1558-3597","PMID":"30025570","abstract":"BACKGROUND Guidelines strongly recommend patients with heart failure with reduced ejection fraction (HFrEF) be treated with multiple medications proven to improve clinical outcomes, as tolerated. The degree to which gaps in medication use and dosing persist in contemporary outpatient practice is unclear. OBJECTIVES This study sought to characterize patterns and factors associated with use and dose of HFrEF medications in current practice. METHODS The CHAMP-HF (Change the Management of Patients with Heart Failure) registry included outpatients in the United States with chronic HFrEF receiving at least 1 oral medication for management of HF. Patients were characterized by baseline use and dose of angiotensin-converting enzyme inhibitor (ACEI)/angiotensin II receptor blocker (ARB), angiotensin receptor neprilysin inhibitor (ARNI), beta-blocker, and mineralocorticoid receptor antagonist (MRA). Patient-level factors associated with medication use were examined. RESULTS Overall, 3,518 patients from 150 primary care and cardiology practices were included. Mean age was 66 ± 13 years, 29% were female, and mean EF was 29 ± 8%. Among eligible patients, 27%, 33%, and 67% were not prescribed ACEI/ARB/ARNI, beta-blocker, and MRA therapy, respectively. When medications were prescribed, few patients were receiving target doses of ACEI/ARB (17%), ARNI (14%), and beta-blocker (28%), whereas most patients were receiving target doses of MRA therapy (77%). Among patients eligible for all classes of medication, 1% were simultaneously receiving target doses of ACE/ARB/ARNI, beta-blocker, and MRA. In adjusted models, older age, lower blood pressure, more severe functional class, renal insufficiency, and recent HF hospitalization generally favored lower medication utilization or dose. Social and economic characteristics were not independently associated with medication use or dose. CONCLUSIONS In this contemporary outpatient HFrEF registry, significant gaps in use and dose of guideline-directed medical therapy remain. Multiple clinical factors were associated with medication use and dose prescribed. Strategies to improve guideline-directed use of HFrEF medications remain urgently needed, and these findings may inform targeted approaches to optimize outpatient medical therapy.","author":[{"dropping-particle":"","family":"Greene","given":"Stephen J.","non-dropping-particle":"","parse-names":false,"suffix":""},{"dropping-particle":"","family":"Butler","given":"Javed","non-dropping-particle":"","parse-names":false,"suffix":""},{"dropping-particle":"","family":"Albert","given":"Nancy M.","non-dropping-particle":"","parse-names":false,"suffix":""},{"dropping-particle":"","family":"DeVore","given":"Adam D.","non-dropping-particle":"","parse-names":false,"suffix":""},{"dropping-particle":"","family":"Sharma","given":"Puza P.","non-dropping-particle":"","parse-names":false,"suffix":""},{"dropping-particle":"","family":"Duffy","given":"Carol I.","non-dropping-particle":"","parse-names":false,"suffix":""},{"dropping-particle":"","family":"Hill","given":"C. Larry","non-dropping-particle":"","parse-names":false,"suffix":""},{"dropping-particle":"","family":"McCague","given":"Kevin","non-dropping-particle":"","parse-names":false,"suffix":""},{"dropping-particle":"","family":"Mi","given":"Xiaojuan","non-dropping-particle":"","parse-names":false,"suffix":""},{"dropping-particle":"","family":"Patterson","given":"J. Herbert","non-dropping-particle":"","parse-names":false,"suffix":""},{"dropping-particle":"","family":"Spertus","given":"John A.","non-dropping-particle":"","parse-names":false,"suffix":""},{"dropping-particle":"","family":"Thomas","given":"Laine","non-dropping-particle":"","parse-names":false,"suffix":""},{"dropping-particle":"","family":"Williams","given":"Fredonia B.","non-dropping-particle":"","parse-names":false,"suffix":""},{"dropping-particle":"","family":"Hernandez","given":"Adrian F.","non-dropping-particle":"","parse-names":false,"suffix":""},{"dropping-particle":"","family":"Fonarow","given":"Gregg C.","non-dropping-particle":"","parse-names":false,"suffix":""}],"container-title":"Journal of the American College of Cardiology","id":"ITEM-1","issue":"4","issued":{"date-parts":[["2018"]]},"page":"351-366","title":"Medical Therapy for Heart Failure With Reduced Ejection Fraction: The CHAMP-HF Registry.","type":"article-journal","volume":"72"},"uris":["http://www.mendeley.com/documents/?uuid=e78bc10a-2a98-4119-a068-18c5cfa602a4"]},{"id":"ITEM-2","itemData":{"DOI":"10.1016/j.jchf.2018.11.011","ISSN":"2213-1787","PMID":"30738978","abstract":"OBJECTIVES This study sought to determine the rate of use of target doses of foundational guideline-directed medical therapy (GDMT) in a contemporary cohort of patients with heart failure with reduced ejection fraction (HFrEF) across systolic blood pressure (SBP) categories. BACKGROUND Patients with HFrEF are infrequently titrated to recommended doses of GDMT. The relationship between SBP and achieving GDMT target doses is not well studied. METHODS Patients enrolled in the CHAMP-HF (Change the Management of Patients With Heart Failure) registry without documented intolerance to angiotensin-converting enzyme inhibitors (ACEIs), angiotensin receptor blockers (ARBs), angiotensin receptor-neprilysin inhibitors (ARNIs), and beta blockers (BBs) were assessed at enrollment. We estimated the proportion receiving target doses (% of target dose [95% confidence interval (CI)]) based on the most recent American College of Cardiology/American Heart Association/Heart Failure Society of America heart failure guidelines at baseline in all patients, and by SBP category (≥110 vs. &lt;110 mm Hg). RESULTS Of the 3,095 patients eligible for analysis, 2,421 (78.2%) had SBP ≥110 mm Hg. The proportion of patients receiving target doses were 18.7% (95% CI: 17.3% to 20.0%; BB), 10.8% (95% CI: 9.7% to 11.9%; ACEI/ARB), and 2.0% (95% CI: 1.5% to 2.5%; ARNI). Among those with SBP &lt;110 mm Hg (n = 674), 17.5% (95% CI: 14.6% to 20.4%; BB), 6.2% (95% CI: 4.4% to 8.1%; ACEI/ARB), and 1.8% (95% CI: 0.8% to 2.8%; ARNI) were receiving target doses. Among those with SBP ≥110 mm Hg (n = 2,421), 19.0% (95% CI: 17.4% to 20.6%; BB), 12.1% (95% CI: 10.8% to 13.4%; ACEI/ARB), and 2.0% (95% CI: 1.5% to 2.6%; ARNI) were receiving target doses. CONCLUSIONS In a large, contemporary registry of outpatients with chronic HFrEF eligible for treatment with BBs and ACEI/ARB/ARNI, &lt;20% of patients were receiving target doses, even among those with SBP ≥110 mm Hg.","author":[{"dropping-particle":"","family":"Peri-Okonny","given":"Poghni A.","non-dropping-particle":"","parse-names":false,"suffix":""},{"dropping-particle":"","family":"Mi","given":"Xiaojuan","non-dropping-particle":"","parse-names":false,"suffix":""},{"dropping-particle":"","family":"Khariton","given":"Yevgeniy","non-dropping-particle":"","parse-names":false,"suffix":""},{"dropping-particle":"","family":"Patel","given":"Krishna K.","non-dropping-particle":"","parse-names":false,"suffix":""},{"dropping-particle":"","family":"Thomas","given":"Laine","non-dropping-particle":"","parse-names":false,"suffix":""},{"dropping-particle":"","family":"Fonarow","given":"Gregg C.","non-dropping-particle":"","parse-names":false,"suffix":""},{"dropping-particle":"","family":"Sharma","given":"Puza P.","non-dropping-particle":"","parse-names":false,"suffix":""},{"dropping-particle":"","family":"Duffy","given":"Carol I.","non-dropping-particle":"","parse-names":false,"suffix":""},{"dropping-particle":"","family":"Albert","given":"Nancy M.","non-dropping-particle":"","parse-names":false,"suffix":""},{"dropping-particle":"","family":"Butler","given":"Javed","non-dropping-particle":"","parse-names":false,"suffix":""},{"dropping-particle":"","family":"Hernandez","given":"Adrian F.","non-dropping-particle":"","parse-names":false,"suffix":""},{"dropping-particle":"","family":"McCague","given":"Kevin","non-dropping-particle":"","parse-names":false,"suffix":""},{"dropping-particle":"","family":"Williams","given":"Fredonia B.","non-dropping-particle":"","parse-names":false,"suffix":""},{"dropping-particle":"","family":"DeVore","given":"Adam D.","non-dropping-particle":"","parse-names":false,"suffix":""},{"dropping-particle":"","family":"Patterson","given":"J. Herbert","non-dropping-particle":"","parse-names":false,"suffix":""},{"dropping-particle":"","family":"Spertus","given":"John A.","non-dropping-particle":"","parse-names":false,"suffix":""}],"container-title":"JACC. Heart failure","id":"ITEM-2","issue":"4","issued":{"date-parts":[["2019","4"]]},"page":"350-358","title":"Target Doses of Heart Failure Medical Therapy and Blood Pressure: Insights From the CHAMP-HF Registry.","type":"article-journal","volume":"7"},"uris":["http://www.mendeley.com/documents/?uuid=e3c83f18-8013-462f-91c3-36f6d5b57ea1"]}],"mendeley":{"formattedCitation":"&lt;sup&gt;38,39&lt;/sup&gt;","plainTextFormattedCitation":"38,39","previouslyFormattedCitation":"&lt;sup&gt;38,39&lt;/sup&gt;"},"properties":{"noteIndex":0},"schema":"https://github.com/citation-style-language/schema/raw/master/csl-citation.json"}</w:instrText>
      </w:r>
      <w:r w:rsidR="00574C89" w:rsidRPr="0003073C">
        <w:rPr>
          <w:lang w:val="en-GB"/>
        </w:rPr>
        <w:fldChar w:fldCharType="separate"/>
      </w:r>
      <w:r w:rsidR="000B1498" w:rsidRPr="0003073C">
        <w:rPr>
          <w:noProof/>
          <w:vertAlign w:val="superscript"/>
          <w:lang w:val="en-GB"/>
        </w:rPr>
        <w:t>38,39</w:t>
      </w:r>
      <w:r w:rsidR="00574C89" w:rsidRPr="0003073C">
        <w:rPr>
          <w:lang w:val="en-GB"/>
        </w:rPr>
        <w:fldChar w:fldCharType="end"/>
      </w:r>
      <w:r w:rsidR="00244805" w:rsidRPr="0003073C">
        <w:rPr>
          <w:lang w:val="en-GB"/>
        </w:rPr>
        <w:t xml:space="preserve"> showing that &lt;20% of eligible patients were receiving target doses of </w:t>
      </w:r>
      <w:proofErr w:type="spellStart"/>
      <w:r w:rsidR="00244805" w:rsidRPr="0003073C">
        <w:rPr>
          <w:lang w:val="en-GB"/>
        </w:rPr>
        <w:t>ACEi</w:t>
      </w:r>
      <w:proofErr w:type="spellEnd"/>
      <w:r w:rsidR="00244805" w:rsidRPr="0003073C">
        <w:rPr>
          <w:lang w:val="en-GB"/>
        </w:rPr>
        <w:t xml:space="preserve">/ARBs and β-blockers, even among those with systolic blood pressure ≥110 mm Hg, and a remarkably low 1% of patients receiving target doses of </w:t>
      </w:r>
      <w:proofErr w:type="spellStart"/>
      <w:r w:rsidR="00244805" w:rsidRPr="0003073C">
        <w:rPr>
          <w:lang w:val="en-GB"/>
        </w:rPr>
        <w:t>ACEi</w:t>
      </w:r>
      <w:proofErr w:type="spellEnd"/>
      <w:r w:rsidR="00244805" w:rsidRPr="0003073C">
        <w:rPr>
          <w:lang w:val="en-GB"/>
        </w:rPr>
        <w:t xml:space="preserve">/ARBs, β-blockers and MRAs. The CHAMP-HF registry also systematically analysed reasons for lack of up-titration of medications and found that among those who were treated with </w:t>
      </w:r>
      <w:proofErr w:type="spellStart"/>
      <w:r w:rsidR="00244805" w:rsidRPr="0003073C">
        <w:rPr>
          <w:lang w:val="en-GB"/>
        </w:rPr>
        <w:t>ACEi</w:t>
      </w:r>
      <w:proofErr w:type="spellEnd"/>
      <w:r w:rsidR="00244805" w:rsidRPr="0003073C">
        <w:rPr>
          <w:lang w:val="en-GB"/>
        </w:rPr>
        <w:t>/ARBs, higher systolic blood pressure</w:t>
      </w:r>
      <w:r w:rsidR="00AF42AE" w:rsidRPr="0003073C">
        <w:rPr>
          <w:lang w:val="en-GB"/>
        </w:rPr>
        <w:t xml:space="preserve"> and </w:t>
      </w:r>
      <w:r w:rsidR="00244805" w:rsidRPr="0003073C">
        <w:rPr>
          <w:lang w:val="en-GB"/>
        </w:rPr>
        <w:t>a history of hypertension</w:t>
      </w:r>
      <w:r w:rsidR="00AF42AE" w:rsidRPr="0003073C">
        <w:rPr>
          <w:lang w:val="en-GB"/>
        </w:rPr>
        <w:t xml:space="preserve"> (for </w:t>
      </w:r>
      <w:proofErr w:type="spellStart"/>
      <w:r w:rsidR="00AF42AE" w:rsidRPr="0003073C">
        <w:rPr>
          <w:lang w:val="en-GB"/>
        </w:rPr>
        <w:t>ACEi</w:t>
      </w:r>
      <w:proofErr w:type="spellEnd"/>
      <w:r w:rsidR="00AF42AE" w:rsidRPr="0003073C">
        <w:rPr>
          <w:lang w:val="en-GB"/>
        </w:rPr>
        <w:t>/ARBs)</w:t>
      </w:r>
      <w:r w:rsidR="00244805" w:rsidRPr="0003073C">
        <w:rPr>
          <w:lang w:val="en-GB"/>
        </w:rPr>
        <w:t>, black race</w:t>
      </w:r>
      <w:r w:rsidR="00AF42AE" w:rsidRPr="0003073C">
        <w:rPr>
          <w:lang w:val="en-GB"/>
        </w:rPr>
        <w:t>,</w:t>
      </w:r>
      <w:r w:rsidR="00244805" w:rsidRPr="0003073C">
        <w:rPr>
          <w:lang w:val="en-GB"/>
        </w:rPr>
        <w:t xml:space="preserve"> and obesity/diabetes (for β-blockers) were associated with achieving target doses; whereas prior HF hospitalization within 12 months, asthma/ chronic obstructive pulmonary disease, and NYHA functional class III/IV status were</w:t>
      </w:r>
      <w:r w:rsidR="00AF42AE" w:rsidRPr="0003073C">
        <w:rPr>
          <w:lang w:val="en-GB"/>
        </w:rPr>
        <w:t xml:space="preserve"> </w:t>
      </w:r>
      <w:r w:rsidR="00244805" w:rsidRPr="0003073C">
        <w:rPr>
          <w:lang w:val="en-GB"/>
        </w:rPr>
        <w:t>associated with sub-target doses.</w:t>
      </w:r>
      <w:r w:rsidR="0091599A" w:rsidRPr="0003073C">
        <w:rPr>
          <w:lang w:val="en-GB"/>
        </w:rPr>
        <w:t xml:space="preserve"> </w:t>
      </w:r>
      <w:r w:rsidR="0041427D" w:rsidRPr="0003073C">
        <w:rPr>
          <w:rFonts w:eastAsia="Times New Roman" w:cstheme="minorHAnsi"/>
          <w:lang w:val="en-US"/>
        </w:rPr>
        <w:t xml:space="preserve">For all-cause mortality, graduated decreases in relative risk of deaths with increasing doses of </w:t>
      </w:r>
      <w:proofErr w:type="spellStart"/>
      <w:r w:rsidR="0041427D" w:rsidRPr="0003073C">
        <w:rPr>
          <w:rFonts w:eastAsia="Times New Roman" w:cstheme="minorHAnsi"/>
          <w:lang w:val="en-US"/>
        </w:rPr>
        <w:t>ACEi</w:t>
      </w:r>
      <w:proofErr w:type="spellEnd"/>
      <w:r w:rsidR="0041427D" w:rsidRPr="0003073C">
        <w:rPr>
          <w:rFonts w:eastAsia="Times New Roman" w:cstheme="minorHAnsi"/>
          <w:lang w:val="en-US"/>
        </w:rPr>
        <w:t>/ARBs and beta-blockers were observed (Figure 2b). In contrast, the association of high doses of medications observed in HFH (Figure 2c), could potentially stem from other non-medical factors, e.g. limited access to care; differences in health care systems across geography, particularly in regard to coordinated primary care following discharge; variation in delivery and quality of cardiac care, and others as reported in the QUALIFY international registry</w:t>
      </w:r>
      <w:r w:rsidR="0041427D" w:rsidRPr="0003073C">
        <w:rPr>
          <w:rFonts w:eastAsia="Times New Roman" w:cstheme="minorHAnsi"/>
          <w:lang w:val="en-US"/>
        </w:rPr>
        <w:fldChar w:fldCharType="begin" w:fldLock="1"/>
      </w:r>
      <w:r w:rsidR="0019034B" w:rsidRPr="0003073C">
        <w:rPr>
          <w:rFonts w:eastAsia="Times New Roman" w:cstheme="minorHAnsi"/>
          <w:lang w:val="en-US"/>
        </w:rPr>
        <w:instrText>ADDIN CSL_CITATION {"citationItems":[{"id":"ITEM-1","itemData":{"DOI":"10.1002/ejhf.510","ISSN":"1879-0844","PMID":"27095461","abstract":"AIMS To assess physicians' adherence to guideline-recommended medications for the treatment of chronic heart failure (CHF) with reduced ejection fraction. METHODS AND RESULTS QUALIFY is an international prospective observational longitudinal survey of 7092 CHF outpatients recruited 1-15 months after hospitalization for heart failure from September 2013 to December 2014 in 547 centres in 36 countries. We constructed a five-class guideline adherence score for angiotensin converting enzyme inhibitors (ACEIs), beta-blockers, angiotensin receptor blockers (ARBs), mineralocorticoid receptor antagonists, and ivabradine. The adherence score was good in 67%, moderate in 25%, and poor in 8% of patients. Adherence was lower in women than men but there were differences in age (65.7 ± 12.5 years women vs. 62.2 ± 12.4 years men, P &lt; 0.001) and the proportion of women at ≥50% target dose of beta-blockers was lower in those &gt;67 years (median) (11% vs. 16.2%, P = 0.005). Geographic variations were observed with lower adherence scores in Central/Eastern European countries. The proportion of patients at target dose and ≥50% of target dose was low (27.9% and 63.3% for ACEIs, 14.8% and 51.8% for beta-blockers, 6.9% and 39.5% for ARBs, and 6.9% and 39.5% for ivabradine, respectively). It was also lower in patients most recently hospitalized (&lt;6 vs. ≥6 months) except for beta-blockers. CONCLUSION This international survey shows that adherence to guideline-recommended medications is relatively satisfactory but the dosage of recommended CHF medications is usually suboptimal. Action plans aimed at improving adherence to guidelines are required.","author":[{"dropping-particle":"","family":"Komajda","given":"Michel","non-dropping-particle":"","parse-names":false,"suffix":""},{"dropping-particle":"","family":"Anker","given":"Stefan D.","non-dropping-particle":"","parse-names":false,"suffix":""},{"dropping-particle":"","family":"Cowie","given":"Martin R.","non-dropping-particle":"","parse-names":false,"suffix":""},{"dropping-particle":"","family":"Filippatos","given":"Gerasimos S.","non-dropping-particle":"","parse-names":false,"suffix":""},{"dropping-particle":"","family":"Mengelle","given":"Bastian","non-dropping-particle":"","parse-names":false,"suffix":""},{"dropping-particle":"","family":"Ponikowski","given":"Piotr","non-dropping-particle":"","parse-names":false,"suffix":""},{"dropping-particle":"","family":"Tavazzi","given":"Luigi","non-dropping-particle":"","parse-names":false,"suffix":""},{"dropping-particle":"","family":"QUALIFY Investigators","given":"","non-dropping-particle":"","parse-names":false,"suffix":""}],"container-title":"European journal of heart failure","id":"ITEM-1","issue":"5","issued":{"date-parts":[["2016"]]},"page":"514-22","title":"Physicians' adherence to guideline-recommended medications in heart failure with reduced ejection fraction: data from the QUALIFY global survey.","type":"article-journal","volume":"18"},"uris":["http://www.mendeley.com/documents/?uuid=59daeeab-bc0f-48c7-884f-779d03c14177"]},{"id":"ITEM-2","itemData":{"DOI":"10.1002/ejhf.887","ISSN":"1879-0844","PMID":"28463464","abstract":"AIMS To evaluate the impact of physicians' adherence to guideline-recommended medications for heart failure with reduced ejection fraction (HFrEF), including ≥50% prescription of recommended doses, on clinical outcomes at 6-month follow-up. METHODS AND RESULTS In QUALIFY, an international, prospective, observational, longitudinal survey, 6669 outpatients with HFrEF were recruited 1-15 months after heart failure (HF) hospitalization from September 2013 to December 2014 in 36 countries and followed up at 6 months. A global adherence to guidelines score was developed for prescription of angiotensin-converting enzyme inhibitors (ACEIs), angiotensin receptor blockers (ARBs), beta-blockers (BBs), mineralocorticoid receptor antagonists (MRAs) and ivabradine and their dosages. Baseline global adherence score was good in 23% of patients, moderate in 55%, and poor in 22%. At 6-month follow-up, poor adherence was associated with significantly higher overall mortality [hazard ratio (HR) 2.21, 95% confidence interval (CI) 1.42-3.44, P=0.001], cardiovascular mortality (HR 2.27, 95% CI 1.36-3.77, P=0.003), HF mortality (HR 2.26, 95% CI 1.21-4.2, P=0.032), combined HF hospitalization or HF death (HR 1.26, 95% CI 1.08-1.71, P=0.024) and cardiovascular hospitalization or cardiovascular death (HR 1.35, 95% CI 1.08-1.69, P=0.013). There was a strong trend between poor adherence and HF hospitalization (HR 1.32, 95% CI 1.04-1.68, P=0.069). CONCLUSION Good adherence to pharmacologic treatment guidelines for ACEIs, ARBs, BBs, MRAs and ivabradine, with prescription of at least 50% of recommended dosages, was associated with better clinical outcomes during 6-month follow-up. Continuing global educational initiatives are needed to emphasise the importance of guideline recommendations for optimising drug therapy and prescribing evidence-based doses in clinical practice.","author":[{"dropping-particle":"","family":"Komajda","given":"Michel","non-dropping-particle":"","parse-names":false,"suffix":""},{"dropping-particle":"","family":"Cowie","given":"Martin R.","non-dropping-particle":"","parse-names":false,"suffix":""},{"dropping-particle":"","family":"Tavazzi","given":"Luigi","non-dropping-particle":"","parse-names":false,"suffix":""},{"dropping-particle":"","family":"Ponikowski","given":"Piotr","non-dropping-particle":"","parse-names":false,"suffix":""},{"dropping-particle":"","family":"Anker","given":"Stefan D.","non-dropping-particle":"","parse-names":false,"suffix":""},{"dropping-particle":"","family":"Filippatos","given":"Gerasimos S.","non-dropping-particle":"","parse-names":false,"suffix":""},{"dropping-particle":"","family":"QUALIFY Investigators","given":"","non-dropping-particle":"","parse-names":false,"suffix":""}],"container-title":"European journal of heart failure","id":"ITEM-2","issue":"11","issued":{"date-parts":[["2017"]]},"page":"1414-1423","title":"Physicians' guideline adherence is associated with better prognosis in outpatients with heart failure with reduced ejection fraction: the QUALIFY international registry.","type":"article-journal","volume":"19"},"uris":["http://www.mendeley.com/documents/?uuid=3f24108d-7343-4ff0-beb0-f8f89158eed9"]},{"id":"ITEM-3","itemData":{"DOI":"10.1002/ejhf.1459","ISSN":"1879-0844","PMID":"30933403","abstract":"BACKGROUND Physicians' adherence to guideline-recommended therapy is associated with short-term clinical outcomes in heart failure (HF) with reduced ejection fraction (HFrEF). However, its impact on longer-term outcomes is poorly documented. Here, we present results from the 18-month follow-up of the QUALIFY registry. METHODS AND RESULTS Data at 18 months were available for 6118 ambulatory HFrEF patients from this international prospective observational survey. Adherence was measured as a continuous variable, ranging from 0 to 1, and was assessed for five classes of recommended HF medications and dosages. Most deaths were cardiovascular (CV) (228/394) and HF-related (191/394) and the same was true for unplanned hospitalizations (1175 CV and 861 HF-related hospitalizations, out of a total of 1541). According to univariable analysis, CV and HF deaths were significantly associated with physician adherence to guidelines. In multivariable analysis, HF death was associated with adherence level [subdistribution hazard ratio (SHR) 0.93, 95% confidence interval (CI) 0.87-0.99 per 0.1 unit adherence level increase; P = 0.034] as was composite of HF hospitalization or CV death (SHR 0.97, 95% CI 0.94-0.99 per 0.1 unit adherence level increase; P = 0.043), whereas unplanned all-cause, CV or HF hospitalizations were not (all-cause: SHR 0.99, 95% CI 0.9-1.02; CV: SHR 0.98, 95% CI 0.96-1.01; and HF: SHR 0.99, 95% CI 0.96-1.02 per 0.1 unit change in adherence score; P = 0.52, P = 0.2, and P = 0.4, respectively). CONCLUSION These results suggest that physicians' adherence to guideline-recommended HF therapies is associated with improved outcomes in HFrEF. Practical strategies should be established to improve physicians' adherence to guidelines.","author":[{"dropping-particle":"","family":"Komajda","given":"Michel","non-dropping-particle":"","parse-names":false,"suffix":""},{"dropping-particle":"","family":"Schöpe","given":"Jakob","non-dropping-particle":"","parse-names":false,"suffix":""},{"dropping-particle":"","family":"Wagenpfeil","given":"Stefan","non-dropping-particle":"","parse-names":false,"suffix":""},{"dropping-particle":"","family":"Tavazzi","given":"Luigi","non-dropping-particle":"","parse-names":false,"suffix":""},{"dropping-particle":"","family":"Böhm","given":"Michael","non-dropping-particle":"","parse-names":false,"suffix":""},{"dropping-particle":"","family":"Ponikowski","given":"Piotr","non-dropping-particle":"","parse-names":false,"suffix":""},{"dropping-particle":"","family":"Anker","given":"Stefan D.","non-dropping-particle":"","parse-names":false,"suffix":""},{"dropping-particle":"","family":"Filippatos","given":"Gerasimos S.","non-dropping-particle":"","parse-names":false,"suffix":""},{"dropping-particle":"","family":"Cowie","given":"Martin R.","non-dropping-particle":"","parse-names":false,"suffix":""},{"dropping-particle":"","family":"QUALIFY Investigators","given":"","non-dropping-particle":"","parse-names":false,"suffix":""}],"container-title":"European journal of heart failure","id":"ITEM-3","issue":"7","issued":{"date-parts":[["2019","7"]]},"page":"921-929","title":"Physicians' guideline adherence is associated with long-term heart failure mortality in outpatients with heart failure with reduced ejection fraction: the QUALIFY international registry.","type":"article-journal","volume":"21"},"uris":["http://www.mendeley.com/documents/?uuid=2a692b4d-4488-49d2-aabf-942a154aa1c1"]}],"mendeley":{"formattedCitation":"&lt;sup&gt;48–50&lt;/sup&gt;","plainTextFormattedCitation":"48–50","previouslyFormattedCitation":"&lt;sup&gt;48–50&lt;/sup&gt;"},"properties":{"noteIndex":0},"schema":"https://github.com/citation-style-language/schema/raw/master/csl-citation.json"}</w:instrText>
      </w:r>
      <w:r w:rsidR="0041427D" w:rsidRPr="0003073C">
        <w:rPr>
          <w:rFonts w:eastAsia="Times New Roman" w:cstheme="minorHAnsi"/>
          <w:lang w:val="en-US"/>
        </w:rPr>
        <w:fldChar w:fldCharType="separate"/>
      </w:r>
      <w:r w:rsidR="000B1498" w:rsidRPr="0003073C">
        <w:rPr>
          <w:rFonts w:eastAsia="Times New Roman" w:cstheme="minorHAnsi"/>
          <w:noProof/>
          <w:vertAlign w:val="superscript"/>
          <w:lang w:val="en-US"/>
        </w:rPr>
        <w:t>48–50</w:t>
      </w:r>
      <w:r w:rsidR="0041427D" w:rsidRPr="0003073C">
        <w:rPr>
          <w:rFonts w:eastAsia="Times New Roman" w:cstheme="minorHAnsi"/>
          <w:lang w:val="en-US"/>
        </w:rPr>
        <w:fldChar w:fldCharType="end"/>
      </w:r>
      <w:r w:rsidR="0041427D" w:rsidRPr="0003073C">
        <w:rPr>
          <w:rFonts w:eastAsia="Times New Roman" w:cstheme="minorHAnsi"/>
          <w:lang w:val="en-US"/>
        </w:rPr>
        <w:t>.</w:t>
      </w:r>
    </w:p>
    <w:p w14:paraId="6BEA763D" w14:textId="0FC845CA" w:rsidR="00223386" w:rsidRPr="0003073C" w:rsidRDefault="006F5B71" w:rsidP="007419B4">
      <w:pPr>
        <w:widowControl w:val="0"/>
        <w:spacing w:line="480" w:lineRule="auto"/>
        <w:rPr>
          <w:lang w:val="en-US"/>
        </w:rPr>
      </w:pPr>
      <w:r w:rsidRPr="0003073C">
        <w:rPr>
          <w:lang w:val="en-GB"/>
        </w:rPr>
        <w:lastRenderedPageBreak/>
        <w:t xml:space="preserve">In light of the known challenges in day-to-day practice of achieving </w:t>
      </w:r>
      <w:r w:rsidR="00A1363B" w:rsidRPr="0003073C">
        <w:rPr>
          <w:lang w:val="en-GB"/>
        </w:rPr>
        <w:t>100% target doses of combination therapies in HFrEF, o</w:t>
      </w:r>
      <w:r w:rsidRPr="0003073C">
        <w:rPr>
          <w:lang w:val="en-GB"/>
        </w:rPr>
        <w:t xml:space="preserve">ur results emphasize that “some is better than none”. These results </w:t>
      </w:r>
      <w:r w:rsidR="00AB591A" w:rsidRPr="0003073C">
        <w:rPr>
          <w:lang w:val="en-GB"/>
        </w:rPr>
        <w:t>add</w:t>
      </w:r>
      <w:r w:rsidR="00AB7EEC" w:rsidRPr="0003073C">
        <w:rPr>
          <w:lang w:val="en-GB"/>
        </w:rPr>
        <w:t xml:space="preserve"> </w:t>
      </w:r>
      <w:r w:rsidRPr="0003073C">
        <w:rPr>
          <w:lang w:val="en-GB"/>
        </w:rPr>
        <w:t>to that of</w:t>
      </w:r>
      <w:r w:rsidR="00AB591A" w:rsidRPr="0003073C">
        <w:rPr>
          <w:lang w:val="en-GB"/>
        </w:rPr>
        <w:t xml:space="preserve"> studies in the</w:t>
      </w:r>
      <w:r w:rsidRPr="0003073C">
        <w:rPr>
          <w:lang w:val="en-GB"/>
        </w:rPr>
        <w:t xml:space="preserve"> </w:t>
      </w:r>
      <w:r w:rsidR="00DE73B5" w:rsidRPr="0003073C">
        <w:rPr>
          <w:lang w:val="en-GB"/>
        </w:rPr>
        <w:t>SOLVD</w:t>
      </w:r>
      <w:r w:rsidR="00AB591A" w:rsidRPr="0003073C">
        <w:rPr>
          <w:lang w:val="en-GB"/>
        </w:rPr>
        <w:t xml:space="preserve"> and</w:t>
      </w:r>
      <w:r w:rsidR="00DE73B5" w:rsidRPr="0003073C">
        <w:rPr>
          <w:lang w:val="en-GB"/>
        </w:rPr>
        <w:t xml:space="preserve"> CIBIS II </w:t>
      </w:r>
      <w:r w:rsidR="00DB7C02" w:rsidRPr="0003073C">
        <w:rPr>
          <w:lang w:val="en-GB"/>
        </w:rPr>
        <w:t xml:space="preserve">trials, which </w:t>
      </w:r>
      <w:r w:rsidR="00804580" w:rsidRPr="0003073C">
        <w:rPr>
          <w:lang w:val="en-GB"/>
        </w:rPr>
        <w:t>showed</w:t>
      </w:r>
      <w:r w:rsidR="00DB7C02" w:rsidRPr="0003073C">
        <w:rPr>
          <w:lang w:val="en-GB"/>
        </w:rPr>
        <w:t xml:space="preserve"> the effects of low dose </w:t>
      </w:r>
      <w:r w:rsidR="00A360A4" w:rsidRPr="0003073C">
        <w:rPr>
          <w:lang w:val="en-GB"/>
        </w:rPr>
        <w:t>enalapril</w:t>
      </w:r>
      <w:r w:rsidR="00804580" w:rsidRPr="0003073C">
        <w:rPr>
          <w:lang w:val="en-GB"/>
        </w:rPr>
        <w:fldChar w:fldCharType="begin" w:fldLock="1"/>
      </w:r>
      <w:r w:rsidR="0019034B" w:rsidRPr="0003073C">
        <w:rPr>
          <w:lang w:val="en-GB"/>
        </w:rPr>
        <w:instrText>ADDIN CSL_CITATION {"citationItems":[{"id":"ITEM-1","itemData":{"DOI":"10.1002/ejhf.937","ISSN":"18790844","PMID":"28980368","abstract":"Aims: To examine associations of below-target and target dose of enalapril, an angiotensin-converting enzyme (ACE) inhibitor, with outcomes in patients with heart failure and reduced ejection fraction (HFrEF) in the Studies of Left Ventricular Dysfunction (SOLVD) Treatment trial. Methods and results: Two thousand five hundred and sixty-nine patients with HFrEF (ejection fraction ≤35%) were randomized to below-target (5–10 mg/day) dose placebo (n = 1284) or enalapril (n = 1285). One month post-randomization, blind up-titration to target (20 mg/day) dose was attempted for both study drugs in 2458 patients. Among the 1444 patients who achieved dose up-titration (placebo, n = 748; enalapril, n = 696; mean dose for both groups, 20.0 mg/day), target dose enalapril (vs. target dose placebo) was associated with a 9% absolute lower risk of the combined endpoint of heart failure hospitalization or all-cause mortality [adjusted hazard ratio (HR) 0.70; 95% confidence interval (CI) 0.60–0.81; P &lt; 0.001] during 4 years of follow-up. Among the 1014 patients who could not achieve target dose (placebo, n = 486; enalapril, n = 528; mean dose for both groups, 8.8 mg/day), below-target dose enalapril (vs. below-target dose placebo) was associated with a 12% absolute lower risk of the combined endpoint of heart failure hospitalization or all-cause mortality (adjusted HR 0.68; 95% CI 0.57–0.81; P &lt; 0.001). Among the 1224 patients receiving enalapril, target (vs. below-target) dose had no association with the combined endpoint of heart failure hospitalization or all-cause mortality (adjusted HR 1.04; 95% CI 0.87–1.23; P = 0.695). Conclusion: In patients with HFrEF, the clinical benefits of ACE inhibitors appear to be similar at both below-target and target doses.","author":[{"dropping-particle":"","family":"Lam","given":"Phillip H.","non-dropping-particle":"","parse-names":false,"suffix":""},{"dropping-particle":"","family":"Dooley","given":"Daniel J.","non-dropping-particle":"","parse-names":false,"suffix":""},{"dropping-particle":"","family":"Fonarow","given":"Gregg C.","non-dropping-particle":"","parse-names":false,"suffix":""},{"dropping-particle":"","family":"Butler","given":"Javed","non-dropping-particle":"","parse-names":false,"suffix":""},{"dropping-particle":"","family":"Bhatt","given":"Deepak L.","non-dropping-particle":"","parse-names":false,"suffix":""},{"dropping-particle":"","family":"Filippatos","given":"Gerasimos S.","non-dropping-particle":"","parse-names":false,"suffix":""},{"dropping-particle":"","family":"Deedwania","given":"Prakash","non-dropping-particle":"","parse-names":false,"suffix":""},{"dropping-particle":"","family":"Forman","given":"Daniel E.","non-dropping-particle":"","parse-names":false,"suffix":""},{"dropping-particle":"","family":"White","given":"Michel","non-dropping-particle":"","parse-names":false,"suffix":""},{"dropping-particle":"","family":"Fletcher","given":"Ross D.","non-dropping-particle":"","parse-names":false,"suffix":""},{"dropping-particle":"","family":"Arundel","given":"Cherinne","non-dropping-particle":"","parse-names":false,"suffix":""},{"dropping-particle":"","family":"Blackman","given":"Marc R.","non-dropping-particle":"","parse-names":false,"suffix":""},{"dropping-particle":"","family":"Adamopoulos","given":"Chris","non-dropping-particle":"","parse-names":false,"suffix":""},{"dropping-particle":"","family":"Kanonidis","given":"Ioannis E.","non-dropping-particle":"","parse-names":false,"suffix":""},{"dropping-particle":"","family":"Aban","given":"Inmaculada B.","non-dropping-particle":"","parse-names":false,"suffix":""},{"dropping-particle":"","family":"Patel","given":"Kanan","non-dropping-particle":"","parse-names":false,"suffix":""},{"dropping-particle":"","family":"Aronow","given":"Wilbert S.","non-dropping-particle":"","parse-names":false,"suffix":""},{"dropping-particle":"","family":"Allman","given":"Richard M.","non-dropping-particle":"","parse-names":false,"suffix":""},{"dropping-particle":"","family":"Anker","given":"Stefan D.","non-dropping-particle":"","parse-names":false,"suffix":""},{"dropping-particle":"","family":"Pitt","given":"Bertram","non-dropping-particle":"","parse-names":false,"suffix":""},{"dropping-particle":"","family":"Ahmed","given":"Ali","non-dropping-particle":"","parse-names":false,"suffix":""}],"container-title":"European Journal of Heart Failure","id":"ITEM-1","issue":"2","issued":{"date-parts":[["2018"]]},"page":"359-369","title":"Similar clinical benefits from below-target and target dose enalapril in patients with heart failure in the SOLVD Treatment trial","type":"article-journal","volume":"20"},"uris":["http://www.mendeley.com/documents/?uuid=30191a96-5b5e-47cd-b417-5b5745609162"]}],"mendeley":{"formattedCitation":"&lt;sup&gt;51&lt;/sup&gt;","plainTextFormattedCitation":"51","previouslyFormattedCitation":"&lt;sup&gt;51&lt;/sup&gt;"},"properties":{"noteIndex":0},"schema":"https://github.com/citation-style-language/schema/raw/master/csl-citation.json"}</w:instrText>
      </w:r>
      <w:r w:rsidR="00804580" w:rsidRPr="0003073C">
        <w:rPr>
          <w:lang w:val="en-GB"/>
        </w:rPr>
        <w:fldChar w:fldCharType="separate"/>
      </w:r>
      <w:r w:rsidR="000B1498" w:rsidRPr="0003073C">
        <w:rPr>
          <w:noProof/>
          <w:vertAlign w:val="superscript"/>
          <w:lang w:val="en-GB"/>
        </w:rPr>
        <w:t>51</w:t>
      </w:r>
      <w:r w:rsidR="00804580" w:rsidRPr="0003073C">
        <w:rPr>
          <w:lang w:val="en-GB"/>
        </w:rPr>
        <w:fldChar w:fldCharType="end"/>
      </w:r>
      <w:r w:rsidR="00A360A4" w:rsidRPr="0003073C">
        <w:rPr>
          <w:lang w:val="en-GB"/>
        </w:rPr>
        <w:t xml:space="preserve"> </w:t>
      </w:r>
      <w:r w:rsidR="00DB7C02" w:rsidRPr="0003073C">
        <w:rPr>
          <w:lang w:val="en-GB"/>
        </w:rPr>
        <w:t xml:space="preserve">or </w:t>
      </w:r>
      <w:r w:rsidR="00A360A4" w:rsidRPr="0003073C">
        <w:rPr>
          <w:lang w:val="en-GB"/>
        </w:rPr>
        <w:t>bisoprolol</w:t>
      </w:r>
      <w:r w:rsidR="00804580" w:rsidRPr="0003073C">
        <w:rPr>
          <w:lang w:val="en-GB"/>
        </w:rPr>
        <w:fldChar w:fldCharType="begin" w:fldLock="1"/>
      </w:r>
      <w:r w:rsidR="0019034B" w:rsidRPr="0003073C">
        <w:rPr>
          <w:lang w:val="en-GB"/>
        </w:rPr>
        <w:instrText>ADDIN CSL_CITATION {"citationItems":[{"id":"ITEM-1","itemData":{"DOI":"10.1016/s0195-668x(02)00743-1","ISSN":"0195-668X","PMID":"12643888","abstract":"AIMS Whether all patients with congestive heart failure (CHF) need to reach the target dose of beta-blocker to obtain a benefit in terms of survival remains uncertain. METHODS AND RESULTS We classified by tertile the 2647 patients enrolled in CIBIS II according to the last tolerated dose: low dose (LD: 1.25, 2.5 or 3.75mg/day, n=434), moderate dose (MD: 5 or 7.5mg/day, n=328) and high dose (HD: 10mg/day, n=565) of bisoprolol or placebo (LD=234, MD=278 and HD=808). In both groups, patients tolerating only low doses were significantly older with more severe New York Heart Association (NYHA) functional class and higher frequency of co-morbidities. Treatment withdrawal was associated with a significant increase of mortality in the bisoprolol group (relative hazard (RH)=2.13, 95% confidence interval (CI)=1.43-3.17, p=0.0002). After adjustment, all-cause mortality was significantly reduced in the bisoprolol group compared to placebo regardless of the dose level considered: LD (RH=0.66, 95% CI=0.48-0.92), MD (RH=0.33, 95% CI=0.21-0.51) or HD (RH=0.59, 95% CI=0.40-0.89). CONCLUSIONS Bisoprolol reduces mortality in CHF patients at all tolerated dose levels and its withdrawal increases the risk of mortality. Efforts should be made to maintain bisoprolol therapy based on the individual patient's tolerability.","author":[{"dropping-particle":"","family":"Simon","given":"T","non-dropping-particle":"","parse-names":false,"suffix":""},{"dropping-particle":"","family":"Mary-Krause","given":"M.","non-dropping-particle":"","parse-names":false,"suffix":""},{"dropping-particle":"","family":"Funck-Brentano","given":"C.","non-dropping-particle":"","parse-names":false,"suffix":""},{"dropping-particle":"","family":"Lechat","given":"Ph","non-dropping-particle":"","parse-names":false,"suffix":""},{"dropping-particle":"","family":"Jaillon","given":"P.","non-dropping-particle":"","parse-names":false,"suffix":""}],"container-title":"European heart journal","id":"ITEM-1","issue":"6","issued":{"date-parts":[["2003","3"]]},"page":"552-9","title":"Bisoprolol dose-response relationship in patients with congestive heart failure: a subgroup analysis in the cardiac insufficiency bisoprolol study(CIBIS II).","type":"article-journal","volume":"24"},"uris":["http://www.mendeley.com/documents/?uuid=5a790505-1868-458e-b291-4e15f804fe63"]}],"mendeley":{"formattedCitation":"&lt;sup&gt;52&lt;/sup&gt;","plainTextFormattedCitation":"52","previouslyFormattedCitation":"&lt;sup&gt;52&lt;/sup&gt;"},"properties":{"noteIndex":0},"schema":"https://github.com/citation-style-language/schema/raw/master/csl-citation.json"}</w:instrText>
      </w:r>
      <w:r w:rsidR="00804580" w:rsidRPr="0003073C">
        <w:rPr>
          <w:lang w:val="en-GB"/>
        </w:rPr>
        <w:fldChar w:fldCharType="separate"/>
      </w:r>
      <w:r w:rsidR="000B1498" w:rsidRPr="0003073C">
        <w:rPr>
          <w:noProof/>
          <w:vertAlign w:val="superscript"/>
          <w:lang w:val="en-GB"/>
        </w:rPr>
        <w:t>52</w:t>
      </w:r>
      <w:r w:rsidR="00804580" w:rsidRPr="0003073C">
        <w:rPr>
          <w:lang w:val="en-GB"/>
        </w:rPr>
        <w:fldChar w:fldCharType="end"/>
      </w:r>
      <w:r w:rsidR="00A360A4" w:rsidRPr="0003073C">
        <w:rPr>
          <w:lang w:val="en-GB"/>
        </w:rPr>
        <w:t xml:space="preserve"> </w:t>
      </w:r>
      <w:r w:rsidR="00AB591A" w:rsidRPr="0003073C">
        <w:rPr>
          <w:lang w:val="en-GB"/>
        </w:rPr>
        <w:t xml:space="preserve">as </w:t>
      </w:r>
      <w:r w:rsidR="00A360A4" w:rsidRPr="0003073C">
        <w:rPr>
          <w:lang w:val="en-GB"/>
        </w:rPr>
        <w:t>single therapy</w:t>
      </w:r>
      <w:r w:rsidR="00AB7EEC" w:rsidRPr="0003073C">
        <w:rPr>
          <w:lang w:val="en-GB"/>
        </w:rPr>
        <w:t xml:space="preserve">. The </w:t>
      </w:r>
      <w:r w:rsidR="00DE73B5" w:rsidRPr="0003073C">
        <w:rPr>
          <w:lang w:val="en-GB"/>
        </w:rPr>
        <w:t>TRED-HF trial</w:t>
      </w:r>
      <w:r w:rsidR="00A360A4" w:rsidRPr="0003073C">
        <w:rPr>
          <w:lang w:val="en-GB"/>
        </w:rPr>
        <w:fldChar w:fldCharType="begin" w:fldLock="1"/>
      </w:r>
      <w:r w:rsidR="0019034B" w:rsidRPr="0003073C">
        <w:rPr>
          <w:lang w:val="en-GB"/>
        </w:rPr>
        <w:instrText>ADDIN CSL_CITATION {"citationItems":[{"id":"ITEM-1","itemData":{"DOI":"10.1016/S0140-6736(18)32484-X","ISSN":"1474547X","abstract":"Background: Patients with dilated cardiomyopathy whose symptoms and cardiac function have recovered often ask whether their medications can be stopped. The safety of withdrawing treatment in this situation is unknown. Methods: We did an open-label, pilot, randomised trial to examine the effect of phased withdrawal of heart failure medications in patients with previous dilated cardiomyopathy who were now asymptomatic, whose left ventricular ejection fraction (LVEF) had improved from less than 40% to 50% or greater, whose left ventricular end-diastolic volume (LVEDV) had normalised, and who had an N-terminal pro-B-type natriuretic peptide (NT-pro-BNP) concentration less than 250 ng/L. Patients were recruited from a network of hospitals in the UK, assessed at one centre (Royal Brompton and Harefield NHS Foundation Trust, London, UK), and randomly assigned (1:1) to phased withdrawal or continuation of treatment. After 6 months, patients in the continued treatment group had treatment withdrawn by the same method. The primary endpoint was a relapse of dilated cardiomyopathy within 6 months, defined by a reduction in LVEF of more than 10% and to less than 50%, an increase in LVEDV by more than 10% and to higher than the normal range, a two-fold rise in NT-pro-BNP concentration and to more than 400 ng/L, or clinical evidence of heart failure, at which point treatments were re-established. The primary analysis was by intention to treat. This trial is registered with ClinicalTrials.gov, number NCT02859311. Findings: Between April 21, 2016, and Aug 22, 2017, 51 patients were enrolled. 25 were randomly assigned to the treatment withdrawal group and 26 to continue treatment. Over the first 6 months, 11 (44%) patients randomly assigned to treatment withdrawal met the primary endpoint of relapse compared with none of those assigned to continue treatment (Kaplan-Meier estimate of event rate 45·7% [95% CI 28·5–67·2]; p=0·0001). After 6 months, 25 (96%) of 26 patients assigned initially to continue treatment attempted its withdrawal. During the following 6 months, nine patients met the primary endpoint of relapse (Kaplan-Meier estimate of event rate 36·0% [95% CI 20·6–57·8]). No deaths were reported in either group and three serious adverse events were reported in the treatment withdrawal group: hospital admissions for non-cardiac chest pain, sepsis, and an elective procedure. Interpretation: Many patients deemed to have recovered from dilated cardiomyopathy will relapse…","author":[{"dropping-particle":"","family":"Halliday","given":"Brian P.","non-dropping-particle":"","parse-names":false,"suffix":""},{"dropping-particle":"","family":"Wassall","given":"Rebecca","non-dropping-particle":"","parse-names":false,"suffix":""},{"dropping-particle":"","family":"Lota","given":"Amrit S.","non-dropping-particle":"","parse-names":false,"suffix":""},{"dropping-particle":"","family":"Khalique","given":"Zohya","non-dropping-particle":"","parse-names":false,"suffix":""},{"dropping-particle":"","family":"Gregson","given":"John","non-dropping-particle":"","parse-names":false,"suffix":""},{"dropping-particle":"","family":"Newsome","given":"Simon","non-dropping-particle":"","parse-names":false,"suffix":""},{"dropping-particle":"","family":"Jackson","given":"Robert","non-dropping-particle":"","parse-names":false,"suffix":""},{"dropping-particle":"","family":"Rahneva","given":"Tsveta","non-dropping-particle":"","parse-names":false,"suffix":""},{"dropping-particle":"","family":"Wage","given":"Rick","non-dropping-particle":"","parse-names":false,"suffix":""},{"dropping-particle":"","family":"Smith","given":"Gillian","non-dropping-particle":"","parse-names":false,"suffix":""},{"dropping-particle":"","family":"Venneri","given":"Lucia","non-dropping-particle":"","parse-names":false,"suffix":""},{"dropping-particle":"","family":"Tayal","given":"Upasana","non-dropping-particle":"","parse-names":false,"suffix":""},{"dropping-particle":"","family":"Auger","given":"Dominique","non-dropping-particle":"","parse-names":false,"suffix":""},{"dropping-particle":"","family":"Midwinter","given":"William","non-dropping-particle":"","parse-names":false,"suffix":""},{"dropping-particle":"","family":"Whiffin","given":"Nicola","non-dropping-particle":"","parse-names":false,"suffix":""},{"dropping-particle":"","family":"Rajani","given":"Ronak","non-dropping-particle":"","parse-names":false,"suffix":""},{"dropping-particle":"","family":"Dungu","given":"Jason N.","non-dropping-particle":"","parse-names":false,"suffix":""},{"dropping-particle":"","family":"Pantazis","given":"Antonis","non-dropping-particle":"","parse-names":false,"suffix":""},{"dropping-particle":"","family":"Cook","given":"Stuart A.","non-dropping-particle":"","parse-names":false,"suffix":""},{"dropping-particle":"","family":"Ware","given":"James S.","non-dropping-particle":"","parse-names":false,"suffix":""},{"dropping-particle":"","family":"Baksi","given":"A. John","non-dropping-particle":"","parse-names":false,"suffix":""},{"dropping-particle":"","family":"Pennell","given":"Dudley J.","non-dropping-particle":"","parse-names":false,"suffix":""},{"dropping-particle":"","family":"Rosen","given":"Stuart D.","non-dropping-particle":"","parse-names":false,"suffix":""},{"dropping-particle":"","family":"Cowie","given":"Martin R.","non-dropping-particle":"","parse-names":false,"suffix":""},{"dropping-particle":"","family":"Cleland","given":"John G.F.","non-dropping-particle":"","parse-names":false,"suffix":""},{"dropping-particle":"","family":"Prasad","given":"Sanjay K.","non-dropping-particle":"","parse-names":false,"suffix":""}],"container-title":"The Lancet","id":"ITEM-1","issue":"10166","issued":{"date-parts":[["2019"]]},"page":"61-73","publisher":"The Author(s). Published by Elsevier Ltd. This is an Open Access article under the CC BY 4.0 license","title":"Withdrawal of pharmacological treatment for heart failure in patients with recovered dilated cardiomyopathy (TRED-HF): an open-label, pilot, randomised trial","type":"article-journal","volume":"393"},"uris":["http://www.mendeley.com/documents/?uuid=960842ea-6811-4985-bcb7-73fc5b6abded"]}],"mendeley":{"formattedCitation":"&lt;sup&gt;53&lt;/sup&gt;","plainTextFormattedCitation":"53","previouslyFormattedCitation":"&lt;sup&gt;53&lt;/sup&gt;"},"properties":{"noteIndex":0},"schema":"https://github.com/citation-style-language/schema/raw/master/csl-citation.json"}</w:instrText>
      </w:r>
      <w:r w:rsidR="00A360A4" w:rsidRPr="0003073C">
        <w:rPr>
          <w:lang w:val="en-GB"/>
        </w:rPr>
        <w:fldChar w:fldCharType="separate"/>
      </w:r>
      <w:r w:rsidR="000B1498" w:rsidRPr="0003073C">
        <w:rPr>
          <w:noProof/>
          <w:vertAlign w:val="superscript"/>
          <w:lang w:val="en-GB"/>
        </w:rPr>
        <w:t>53</w:t>
      </w:r>
      <w:r w:rsidR="00A360A4" w:rsidRPr="0003073C">
        <w:rPr>
          <w:lang w:val="en-GB"/>
        </w:rPr>
        <w:fldChar w:fldCharType="end"/>
      </w:r>
      <w:r w:rsidR="00A360A4" w:rsidRPr="0003073C">
        <w:rPr>
          <w:lang w:val="en-US"/>
        </w:rPr>
        <w:t xml:space="preserve"> </w:t>
      </w:r>
      <w:r w:rsidR="00AB7EEC" w:rsidRPr="0003073C">
        <w:rPr>
          <w:lang w:val="en-US"/>
        </w:rPr>
        <w:t xml:space="preserve">showed that </w:t>
      </w:r>
      <w:r w:rsidR="00AB7EEC" w:rsidRPr="0003073C">
        <w:rPr>
          <w:lang w:val="en-GB"/>
        </w:rPr>
        <w:t xml:space="preserve">withdrawal of treatment </w:t>
      </w:r>
      <w:r w:rsidRPr="0003073C">
        <w:rPr>
          <w:lang w:val="en-GB"/>
        </w:rPr>
        <w:t xml:space="preserve">studied the effect of </w:t>
      </w:r>
      <w:r w:rsidR="006B78F2" w:rsidRPr="0003073C">
        <w:rPr>
          <w:lang w:val="en-GB"/>
        </w:rPr>
        <w:t>evidence-based medical treatment withdrawal</w:t>
      </w:r>
      <w:r w:rsidR="0041683F" w:rsidRPr="0003073C">
        <w:rPr>
          <w:lang w:val="en-GB"/>
        </w:rPr>
        <w:t>.</w:t>
      </w:r>
      <w:r w:rsidR="006B78F2" w:rsidRPr="0003073C">
        <w:rPr>
          <w:lang w:val="en-GB"/>
        </w:rPr>
        <w:t xml:space="preserve"> </w:t>
      </w:r>
      <w:r w:rsidR="0041683F" w:rsidRPr="0003073C">
        <w:rPr>
          <w:lang w:val="en-GB"/>
        </w:rPr>
        <w:t xml:space="preserve">All studies show that </w:t>
      </w:r>
      <w:r w:rsidR="0007664D" w:rsidRPr="0003073C">
        <w:rPr>
          <w:lang w:val="en-GB"/>
        </w:rPr>
        <w:t xml:space="preserve">patients already benefit from </w:t>
      </w:r>
      <w:r w:rsidR="0041683F" w:rsidRPr="0003073C">
        <w:rPr>
          <w:lang w:val="en-GB"/>
        </w:rPr>
        <w:t xml:space="preserve">small doses of guideline-directed medical therapies. </w:t>
      </w:r>
      <w:r w:rsidRPr="0003073C">
        <w:rPr>
          <w:lang w:val="en-GB"/>
        </w:rPr>
        <w:t>Thus, initiating and maintaining guideline-directed medical therapies in patients with HFrEF remains a quintessential aim in the management of these patients</w:t>
      </w:r>
      <w:r w:rsidR="00076FED" w:rsidRPr="0003073C">
        <w:rPr>
          <w:lang w:val="en-GB"/>
        </w:rPr>
        <w:t>, even when target dose is not reached.</w:t>
      </w:r>
    </w:p>
    <w:p w14:paraId="01306F9C" w14:textId="77777777" w:rsidR="00A5200A" w:rsidRPr="0003073C" w:rsidRDefault="00A5200A" w:rsidP="007419B4">
      <w:pPr>
        <w:widowControl w:val="0"/>
        <w:spacing w:line="480" w:lineRule="auto"/>
        <w:rPr>
          <w:lang w:val="en-GB"/>
        </w:rPr>
      </w:pPr>
    </w:p>
    <w:p w14:paraId="2707A6D0" w14:textId="7A1633F6" w:rsidR="00341D39" w:rsidRPr="0003073C" w:rsidRDefault="00A1363B" w:rsidP="007419B4">
      <w:pPr>
        <w:spacing w:line="480" w:lineRule="auto"/>
        <w:rPr>
          <w:lang w:val="en-GB"/>
        </w:rPr>
      </w:pPr>
      <w:r w:rsidRPr="0003073C">
        <w:rPr>
          <w:lang w:val="en-GB"/>
        </w:rPr>
        <w:t xml:space="preserve">However, how do we manage dose titration in cases where full target doses of combination drugs cannot be achieved (for instance when blood pressure is borderline)? Our results suggest that </w:t>
      </w:r>
      <w:r w:rsidR="00A5200A" w:rsidRPr="0003073C">
        <w:rPr>
          <w:lang w:val="en-GB"/>
        </w:rPr>
        <w:t xml:space="preserve">up-titration </w:t>
      </w:r>
      <w:r w:rsidR="00115559" w:rsidRPr="0003073C">
        <w:rPr>
          <w:lang w:val="en-GB"/>
        </w:rPr>
        <w:t>to</w:t>
      </w:r>
      <w:r w:rsidR="00A5200A" w:rsidRPr="0003073C">
        <w:rPr>
          <w:lang w:val="en-GB"/>
        </w:rPr>
        <w:t xml:space="preserve"> even </w:t>
      </w:r>
      <w:r w:rsidR="00CB73D0" w:rsidRPr="0003073C">
        <w:rPr>
          <w:lang w:val="en-GB"/>
        </w:rPr>
        <w:t>sub-</w:t>
      </w:r>
      <w:r w:rsidRPr="0003073C">
        <w:rPr>
          <w:lang w:val="en-GB"/>
        </w:rPr>
        <w:t>target</w:t>
      </w:r>
      <w:r w:rsidR="00CB73D0" w:rsidRPr="0003073C">
        <w:rPr>
          <w:lang w:val="en-GB"/>
        </w:rPr>
        <w:t xml:space="preserve"> doses of both </w:t>
      </w:r>
      <w:proofErr w:type="spellStart"/>
      <w:r w:rsidR="00081D44" w:rsidRPr="0003073C">
        <w:rPr>
          <w:lang w:val="en-GB"/>
        </w:rPr>
        <w:t>ACEi</w:t>
      </w:r>
      <w:proofErr w:type="spellEnd"/>
      <w:r w:rsidR="00081D44" w:rsidRPr="0003073C">
        <w:rPr>
          <w:lang w:val="en-GB"/>
        </w:rPr>
        <w:t>/ARB</w:t>
      </w:r>
      <w:r w:rsidR="00B419EC" w:rsidRPr="0003073C">
        <w:rPr>
          <w:lang w:val="en-GB"/>
        </w:rPr>
        <w:t>s</w:t>
      </w:r>
      <w:r w:rsidR="00081D44" w:rsidRPr="0003073C">
        <w:rPr>
          <w:lang w:val="en-GB"/>
        </w:rPr>
        <w:t xml:space="preserve"> </w:t>
      </w:r>
      <w:r w:rsidR="00CB73D0" w:rsidRPr="0003073C">
        <w:rPr>
          <w:lang w:val="en-GB"/>
        </w:rPr>
        <w:t>and β-blocker</w:t>
      </w:r>
      <w:r w:rsidR="00B419EC" w:rsidRPr="0003073C">
        <w:rPr>
          <w:lang w:val="en-GB"/>
        </w:rPr>
        <w:t>s</w:t>
      </w:r>
      <w:r w:rsidR="00CB73D0" w:rsidRPr="0003073C">
        <w:rPr>
          <w:lang w:val="en-GB"/>
        </w:rPr>
        <w:t xml:space="preserve"> w</w:t>
      </w:r>
      <w:r w:rsidR="00A5200A" w:rsidRPr="0003073C">
        <w:rPr>
          <w:lang w:val="en-GB"/>
        </w:rPr>
        <w:t xml:space="preserve">as </w:t>
      </w:r>
      <w:r w:rsidR="004217EB" w:rsidRPr="0003073C">
        <w:rPr>
          <w:lang w:val="en-GB"/>
        </w:rPr>
        <w:t xml:space="preserve">associated with better outcomes than </w:t>
      </w:r>
      <w:r w:rsidRPr="0003073C">
        <w:rPr>
          <w:lang w:val="en-GB"/>
        </w:rPr>
        <w:t xml:space="preserve">full </w:t>
      </w:r>
      <w:r w:rsidR="00CB73D0" w:rsidRPr="0003073C">
        <w:rPr>
          <w:lang w:val="en-GB"/>
        </w:rPr>
        <w:t>up-titration</w:t>
      </w:r>
      <w:r w:rsidRPr="0003073C">
        <w:rPr>
          <w:lang w:val="en-GB"/>
        </w:rPr>
        <w:t xml:space="preserve"> to 100% target doses</w:t>
      </w:r>
      <w:r w:rsidR="00CB73D0" w:rsidRPr="0003073C">
        <w:rPr>
          <w:lang w:val="en-GB"/>
        </w:rPr>
        <w:t xml:space="preserve"> of </w:t>
      </w:r>
      <w:r w:rsidRPr="0003073C">
        <w:rPr>
          <w:lang w:val="en-GB"/>
        </w:rPr>
        <w:t>a single drug class (with either none or very low doses of the other drug class)</w:t>
      </w:r>
      <w:r w:rsidR="00CB73D0" w:rsidRPr="0003073C">
        <w:rPr>
          <w:lang w:val="en-GB"/>
        </w:rPr>
        <w:t xml:space="preserve">. </w:t>
      </w:r>
      <w:r w:rsidR="00B419EC" w:rsidRPr="0003073C">
        <w:rPr>
          <w:lang w:val="en-GB"/>
        </w:rPr>
        <w:t xml:space="preserve">This is not to say that attempts at up-titration are not important in real world practice; on the contrary we showed that achievement of higher doses of both guideline-recommended drug classes was associated with reduction in composite outcomes of death and HF hospitalization, consistent with prior </w:t>
      </w:r>
      <w:r w:rsidRPr="0003073C">
        <w:rPr>
          <w:lang w:val="en-GB"/>
        </w:rPr>
        <w:t>trial evidence comparing lower versus higher doses of guideline-directed medical therapies</w:t>
      </w:r>
      <w:r w:rsidR="00B419EC" w:rsidRPr="0003073C">
        <w:rPr>
          <w:lang w:val="en-GB"/>
        </w:rPr>
        <w:t>.</w:t>
      </w:r>
      <w:r w:rsidRPr="0003073C">
        <w:rPr>
          <w:lang w:val="en-GB"/>
        </w:rPr>
        <w:t xml:space="preserve"> </w:t>
      </w:r>
      <w:r w:rsidR="00341D39" w:rsidRPr="0003073C">
        <w:rPr>
          <w:lang w:val="en-GB"/>
        </w:rPr>
        <w:t>In the ATLAS trial</w:t>
      </w:r>
      <w:r w:rsidR="0045634C" w:rsidRPr="0003073C">
        <w:rPr>
          <w:lang w:val="en-GB"/>
        </w:rPr>
        <w:fldChar w:fldCharType="begin" w:fldLock="1"/>
      </w:r>
      <w:r w:rsidR="00891E5E" w:rsidRPr="0003073C">
        <w:rPr>
          <w:lang w:val="en-GB"/>
        </w:rPr>
        <w:instrText>ADDIN CSL_CITATION {"citationItems":[{"id":"ITEM-1","itemData":{"DOI":"10.1161/01.CIR.100.23.2312","ISSN":"0009-7322","PMID":"10587334","abstract":"BACKGROUND Angiotensin-converting enzyme (ACE) inhibitors are generally prescribed by physicians in doses lower than the large doses that have been shown to reduce morbidity and mortality in patients with heart failure. It is unclear, however, if low doses and high doses of ACE inhibitors have similar benefits. METHODS AND RESULTS We randomly assigned 3164 patients with New York Heart Association class II to IV heart failure and an ejection fraction &lt; or = 30% to double-blind treatment with either low doses (2.5 to 5.0 mg daily, n=1596) or high doses (32.5 to 35 mg daily, n=1568) of the ACE inhibitor, lisinopril, for 39 to 58 months, while background therapy for heart failure was continued. When compared with the low-dose group, patients in the high-dose group had a nonsignificant 8% lower risk of death (P=0.128) but a significant 12% lower risk of death or hospitalization for any reason (P=0.002) and 24% fewer hospitalizations for heart failure (P=0.002). Dizziness and renal insufficiency was observed more frequently in the high-dose group, but the 2 groups were similar in the number of patients requiring discontinuation of the study medication. Conclusions-These findings indicate that patients with heart failure should not generally be maintained on very low doses of an ACE inhibitor (unless these are the only doses that can be tolerated) and suggest that the difference in efficacy between intermediate and high doses of an ACE inhibitor (if any) is likely to be very small.","author":[{"dropping-particle":"","family":"Packer","given":"M.","non-dropping-particle":"","parse-names":false,"suffix":""},{"dropping-particle":"","family":"Poole-Wilson","given":"P. a.","non-dropping-particle":"","parse-names":false,"suffix":""},{"dropping-particle":"","family":"Armstrong","given":"P. W.","non-dropping-particle":"","parse-names":false,"suffix":""},{"dropping-particle":"","family":"Cleland","given":"J G","non-dropping-particle":"","parse-names":false,"suffix":""},{"dropping-particle":"","family":"Horowitz","given":"J. D.","non-dropping-particle":"","parse-names":false,"suffix":""},{"dropping-particle":"","family":"Massie","given":"B. M.","non-dropping-particle":"","parse-names":false,"suffix":""},{"dropping-particle":"","family":"Rydén","given":"L","non-dropping-particle":"","parse-names":false,"suffix":""},{"dropping-particle":"","family":"Thygesen","given":"K.","non-dropping-particle":"","parse-names":false,"suffix":""},{"dropping-particle":"","family":"Uretsky","given":"B. F.","non-dropping-particle":"","parse-names":false,"suffix":""}],"container-title":"Circulation","id":"ITEM-1","issue":"23","issued":{"date-parts":[["1999","12","7"]]},"page":"2312-8","title":"Comparative effects of low and high doses of the angiotensin-converting enzyme inhibitor, lisinopril, on morbidity and mortality in chronic heart failure. ATLAS Study Group.","type":"article-journal","volume":"100"},"uris":["http://www.mendeley.com/documents/?uuid=d95b9e5f-9d64-440b-8d10-65839480d1aa"]}],"mendeley":{"formattedCitation":"&lt;sup&gt;14&lt;/sup&gt;","plainTextFormattedCitation":"14","previouslyFormattedCitation":"&lt;sup&gt;14&lt;/sup&gt;"},"properties":{"noteIndex":0},"schema":"https://github.com/citation-style-language/schema/raw/master/csl-citation.json"}</w:instrText>
      </w:r>
      <w:r w:rsidR="0045634C" w:rsidRPr="0003073C">
        <w:rPr>
          <w:lang w:val="en-GB"/>
        </w:rPr>
        <w:fldChar w:fldCharType="separate"/>
      </w:r>
      <w:r w:rsidR="00891E5E" w:rsidRPr="0003073C">
        <w:rPr>
          <w:noProof/>
          <w:vertAlign w:val="superscript"/>
          <w:lang w:val="en-GB"/>
        </w:rPr>
        <w:t>14</w:t>
      </w:r>
      <w:r w:rsidR="0045634C" w:rsidRPr="0003073C">
        <w:rPr>
          <w:lang w:val="en-GB"/>
        </w:rPr>
        <w:fldChar w:fldCharType="end"/>
      </w:r>
      <w:r w:rsidR="00341D39" w:rsidRPr="0003073C">
        <w:rPr>
          <w:lang w:val="en-US"/>
        </w:rPr>
        <w:t xml:space="preserve">, </w:t>
      </w:r>
      <w:r w:rsidR="00341D39" w:rsidRPr="0003073C">
        <w:rPr>
          <w:lang w:val="en-GB"/>
        </w:rPr>
        <w:t xml:space="preserve">treatment with high (32.5 to 35mg) vs low (2.5 to 5mg) daily doses </w:t>
      </w:r>
      <w:proofErr w:type="spellStart"/>
      <w:r w:rsidR="00341D39" w:rsidRPr="0003073C">
        <w:rPr>
          <w:lang w:val="en-GB"/>
        </w:rPr>
        <w:t>lisinopril</w:t>
      </w:r>
      <w:proofErr w:type="spellEnd"/>
      <w:r w:rsidR="00341D39" w:rsidRPr="0003073C">
        <w:rPr>
          <w:lang w:val="en-GB"/>
        </w:rPr>
        <w:t xml:space="preserve"> was associated with a non-significant 8% lower hazard of death but a significant 12% lower risk of all-cause death or hospitalization, and 24% fewer hospitalizations for HF. Similar findings were found in the HEAAL trial, with the use of low dose (50mg) vs. high dose (150mg) losartan</w:t>
      </w:r>
      <w:r w:rsidR="0045634C" w:rsidRPr="0003073C">
        <w:rPr>
          <w:lang w:val="en-GB"/>
        </w:rPr>
        <w:fldChar w:fldCharType="begin" w:fldLock="1"/>
      </w:r>
      <w:r w:rsidR="00891E5E" w:rsidRPr="0003073C">
        <w:rPr>
          <w:lang w:val="en-GB"/>
        </w:rPr>
        <w:instrText>ADDIN CSL_CITATION {"citationItems":[{"id":"ITEM-1","itemData":{"DOI":"10.1016/S0140-6736(09)61913-9","ISSN":"1474-547X","PMID":"19922995","abstract":"BACKGROUND Angiotensin-receptor blockers (ARBs) are effective treatments for patients with heart failure, but the relation between dose and clinical outcomes has not been explored. We compared the effects of high-dose versus low-dose losartan on clinical outcomes in patients with heart failure. METHODS This double-blind trial was undertaken in 255 sites in 30 countries. 3846 patients with heart failure of New York Heart Association class II-IV, left-ventricular ejection fraction 40% or less, and intolerance to angiotensin-converting-enzyme (ACE) inhibitors were randomly assigned to losartan 150 mg (n=1927) or 50 mg daily (n=1919). Allocation was by block randomisation stratified by centre and presence or absence of beta-blocker therapy, and all patients and investigators were masked to assignment. The primary endpoint was death or admission for heart failure. Analysis was by intention to treat. This study is registered with ClinicalTrials.gov, number NCT00090259. FINDINGS Six patients in each group were excluded because of poor data quality. With 4.7-year median follow-up in each group (IQR 3.7-5.5 for losartan 150 mg; 3.4-5.5 for losartan 50 mg), 828 (43%) patients in the 150 mg group versus 889 (46%) in the 50 mg group died or were admitted for heart failure (hazard ratio [HR] 0.90, 95% CI 0.82-0.99; p=0.027). For the two primary endpoint components, 635 patients in the 150 mg group versus 665 in the 50 mg group died (HR 0.94, 95% CI 0.84-1.04; p=0.24), and 450 versus 503 patients were admitted for heart failure (0.87, 0.76-0.98; p=0.025). Renal impairment (n=454 vs 317), hypotension (203 vs 145), and hyperkalaemia (195 vs 131) were more common in the 150 mg group than in the 50 mg group, but these adverse events did not lead to significantly more treatment discontinuations in the 150 mg group. INTERPRETATION Losartan 150 mg daily reduced the rate of death or admission for heart failure in patients with heart failure, reduced left-ventricular ejection fraction, and intolerance to ACE inhibitors compared with losartan 50 mg daily. These findings show the value of up-titrating ARB doses to confer clinical benefit. FUNDING Merck (USA).","author":[{"dropping-particle":"","family":"Konstam","given":"Marvin A","non-dropping-particle":"","parse-names":false,"suffix":""},{"dropping-particle":"","family":"Neaton","given":"James D","non-dropping-particle":"","parse-names":false,"suffix":""},{"dropping-particle":"","family":"Dickstein","given":"Kenneth","non-dropping-particle":"","parse-names":false,"suffix":""},{"dropping-particle":"","family":"Drexler","given":"Helmut","non-dropping-particle":"","parse-names":false,"suffix":""},{"dropping-particle":"","family":"Komajda","given":"Michel","non-dropping-particle":"","parse-names":false,"suffix":""},{"dropping-particle":"","family":"Martinez","given":"Felipe A","non-dropping-particle":"","parse-names":false,"suffix":""},{"dropping-particle":"","family":"Riegger","given":"Gunter A J","non-dropping-particle":"","parse-names":false,"suffix":""},{"dropping-particle":"","family":"Malbecq","given":"William","non-dropping-particle":"","parse-names":false,"suffix":""},{"dropping-particle":"","family":"Smith","given":"Ronald D","non-dropping-particle":"","parse-names":false,"suffix":""},{"dropping-particle":"","family":"Guptha","given":"Soneil","non-dropping-particle":"","parse-names":false,"suffix":""},{"dropping-particle":"","family":"Poole-Wilson","given":"Philip A","non-dropping-particle":"","parse-names":false,"suffix":""},{"dropping-particle":"","family":"HEAAL Investigators","given":"","non-dropping-particle":"","parse-names":false,"suffix":""}],"container-title":"Lancet (London, England)","id":"ITEM-1","issue":"9704","issued":{"date-parts":[["2009","11","28"]]},"page":"1840-8","publisher":"Elsevier Ltd","title":"Effects of high-dose versus low-dose losartan on clinical outcomes in patients with heart failure (HEAAL study): a randomised, double-blind trial.","type":"article-journal","volume":"374"},"uris":["http://www.mendeley.com/documents/?uuid=1d39fc98-a21e-4959-8522-d87ba615befc"]}],"mendeley":{"formattedCitation":"&lt;sup&gt;16&lt;/sup&gt;","plainTextFormattedCitation":"16","previouslyFormattedCitation":"&lt;sup&gt;16&lt;/sup&gt;"},"properties":{"noteIndex":0},"schema":"https://github.com/citation-style-language/schema/raw/master/csl-citation.json"}</w:instrText>
      </w:r>
      <w:r w:rsidR="0045634C" w:rsidRPr="0003073C">
        <w:rPr>
          <w:lang w:val="en-GB"/>
        </w:rPr>
        <w:fldChar w:fldCharType="separate"/>
      </w:r>
      <w:r w:rsidR="00891E5E" w:rsidRPr="0003073C">
        <w:rPr>
          <w:noProof/>
          <w:vertAlign w:val="superscript"/>
          <w:lang w:val="en-GB"/>
        </w:rPr>
        <w:t>16</w:t>
      </w:r>
      <w:r w:rsidR="0045634C" w:rsidRPr="0003073C">
        <w:rPr>
          <w:lang w:val="en-GB"/>
        </w:rPr>
        <w:fldChar w:fldCharType="end"/>
      </w:r>
      <w:r w:rsidR="00341D39" w:rsidRPr="0003073C">
        <w:rPr>
          <w:lang w:val="en-GB"/>
        </w:rPr>
        <w:t>.</w:t>
      </w:r>
      <w:r w:rsidR="00341D39" w:rsidRPr="0003073C">
        <w:rPr>
          <w:lang w:val="en-US"/>
        </w:rPr>
        <w:t xml:space="preserve"> </w:t>
      </w:r>
      <w:r w:rsidR="00341D39" w:rsidRPr="0003073C">
        <w:rPr>
          <w:lang w:val="en-GB"/>
        </w:rPr>
        <w:t xml:space="preserve">In both trials, symptomatic hypotension/syncope and renal insufficiency, and </w:t>
      </w:r>
      <w:r w:rsidR="000D0FE1" w:rsidRPr="0003073C">
        <w:rPr>
          <w:lang w:val="en-GB"/>
        </w:rPr>
        <w:t>hyperkalaemia</w:t>
      </w:r>
      <w:r w:rsidR="00341D39" w:rsidRPr="0003073C">
        <w:rPr>
          <w:lang w:val="en-GB"/>
        </w:rPr>
        <w:t xml:space="preserve"> (only in HEAAL trial), were </w:t>
      </w:r>
      <w:r w:rsidR="00341D39" w:rsidRPr="0003073C">
        <w:rPr>
          <w:lang w:val="en-GB"/>
        </w:rPr>
        <w:lastRenderedPageBreak/>
        <w:t xml:space="preserve">more prevalent in the high dose group. </w:t>
      </w:r>
      <w:r w:rsidR="004217EB" w:rsidRPr="0003073C">
        <w:rPr>
          <w:lang w:val="en-GB"/>
        </w:rPr>
        <w:t>T</w:t>
      </w:r>
      <w:r w:rsidR="00BE4974" w:rsidRPr="0003073C">
        <w:rPr>
          <w:lang w:val="en-GB"/>
        </w:rPr>
        <w:t xml:space="preserve">he </w:t>
      </w:r>
      <w:proofErr w:type="spellStart"/>
      <w:r w:rsidR="00BE4974" w:rsidRPr="0003073C">
        <w:rPr>
          <w:lang w:val="en-GB"/>
        </w:rPr>
        <w:t>Multicenter</w:t>
      </w:r>
      <w:proofErr w:type="spellEnd"/>
      <w:r w:rsidR="00BE4974" w:rsidRPr="0003073C">
        <w:rPr>
          <w:lang w:val="en-GB"/>
        </w:rPr>
        <w:t xml:space="preserve"> Carvedilol Heart Failure Dose Assessment (MUCHA) trial</w:t>
      </w:r>
      <w:r w:rsidR="00BE4974" w:rsidRPr="0003073C">
        <w:rPr>
          <w:lang w:val="en-US"/>
        </w:rPr>
        <w:fldChar w:fldCharType="begin" w:fldLock="1"/>
      </w:r>
      <w:r w:rsidR="0019034B" w:rsidRPr="0003073C">
        <w:rPr>
          <w:lang w:val="en-US"/>
        </w:rPr>
        <w:instrText>ADDIN CSL_CITATION {"citationItems":[{"id":"ITEM-1","itemData":{"DOI":"10.1016/j.ahj.2003.07.023","ISSN":"1097-6744","PMID":"14760332","abstract":"BACKGROUND The efficacy and optimum dose of beta-blockers have not been established in Japanese patients with chronic heart failure (CHF). The efficacy and safety of two doses of carvedilol, a beta-blocker with vasodilator and antioxidant actions, were investigated in Japanese patients with CHF. METHODS After screening and a carvedilol challenge phase, 174 patients with mild to moderate CHF were randomly assigned (double-blinded) to placebo, 2.5 mg of carvedilol twice daily, or 10 mg of carvedilol twice daily. After a 2- to 4-week uptitration phase, maintenance treatment was continued for 24 to 48 weeks. The primary end point was improvement of the global assessment of CHF by the attending physician. Secondary end points were death or hospitalization for cardiovascular disease, cardiovascular hospitalization, hospitalization for heart failure, change of left ventricular ejection fraction, and change in New York Heart Association class. RESULTS Carvedilol therapy achieved dose-dependent improvement of all end points (P for linear trend, range.002 to &lt;.001). Both carvedilol groups showed marked risk reduction (71% to 91%) for cardiovascular and CHF hospitalization and for death or cardiovascular hospitalization (P range,.024 to &lt;.001 for pairwise comparisons with placebo). No significant differences were observed for noncardiovascular hospitalization or adverse events. CONCLUSIONS In Japanese patients with mild or moderate CHF, carvedilol achieved dose-related improvement of CHF and left ventricular ejection fraction; cardiovascular hospitalization was markedly reduced. At 5 mg/d, carvedilol conferred an important patient benefit, less than at 20 mg/d.","author":[{"dropping-particle":"","family":"Hori","given":"Masatsugu","non-dropping-particle":"","parse-names":false,"suffix":""},{"dropping-particle":"","family":"Sasayama","given":"Shigetake","non-dropping-particle":"","parse-names":false,"suffix":""},{"dropping-particle":"","family":"Kitabatake","given":"Akira","non-dropping-particle":"","parse-names":false,"suffix":""},{"dropping-particle":"","family":"Toyo-oka","given":"Teruhiko","non-dropping-particle":"","parse-names":false,"suffix":""},{"dropping-particle":"","family":"Handa","given":"Shunnosuke","non-dropping-particle":"","parse-names":false,"suffix":""},{"dropping-particle":"","family":"Yokoyama","given":"Mitsuhiro","non-dropping-particle":"","parse-names":false,"suffix":""},{"dropping-particle":"","family":"Matsuzaki","given":"Masunori","non-dropping-particle":"","parse-names":false,"suffix":""},{"dropping-particle":"","family":"Takeshita","given":"Akira","non-dropping-particle":"","parse-names":false,"suffix":""},{"dropping-particle":"","family":"Origasa","given":"Hideki","non-dropping-particle":"","parse-names":false,"suffix":""},{"dropping-particle":"","family":"Matsui","given":"Kennichi","non-dropping-particle":"","parse-names":false,"suffix":""},{"dropping-particle":"","family":"Hosoda","given":"Saichi","non-dropping-particle":"","parse-names":false,"suffix":""},{"dropping-particle":"","family":"MUCHA Investigators","given":"","non-dropping-particle":"","parse-names":false,"suffix":""}],"container-title":"American heart journal","id":"ITEM-1","issue":"2","issued":{"date-parts":[["2004","2"]]},"page":"324-30","title":"Low-dose carvedilol improves left ventricular function and reduces cardiovascular hospitalization in Japanese patients with chronic heart failure: the Multicenter Carvedilol Heart Failure Dose Assessment (MUCHA) trial.","type":"article-journal","volume":"147"},"uris":["http://www.mendeley.com/documents/?uuid=34b454d1-c081-4da0-84b6-357c90232fcb"]}],"mendeley":{"formattedCitation":"&lt;sup&gt;54&lt;/sup&gt;","plainTextFormattedCitation":"54","previouslyFormattedCitation":"&lt;sup&gt;54&lt;/sup&gt;"},"properties":{"noteIndex":0},"schema":"https://github.com/citation-style-language/schema/raw/master/csl-citation.json"}</w:instrText>
      </w:r>
      <w:r w:rsidR="00BE4974" w:rsidRPr="0003073C">
        <w:rPr>
          <w:lang w:val="en-US"/>
        </w:rPr>
        <w:fldChar w:fldCharType="separate"/>
      </w:r>
      <w:r w:rsidR="000B1498" w:rsidRPr="0003073C">
        <w:rPr>
          <w:noProof/>
          <w:vertAlign w:val="superscript"/>
          <w:lang w:val="en-US"/>
        </w:rPr>
        <w:t>54</w:t>
      </w:r>
      <w:r w:rsidR="00BE4974" w:rsidRPr="0003073C">
        <w:rPr>
          <w:lang w:val="en-US"/>
        </w:rPr>
        <w:fldChar w:fldCharType="end"/>
      </w:r>
      <w:r w:rsidR="002A0509" w:rsidRPr="0003073C">
        <w:rPr>
          <w:lang w:val="en-US"/>
        </w:rPr>
        <w:t xml:space="preserve"> </w:t>
      </w:r>
      <w:r w:rsidR="004217EB" w:rsidRPr="0003073C">
        <w:rPr>
          <w:lang w:val="en-US"/>
        </w:rPr>
        <w:t>was</w:t>
      </w:r>
      <w:r w:rsidR="00BE4974" w:rsidRPr="0003073C">
        <w:rPr>
          <w:lang w:val="en-GB"/>
        </w:rPr>
        <w:t xml:space="preserve"> undertaken to establish the efficacy and safety of two doses (low-5mg/day; high-20mg/day) of long-term carvedilol vs. placebo, in Japanese patients with HF and LVEF ≤40%. </w:t>
      </w:r>
      <w:r w:rsidR="002A0509" w:rsidRPr="0003073C">
        <w:rPr>
          <w:rFonts w:eastAsia="Times New Roman" w:cstheme="minorHAnsi"/>
          <w:lang w:val="en-US"/>
        </w:rPr>
        <w:t xml:space="preserve">There was no statistical difference in outcomes between the high and low dose of </w:t>
      </w:r>
      <w:proofErr w:type="spellStart"/>
      <w:r w:rsidR="002A0509" w:rsidRPr="0003073C">
        <w:rPr>
          <w:rFonts w:eastAsia="Times New Roman" w:cstheme="minorHAnsi"/>
          <w:lang w:val="en-US"/>
        </w:rPr>
        <w:t>carvediolol</w:t>
      </w:r>
      <w:proofErr w:type="spellEnd"/>
      <w:r w:rsidR="002A0509" w:rsidRPr="0003073C">
        <w:rPr>
          <w:rFonts w:eastAsia="Times New Roman" w:cstheme="minorHAnsi"/>
          <w:lang w:val="en-US"/>
        </w:rPr>
        <w:t>. High (≥25 mg/day) vs. low dose (&lt;25 mg/day) carvedilol equivalents in HF-ACTION also conferred similar benefit for all-cause mortality and CV outcomes, although high dose was superior (albeit with marginal significance) for a composite outcome of all-cause mortality or HF hospitalization</w:t>
      </w:r>
      <w:r w:rsidR="002A0509" w:rsidRPr="0003073C">
        <w:rPr>
          <w:rFonts w:eastAsia="Times New Roman" w:cstheme="minorHAnsi"/>
          <w:vertAlign w:val="superscript"/>
          <w:lang w:val="en-US"/>
        </w:rPr>
        <w:t>38</w:t>
      </w:r>
      <w:proofErr w:type="gramStart"/>
      <w:r w:rsidR="002A0509" w:rsidRPr="0003073C">
        <w:rPr>
          <w:rFonts w:eastAsia="Times New Roman" w:cstheme="minorHAnsi"/>
          <w:vertAlign w:val="superscript"/>
          <w:lang w:val="en-US"/>
        </w:rPr>
        <w:t>,39</w:t>
      </w:r>
      <w:proofErr w:type="gramEnd"/>
      <w:r w:rsidR="00BE4974" w:rsidRPr="0003073C">
        <w:rPr>
          <w:lang w:val="en-GB"/>
        </w:rPr>
        <w:t xml:space="preserve">. </w:t>
      </w:r>
      <w:r w:rsidR="00B419EC" w:rsidRPr="0003073C">
        <w:rPr>
          <w:lang w:val="en-GB"/>
        </w:rPr>
        <w:t xml:space="preserve">Our results build on these prior trials and suggest that when faced with the clinical conundrum of up-titrating both drugs versus up-titrating only one of the drugs to maximal target doses, the former may be a preferable approach. </w:t>
      </w:r>
      <w:r w:rsidR="009E6D59" w:rsidRPr="0003073C">
        <w:rPr>
          <w:lang w:val="en-GB"/>
        </w:rPr>
        <w:t>Furthermore, we observed</w:t>
      </w:r>
      <w:r w:rsidR="003576C8" w:rsidRPr="0003073C">
        <w:rPr>
          <w:lang w:val="en-GB"/>
        </w:rPr>
        <w:t xml:space="preserve"> that</w:t>
      </w:r>
      <w:r w:rsidR="009E6D59" w:rsidRPr="0003073C">
        <w:rPr>
          <w:lang w:val="en-GB"/>
        </w:rPr>
        <w:t xml:space="preserve"> </w:t>
      </w:r>
      <w:r w:rsidR="00EB78D1" w:rsidRPr="0003073C">
        <w:rPr>
          <w:lang w:val="en-GB"/>
        </w:rPr>
        <w:t xml:space="preserve">up-titrating β-blockers to 100% GRTD was associated with mortality benefit, even when doses of </w:t>
      </w:r>
      <w:proofErr w:type="spellStart"/>
      <w:r w:rsidR="00EB78D1" w:rsidRPr="0003073C">
        <w:rPr>
          <w:lang w:val="en-GB"/>
        </w:rPr>
        <w:t>ACEi</w:t>
      </w:r>
      <w:proofErr w:type="spellEnd"/>
      <w:r w:rsidR="00EB78D1" w:rsidRPr="0003073C">
        <w:rPr>
          <w:lang w:val="en-GB"/>
        </w:rPr>
        <w:t xml:space="preserve">/ARB were still sub-target. </w:t>
      </w:r>
    </w:p>
    <w:p w14:paraId="1FF4F0CD" w14:textId="578CC730" w:rsidR="000D0FE1" w:rsidRPr="0003073C" w:rsidRDefault="000D0FE1" w:rsidP="007419B4">
      <w:pPr>
        <w:widowControl w:val="0"/>
        <w:spacing w:line="480" w:lineRule="auto"/>
        <w:rPr>
          <w:lang w:val="en-GB"/>
        </w:rPr>
      </w:pPr>
    </w:p>
    <w:p w14:paraId="4FC346B2" w14:textId="77777777" w:rsidR="00FB05A3" w:rsidRPr="0003073C" w:rsidRDefault="00106F82" w:rsidP="007419B4">
      <w:pPr>
        <w:widowControl w:val="0"/>
        <w:spacing w:line="480" w:lineRule="auto"/>
        <w:rPr>
          <w:rFonts w:eastAsia="Times New Roman" w:cstheme="minorHAnsi"/>
          <w:iCs/>
          <w:lang w:val="en-US"/>
        </w:rPr>
      </w:pPr>
      <w:r w:rsidRPr="0003073C">
        <w:rPr>
          <w:lang w:val="en-GB"/>
        </w:rPr>
        <w:t xml:space="preserve">This </w:t>
      </w:r>
      <w:r w:rsidR="00AD3D45" w:rsidRPr="0003073C">
        <w:rPr>
          <w:lang w:val="en-GB"/>
        </w:rPr>
        <w:t xml:space="preserve">contemporary prospective multinational </w:t>
      </w:r>
      <w:r w:rsidRPr="0003073C">
        <w:rPr>
          <w:lang w:val="en-GB"/>
        </w:rPr>
        <w:t>study spans a huge geography in Europe and Asia</w:t>
      </w:r>
      <w:r w:rsidR="00AD3D45" w:rsidRPr="0003073C">
        <w:rPr>
          <w:lang w:val="en-GB"/>
        </w:rPr>
        <w:t>. I</w:t>
      </w:r>
      <w:r w:rsidRPr="0003073C">
        <w:rPr>
          <w:lang w:val="en-GB"/>
        </w:rPr>
        <w:t xml:space="preserve">n both BIOSTAT-CHF and ASIAN-HF, reasons for not achieving </w:t>
      </w:r>
      <w:r w:rsidR="002C7C6C" w:rsidRPr="0003073C">
        <w:rPr>
          <w:lang w:val="en-GB"/>
        </w:rPr>
        <w:t xml:space="preserve">GRTD </w:t>
      </w:r>
      <w:r w:rsidRPr="0003073C">
        <w:rPr>
          <w:lang w:val="en-GB"/>
        </w:rPr>
        <w:t>were specifically recorded.</w:t>
      </w:r>
      <w:r w:rsidR="009C3423" w:rsidRPr="0003073C">
        <w:rPr>
          <w:lang w:val="en-GB"/>
        </w:rPr>
        <w:t xml:space="preserve"> </w:t>
      </w:r>
      <w:r w:rsidR="00E661B5" w:rsidRPr="0003073C">
        <w:rPr>
          <w:lang w:val="en-GB"/>
        </w:rPr>
        <w:t xml:space="preserve">However, a large portion of patients lack further specification of the reason for not achieving </w:t>
      </w:r>
      <w:r w:rsidR="002C7C6C" w:rsidRPr="0003073C">
        <w:rPr>
          <w:lang w:val="en-GB"/>
        </w:rPr>
        <w:t xml:space="preserve">GRTD </w:t>
      </w:r>
      <w:r w:rsidR="00E661B5" w:rsidRPr="0003073C">
        <w:rPr>
          <w:lang w:val="en-GB"/>
        </w:rPr>
        <w:t xml:space="preserve">other than ‘unknown’. </w:t>
      </w:r>
      <w:r w:rsidR="0041427D" w:rsidRPr="0003073C">
        <w:rPr>
          <w:rFonts w:eastAsia="Times New Roman" w:cstheme="minorHAnsi"/>
          <w:bCs/>
          <w:lang w:val="en-US"/>
        </w:rPr>
        <w:t xml:space="preserve">Contraindications to further </w:t>
      </w:r>
      <w:proofErr w:type="spellStart"/>
      <w:r w:rsidR="0041427D" w:rsidRPr="0003073C">
        <w:rPr>
          <w:rFonts w:eastAsia="Times New Roman" w:cstheme="minorHAnsi"/>
          <w:bCs/>
          <w:lang w:val="en-US"/>
        </w:rPr>
        <w:t>uptitration</w:t>
      </w:r>
      <w:proofErr w:type="spellEnd"/>
      <w:r w:rsidR="0041427D" w:rsidRPr="0003073C">
        <w:rPr>
          <w:rFonts w:eastAsia="Times New Roman" w:cstheme="minorHAnsi"/>
          <w:bCs/>
          <w:lang w:val="en-US"/>
        </w:rPr>
        <w:t xml:space="preserve"> of medications had not been examined in our study although those with absolute contraindications to </w:t>
      </w:r>
      <w:proofErr w:type="spellStart"/>
      <w:r w:rsidR="0041427D" w:rsidRPr="0003073C">
        <w:rPr>
          <w:rFonts w:eastAsia="Times New Roman" w:cstheme="minorHAnsi"/>
          <w:bCs/>
          <w:lang w:val="en-US"/>
        </w:rPr>
        <w:t>ACEi</w:t>
      </w:r>
      <w:proofErr w:type="spellEnd"/>
      <w:r w:rsidR="0041427D" w:rsidRPr="0003073C">
        <w:rPr>
          <w:rFonts w:eastAsia="Times New Roman" w:cstheme="minorHAnsi"/>
          <w:bCs/>
          <w:lang w:val="en-US"/>
        </w:rPr>
        <w:t xml:space="preserve">/ARBs remained small. </w:t>
      </w:r>
      <w:r w:rsidR="0041427D" w:rsidRPr="0003073C">
        <w:rPr>
          <w:rFonts w:eastAsia="Times New Roman" w:cstheme="minorHAnsi"/>
          <w:iCs/>
          <w:lang w:val="en-US"/>
        </w:rPr>
        <w:t xml:space="preserve">Further, the impact of incipient renal failure on discontinuation of treatment had not been examined. However, BIOSTAT-CHF was specifically designed to record reasons for not achieving the recommended doses. </w:t>
      </w:r>
    </w:p>
    <w:p w14:paraId="6D483B15" w14:textId="77777777" w:rsidR="00FB05A3" w:rsidRPr="0003073C" w:rsidRDefault="00FB05A3">
      <w:pPr>
        <w:widowControl w:val="0"/>
        <w:rPr>
          <w:rFonts w:eastAsia="Times New Roman" w:cstheme="minorHAnsi"/>
          <w:iCs/>
          <w:lang w:val="en-US"/>
        </w:rPr>
      </w:pPr>
      <w:r w:rsidRPr="0003073C">
        <w:rPr>
          <w:rFonts w:eastAsia="Times New Roman" w:cstheme="minorHAnsi"/>
          <w:iCs/>
          <w:lang w:val="en-US"/>
        </w:rPr>
        <w:br w:type="page"/>
      </w:r>
    </w:p>
    <w:p w14:paraId="3243DF00" w14:textId="179FECB3" w:rsidR="005A6780" w:rsidRPr="0003073C" w:rsidRDefault="00FE1ED7" w:rsidP="007419B4">
      <w:pPr>
        <w:widowControl w:val="0"/>
        <w:spacing w:line="480" w:lineRule="auto"/>
        <w:rPr>
          <w:lang w:val="en-GB"/>
        </w:rPr>
      </w:pPr>
      <w:r w:rsidRPr="0003073C">
        <w:rPr>
          <w:lang w:val="en-GB"/>
        </w:rPr>
        <w:lastRenderedPageBreak/>
        <w:t>Robust statistical analy</w:t>
      </w:r>
      <w:r w:rsidR="00601B0D" w:rsidRPr="0003073C">
        <w:rPr>
          <w:lang w:val="en-GB"/>
        </w:rPr>
        <w:t>tical methods were used and we</w:t>
      </w:r>
      <w:r w:rsidR="00AD3D45" w:rsidRPr="0003073C">
        <w:rPr>
          <w:lang w:val="en-GB"/>
        </w:rPr>
        <w:t xml:space="preserve"> corrected for i</w:t>
      </w:r>
      <w:r w:rsidR="009C3423" w:rsidRPr="0003073C">
        <w:rPr>
          <w:lang w:val="en-GB"/>
        </w:rPr>
        <w:t>ndication bias</w:t>
      </w:r>
      <w:r w:rsidR="003576C8" w:rsidRPr="0003073C">
        <w:rPr>
          <w:lang w:val="en-GB"/>
        </w:rPr>
        <w:t>;</w:t>
      </w:r>
      <w:r w:rsidR="006A3799" w:rsidRPr="0003073C">
        <w:rPr>
          <w:lang w:val="en-GB"/>
        </w:rPr>
        <w:t xml:space="preserve"> </w:t>
      </w:r>
      <w:r w:rsidR="00E874A0" w:rsidRPr="0003073C">
        <w:rPr>
          <w:lang w:val="en-GB"/>
        </w:rPr>
        <w:t>unfortunately</w:t>
      </w:r>
      <w:r w:rsidR="006A3799" w:rsidRPr="0003073C">
        <w:rPr>
          <w:lang w:val="en-GB"/>
        </w:rPr>
        <w:t xml:space="preserve">, </w:t>
      </w:r>
      <w:r w:rsidR="001A7425" w:rsidRPr="0003073C">
        <w:rPr>
          <w:lang w:val="en-GB"/>
        </w:rPr>
        <w:t xml:space="preserve">if this correction was sufficient is </w:t>
      </w:r>
      <w:r w:rsidR="00A42BA3" w:rsidRPr="0003073C">
        <w:rPr>
          <w:lang w:val="en-GB"/>
        </w:rPr>
        <w:t>untestable</w:t>
      </w:r>
      <w:r w:rsidR="006C12F6" w:rsidRPr="0003073C">
        <w:rPr>
          <w:lang w:val="en-GB"/>
        </w:rPr>
        <w:t xml:space="preserve"> and there remains potential for residual bias</w:t>
      </w:r>
      <w:r w:rsidR="006A3799" w:rsidRPr="0003073C">
        <w:rPr>
          <w:lang w:val="en-GB"/>
        </w:rPr>
        <w:t>. We further acknowledge th</w:t>
      </w:r>
      <w:r w:rsidR="006C12F6" w:rsidRPr="0003073C">
        <w:rPr>
          <w:lang w:val="en-GB"/>
        </w:rPr>
        <w:t>at</w:t>
      </w:r>
      <w:r w:rsidR="006A3799" w:rsidRPr="0003073C">
        <w:rPr>
          <w:lang w:val="en-GB"/>
        </w:rPr>
        <w:t xml:space="preserve"> lack of persistence and adherence to medications</w:t>
      </w:r>
      <w:r w:rsidR="006C12F6" w:rsidRPr="0003073C">
        <w:rPr>
          <w:lang w:val="en-GB"/>
        </w:rPr>
        <w:t xml:space="preserve"> may play a role, but cannot be directly measured in our study</w:t>
      </w:r>
      <w:r w:rsidR="006A3799" w:rsidRPr="0003073C">
        <w:rPr>
          <w:lang w:val="en-GB"/>
        </w:rPr>
        <w:t xml:space="preserve">. </w:t>
      </w:r>
      <w:r w:rsidR="003576C8" w:rsidRPr="0003073C">
        <w:rPr>
          <w:lang w:val="en-GB"/>
        </w:rPr>
        <w:t>We were unable to assess the change in heart rate with up-titration of β-blockers. While concurrent use of MRAs</w:t>
      </w:r>
      <w:r w:rsidR="001615A2" w:rsidRPr="0003073C">
        <w:rPr>
          <w:lang w:val="en-GB"/>
        </w:rPr>
        <w:t xml:space="preserve"> were </w:t>
      </w:r>
      <w:r w:rsidR="006C12F6" w:rsidRPr="0003073C">
        <w:rPr>
          <w:lang w:val="en-GB"/>
        </w:rPr>
        <w:t>accounted for</w:t>
      </w:r>
      <w:r w:rsidR="003576C8" w:rsidRPr="0003073C">
        <w:rPr>
          <w:lang w:val="en-GB"/>
        </w:rPr>
        <w:t xml:space="preserve"> (vs</w:t>
      </w:r>
      <w:r w:rsidR="006C12F6" w:rsidRPr="0003073C">
        <w:rPr>
          <w:lang w:val="en-GB"/>
        </w:rPr>
        <w:t xml:space="preserve"> non-use</w:t>
      </w:r>
      <w:r w:rsidR="003576C8" w:rsidRPr="0003073C">
        <w:rPr>
          <w:lang w:val="en-GB"/>
        </w:rPr>
        <w:t>)</w:t>
      </w:r>
      <w:r w:rsidR="006C12F6" w:rsidRPr="0003073C">
        <w:rPr>
          <w:lang w:val="en-GB"/>
        </w:rPr>
        <w:t xml:space="preserve">, </w:t>
      </w:r>
      <w:r w:rsidR="003576C8" w:rsidRPr="0003073C">
        <w:rPr>
          <w:lang w:val="en-GB"/>
        </w:rPr>
        <w:t>we did not assess different doses of MRAs</w:t>
      </w:r>
      <w:r w:rsidR="001615A2" w:rsidRPr="0003073C">
        <w:rPr>
          <w:lang w:val="en-GB"/>
        </w:rPr>
        <w:t xml:space="preserve">. </w:t>
      </w:r>
      <w:r w:rsidR="006C12F6" w:rsidRPr="0003073C">
        <w:rPr>
          <w:lang w:val="en-GB"/>
        </w:rPr>
        <w:t>Nonetheless, our observation ‘real world’ data from large cohorts may provide the best available evidence to guide clinically important decisions which are unlikely to be tested in future large randomized controlled trials</w:t>
      </w:r>
      <w:r w:rsidR="009E04BD" w:rsidRPr="0003073C">
        <w:rPr>
          <w:lang w:val="en-GB"/>
        </w:rPr>
        <w:t>.</w:t>
      </w:r>
    </w:p>
    <w:p w14:paraId="2729578E" w14:textId="77777777" w:rsidR="00436337" w:rsidRPr="0003073C" w:rsidRDefault="00436337" w:rsidP="007419B4">
      <w:pPr>
        <w:widowControl w:val="0"/>
        <w:spacing w:line="480" w:lineRule="auto"/>
        <w:rPr>
          <w:lang w:val="en-GB"/>
        </w:rPr>
      </w:pPr>
    </w:p>
    <w:p w14:paraId="5F5870F1" w14:textId="6F0BC654" w:rsidR="005A6780" w:rsidRPr="0003073C" w:rsidRDefault="005A6780" w:rsidP="007419B4">
      <w:pPr>
        <w:widowControl w:val="0"/>
        <w:spacing w:line="480" w:lineRule="auto"/>
        <w:rPr>
          <w:b/>
          <w:lang w:val="en-GB"/>
        </w:rPr>
      </w:pPr>
      <w:r w:rsidRPr="0003073C">
        <w:rPr>
          <w:b/>
          <w:lang w:val="en-GB"/>
        </w:rPr>
        <w:t>Conclusions</w:t>
      </w:r>
    </w:p>
    <w:p w14:paraId="1C51F8AA" w14:textId="00A405CA" w:rsidR="00A833BC" w:rsidRPr="0003073C" w:rsidRDefault="00465FFE" w:rsidP="0041427D">
      <w:pPr>
        <w:spacing w:line="480" w:lineRule="auto"/>
        <w:rPr>
          <w:b/>
          <w:lang w:val="en-GB"/>
        </w:rPr>
      </w:pPr>
      <w:r w:rsidRPr="0003073C">
        <w:rPr>
          <w:lang w:val="en-GB"/>
        </w:rPr>
        <w:t xml:space="preserve">Our multinational real-world data suggest that </w:t>
      </w:r>
      <w:r w:rsidR="008263A1" w:rsidRPr="0003073C">
        <w:rPr>
          <w:lang w:val="en-GB"/>
        </w:rPr>
        <w:t xml:space="preserve">although best outcomes were observed in patients attaining 100% GRTD for both </w:t>
      </w:r>
      <w:proofErr w:type="spellStart"/>
      <w:r w:rsidR="008263A1" w:rsidRPr="0003073C">
        <w:rPr>
          <w:lang w:val="en-GB"/>
        </w:rPr>
        <w:t>ACEi</w:t>
      </w:r>
      <w:proofErr w:type="spellEnd"/>
      <w:r w:rsidR="008263A1" w:rsidRPr="0003073C">
        <w:rPr>
          <w:lang w:val="en-GB"/>
        </w:rPr>
        <w:t xml:space="preserve">/ARB and β-blockers, such combined maximal up-titration was rarely achieved. </w:t>
      </w:r>
      <w:r w:rsidR="00E4032B" w:rsidRPr="0003073C">
        <w:rPr>
          <w:lang w:val="en-GB"/>
        </w:rPr>
        <w:t xml:space="preserve">Achieving lower doses of both drug classes to at least 50% GRTD was associated with better outcomes than reaching the target dose of only one class; and further up-titrating β-blockers to 100% GRTD was associated with greater mortality benefit than up-titrating </w:t>
      </w:r>
      <w:proofErr w:type="spellStart"/>
      <w:r w:rsidR="00E4032B" w:rsidRPr="0003073C">
        <w:rPr>
          <w:lang w:val="en-GB"/>
        </w:rPr>
        <w:t>ACEi</w:t>
      </w:r>
      <w:proofErr w:type="spellEnd"/>
      <w:r w:rsidR="00E4032B" w:rsidRPr="0003073C">
        <w:rPr>
          <w:lang w:val="en-GB"/>
        </w:rPr>
        <w:t>/ARB.</w:t>
      </w:r>
      <w:r w:rsidR="008263A1" w:rsidRPr="0003073C">
        <w:rPr>
          <w:lang w:val="en-US"/>
        </w:rPr>
        <w:t xml:space="preserve"> </w:t>
      </w:r>
      <w:r w:rsidR="0041427D" w:rsidRPr="0003073C">
        <w:rPr>
          <w:rFonts w:eastAsia="Times New Roman" w:cstheme="minorHAnsi"/>
          <w:lang w:val="en-US"/>
        </w:rPr>
        <w:t xml:space="preserve">Our data suggest that less is better than nothing, but since this is not a randomized controlled trial, no strong recommendations can be made. The only recommendation that can be made is that </w:t>
      </w:r>
      <w:proofErr w:type="spellStart"/>
      <w:r w:rsidR="0041427D" w:rsidRPr="0003073C">
        <w:rPr>
          <w:rFonts w:eastAsia="Times New Roman" w:cstheme="minorHAnsi"/>
          <w:lang w:val="en-US"/>
        </w:rPr>
        <w:t>ACEi</w:t>
      </w:r>
      <w:proofErr w:type="spellEnd"/>
      <w:r w:rsidR="0041427D" w:rsidRPr="0003073C">
        <w:rPr>
          <w:rFonts w:eastAsia="Times New Roman" w:cstheme="minorHAnsi"/>
          <w:lang w:val="en-US"/>
        </w:rPr>
        <w:t xml:space="preserve">/ARB and beta-blockers should be </w:t>
      </w:r>
      <w:proofErr w:type="spellStart"/>
      <w:r w:rsidR="0041427D" w:rsidRPr="0003073C">
        <w:rPr>
          <w:rFonts w:eastAsia="Times New Roman" w:cstheme="minorHAnsi"/>
          <w:lang w:val="en-US"/>
        </w:rPr>
        <w:t>uptitrated</w:t>
      </w:r>
      <w:proofErr w:type="spellEnd"/>
      <w:r w:rsidR="0041427D" w:rsidRPr="0003073C">
        <w:rPr>
          <w:rFonts w:eastAsia="Times New Roman" w:cstheme="minorHAnsi"/>
          <w:lang w:val="en-US"/>
        </w:rPr>
        <w:t xml:space="preserve"> to the recommended doses as stated in all heart failure guidelines.</w:t>
      </w:r>
    </w:p>
    <w:p w14:paraId="641134E1" w14:textId="663A0C21" w:rsidR="00156C25" w:rsidRPr="0003073C" w:rsidRDefault="00156C25" w:rsidP="007419B4">
      <w:pPr>
        <w:widowControl w:val="0"/>
        <w:spacing w:line="480" w:lineRule="auto"/>
        <w:rPr>
          <w:b/>
          <w:lang w:val="en-GB"/>
        </w:rPr>
      </w:pPr>
    </w:p>
    <w:p w14:paraId="5BF03DDB" w14:textId="50E055B2" w:rsidR="00156C25" w:rsidRPr="0003073C" w:rsidRDefault="00FE1ED7" w:rsidP="007419B4">
      <w:pPr>
        <w:widowControl w:val="0"/>
        <w:spacing w:line="480" w:lineRule="auto"/>
        <w:rPr>
          <w:b/>
          <w:lang w:val="en-GB"/>
        </w:rPr>
      </w:pPr>
      <w:r w:rsidRPr="0003073C">
        <w:rPr>
          <w:b/>
          <w:lang w:val="en-GB"/>
        </w:rPr>
        <w:t>Acknowledgements</w:t>
      </w:r>
    </w:p>
    <w:p w14:paraId="494478BD" w14:textId="6634A7E9" w:rsidR="00FE1ED7" w:rsidRPr="0003073C" w:rsidRDefault="00BA2CE8" w:rsidP="007419B4">
      <w:pPr>
        <w:widowControl w:val="0"/>
        <w:spacing w:line="480" w:lineRule="auto"/>
        <w:rPr>
          <w:lang w:val="en-GB"/>
        </w:rPr>
      </w:pPr>
      <w:r w:rsidRPr="0003073C">
        <w:rPr>
          <w:lang w:val="en-GB"/>
        </w:rPr>
        <w:t>The contribution of all site investigators and clinical coordinators are duly acknowledged</w:t>
      </w:r>
    </w:p>
    <w:p w14:paraId="63B3FDB3" w14:textId="46329A1F" w:rsidR="00A04A3F" w:rsidRPr="0003073C" w:rsidRDefault="00617E8C" w:rsidP="007419B4">
      <w:pPr>
        <w:spacing w:line="480" w:lineRule="auto"/>
        <w:rPr>
          <w:lang w:val="en-GB"/>
        </w:rPr>
      </w:pPr>
      <w:r w:rsidRPr="0003073C">
        <w:rPr>
          <w:lang w:val="en-GB"/>
        </w:rPr>
        <w:br w:type="page"/>
      </w:r>
    </w:p>
    <w:p w14:paraId="6F1D4AC9" w14:textId="59D1E110" w:rsidR="00E37C7E" w:rsidRPr="0003073C" w:rsidRDefault="00E37C7E" w:rsidP="007419B4">
      <w:pPr>
        <w:pStyle w:val="Titre1"/>
        <w:ind w:left="0"/>
        <w:rPr>
          <w:rFonts w:cs="Times New Roman"/>
          <w:sz w:val="24"/>
          <w:szCs w:val="24"/>
          <w:lang w:val="en-GB"/>
        </w:rPr>
      </w:pPr>
      <w:r w:rsidRPr="0003073C">
        <w:rPr>
          <w:rFonts w:cs="Times New Roman"/>
          <w:sz w:val="24"/>
          <w:szCs w:val="24"/>
          <w:lang w:val="en-GB"/>
        </w:rPr>
        <w:lastRenderedPageBreak/>
        <w:t>Funding</w:t>
      </w:r>
    </w:p>
    <w:p w14:paraId="5223952E" w14:textId="1D574ADA" w:rsidR="00093F42" w:rsidRPr="0003073C" w:rsidRDefault="00093F42" w:rsidP="007419B4">
      <w:pPr>
        <w:pStyle w:val="Titre1"/>
        <w:ind w:left="0"/>
        <w:rPr>
          <w:rFonts w:cs="Times New Roman"/>
          <w:b w:val="0"/>
          <w:sz w:val="24"/>
          <w:szCs w:val="24"/>
          <w:lang w:val="en-GB"/>
        </w:rPr>
      </w:pPr>
      <w:r w:rsidRPr="0003073C">
        <w:rPr>
          <w:rFonts w:cs="Times New Roman"/>
          <w:b w:val="0"/>
          <w:sz w:val="24"/>
          <w:szCs w:val="24"/>
          <w:lang w:val="en-GB"/>
        </w:rPr>
        <w:t xml:space="preserve">This work was supported by a grant from the European </w:t>
      </w:r>
      <w:r w:rsidR="00E37C7E" w:rsidRPr="0003073C">
        <w:rPr>
          <w:rFonts w:cs="Times New Roman"/>
          <w:b w:val="0"/>
          <w:sz w:val="24"/>
          <w:szCs w:val="24"/>
          <w:lang w:val="en-GB"/>
        </w:rPr>
        <w:t>Commission</w:t>
      </w:r>
      <w:r w:rsidRPr="0003073C">
        <w:rPr>
          <w:rFonts w:cs="Times New Roman"/>
          <w:b w:val="0"/>
          <w:sz w:val="24"/>
          <w:szCs w:val="24"/>
          <w:lang w:val="en-GB"/>
        </w:rPr>
        <w:t xml:space="preserve"> [FP7-242209-BIOSTAT-CHF; </w:t>
      </w:r>
      <w:proofErr w:type="spellStart"/>
      <w:r w:rsidRPr="0003073C">
        <w:rPr>
          <w:rFonts w:cs="Times New Roman"/>
          <w:b w:val="0"/>
          <w:sz w:val="24"/>
          <w:szCs w:val="24"/>
          <w:lang w:val="en-GB"/>
        </w:rPr>
        <w:t>EudraCT</w:t>
      </w:r>
      <w:proofErr w:type="spellEnd"/>
      <w:r w:rsidRPr="0003073C">
        <w:rPr>
          <w:rFonts w:cs="Times New Roman"/>
          <w:b w:val="0"/>
          <w:sz w:val="24"/>
          <w:szCs w:val="24"/>
          <w:lang w:val="en-GB"/>
        </w:rPr>
        <w:t xml:space="preserve"> 2010-020808-29]</w:t>
      </w:r>
    </w:p>
    <w:p w14:paraId="38DF520E" w14:textId="5381B22B" w:rsidR="00B437E6" w:rsidRPr="0003073C" w:rsidRDefault="00BA2CE8" w:rsidP="007419B4">
      <w:pPr>
        <w:pStyle w:val="Titre1"/>
        <w:ind w:left="0"/>
        <w:rPr>
          <w:rFonts w:cs="Times New Roman"/>
          <w:b w:val="0"/>
          <w:sz w:val="24"/>
          <w:szCs w:val="24"/>
          <w:lang w:val="en-GB"/>
        </w:rPr>
      </w:pPr>
      <w:r w:rsidRPr="0003073C">
        <w:rPr>
          <w:rFonts w:cs="Times New Roman"/>
          <w:b w:val="0"/>
          <w:sz w:val="24"/>
          <w:szCs w:val="24"/>
          <w:lang w:val="en-GB"/>
        </w:rPr>
        <w:t>The ASIAN-HF is supported by research grants from Boston Scientific Investigator Sponsored Research Program, National Medical Research Council of Singapore</w:t>
      </w:r>
      <w:r w:rsidR="008E3C14" w:rsidRPr="0003073C">
        <w:rPr>
          <w:rFonts w:cs="Times New Roman"/>
          <w:b w:val="0"/>
          <w:sz w:val="24"/>
          <w:szCs w:val="24"/>
          <w:lang w:val="en-GB"/>
        </w:rPr>
        <w:t xml:space="preserve"> (R-172-003-219-511)</w:t>
      </w:r>
      <w:r w:rsidRPr="0003073C">
        <w:rPr>
          <w:rFonts w:cs="Times New Roman"/>
          <w:b w:val="0"/>
          <w:sz w:val="24"/>
          <w:szCs w:val="24"/>
          <w:lang w:val="en-GB"/>
        </w:rPr>
        <w:t xml:space="preserve">, A*STAR Biomedical Research Council </w:t>
      </w:r>
      <w:r w:rsidR="008E3C14" w:rsidRPr="0003073C">
        <w:rPr>
          <w:rFonts w:cs="Times New Roman"/>
          <w:b w:val="0"/>
          <w:sz w:val="24"/>
          <w:szCs w:val="24"/>
          <w:lang w:val="en-GB"/>
        </w:rPr>
        <w:t xml:space="preserve">Asian </w:t>
      </w:r>
      <w:proofErr w:type="spellStart"/>
      <w:r w:rsidR="008E3C14" w:rsidRPr="0003073C">
        <w:rPr>
          <w:rFonts w:cs="Times New Roman"/>
          <w:b w:val="0"/>
          <w:sz w:val="24"/>
          <w:szCs w:val="24"/>
          <w:lang w:val="en-GB"/>
        </w:rPr>
        <w:t>neTwork</w:t>
      </w:r>
      <w:proofErr w:type="spellEnd"/>
      <w:r w:rsidR="008E3C14" w:rsidRPr="0003073C">
        <w:rPr>
          <w:rFonts w:cs="Times New Roman"/>
          <w:b w:val="0"/>
          <w:sz w:val="24"/>
          <w:szCs w:val="24"/>
          <w:lang w:val="en-GB"/>
        </w:rPr>
        <w:t xml:space="preserve"> for Translational Research and Cardiovascular Trials (</w:t>
      </w:r>
      <w:proofErr w:type="spellStart"/>
      <w:r w:rsidRPr="0003073C">
        <w:rPr>
          <w:rFonts w:cs="Times New Roman"/>
          <w:b w:val="0"/>
          <w:sz w:val="24"/>
          <w:szCs w:val="24"/>
          <w:lang w:val="en-GB"/>
        </w:rPr>
        <w:t>ATTRaCT</w:t>
      </w:r>
      <w:proofErr w:type="spellEnd"/>
      <w:r w:rsidR="008E3C14" w:rsidRPr="0003073C">
        <w:rPr>
          <w:rFonts w:cs="Times New Roman"/>
          <w:b w:val="0"/>
          <w:sz w:val="24"/>
          <w:szCs w:val="24"/>
          <w:lang w:val="en-GB"/>
        </w:rPr>
        <w:t>)</w:t>
      </w:r>
      <w:r w:rsidRPr="0003073C">
        <w:rPr>
          <w:rFonts w:cs="Times New Roman"/>
          <w:b w:val="0"/>
          <w:sz w:val="24"/>
          <w:szCs w:val="24"/>
          <w:lang w:val="en-GB"/>
        </w:rPr>
        <w:t xml:space="preserve"> program</w:t>
      </w:r>
      <w:r w:rsidR="008E3C14" w:rsidRPr="0003073C">
        <w:rPr>
          <w:rFonts w:cs="Times New Roman"/>
          <w:b w:val="0"/>
          <w:sz w:val="24"/>
          <w:szCs w:val="24"/>
          <w:lang w:val="en-GB"/>
        </w:rPr>
        <w:t xml:space="preserve"> (SPF2014/003, SPF2014/004, SPF2014/005)</w:t>
      </w:r>
      <w:r w:rsidRPr="0003073C">
        <w:rPr>
          <w:rFonts w:cs="Times New Roman"/>
          <w:b w:val="0"/>
          <w:sz w:val="24"/>
          <w:szCs w:val="24"/>
          <w:lang w:val="en-GB"/>
        </w:rPr>
        <w:t xml:space="preserve">, and Bayer. </w:t>
      </w:r>
    </w:p>
    <w:p w14:paraId="0D699F51" w14:textId="77777777" w:rsidR="00E37C7E" w:rsidRPr="0003073C" w:rsidRDefault="00E37C7E" w:rsidP="007419B4">
      <w:pPr>
        <w:pStyle w:val="Titre1"/>
        <w:ind w:left="0"/>
        <w:rPr>
          <w:rFonts w:cs="Times New Roman"/>
          <w:b w:val="0"/>
          <w:sz w:val="24"/>
          <w:szCs w:val="24"/>
          <w:lang w:val="en-GB"/>
        </w:rPr>
      </w:pPr>
    </w:p>
    <w:p w14:paraId="6290B29F" w14:textId="2C49902B" w:rsidR="00BA2CE8" w:rsidRPr="0003073C" w:rsidRDefault="00E37C7E" w:rsidP="007419B4">
      <w:pPr>
        <w:pStyle w:val="Titre1"/>
        <w:ind w:left="0"/>
        <w:rPr>
          <w:rFonts w:cs="Times New Roman"/>
          <w:sz w:val="24"/>
          <w:szCs w:val="24"/>
          <w:lang w:val="en-GB"/>
        </w:rPr>
      </w:pPr>
      <w:r w:rsidRPr="0003073C">
        <w:rPr>
          <w:rFonts w:cs="Times New Roman"/>
          <w:sz w:val="24"/>
          <w:szCs w:val="24"/>
          <w:lang w:val="en-GB"/>
        </w:rPr>
        <w:t>Declaration of interests (alphabetical order):</w:t>
      </w:r>
    </w:p>
    <w:p w14:paraId="7A01E03E" w14:textId="6B006307" w:rsidR="000B575C" w:rsidRPr="0003073C" w:rsidRDefault="00DF29A9" w:rsidP="007419B4">
      <w:pPr>
        <w:pStyle w:val="Titre1"/>
        <w:ind w:left="0"/>
        <w:rPr>
          <w:rFonts w:cs="Times New Roman"/>
          <w:sz w:val="24"/>
          <w:szCs w:val="24"/>
        </w:rPr>
      </w:pPr>
      <w:r w:rsidRPr="0003073C">
        <w:rPr>
          <w:rFonts w:cs="Times New Roman"/>
          <w:b w:val="0"/>
          <w:sz w:val="24"/>
          <w:szCs w:val="24"/>
          <w:lang w:val="en-GB"/>
        </w:rPr>
        <w:t xml:space="preserve">CSL is supported by a Clinician Scientist Award from the National Medical Research Council of Singapore; has received research support from Boston Scientific, Bayer, Roche Diagnostics, AstraZeneca, Medtronic, and </w:t>
      </w:r>
      <w:proofErr w:type="spellStart"/>
      <w:r w:rsidRPr="0003073C">
        <w:rPr>
          <w:rFonts w:cs="Times New Roman"/>
          <w:b w:val="0"/>
          <w:sz w:val="24"/>
          <w:szCs w:val="24"/>
          <w:lang w:val="en-GB"/>
        </w:rPr>
        <w:t>Vifor</w:t>
      </w:r>
      <w:proofErr w:type="spellEnd"/>
      <w:r w:rsidRPr="0003073C">
        <w:rPr>
          <w:rFonts w:cs="Times New Roman"/>
          <w:b w:val="0"/>
          <w:sz w:val="24"/>
          <w:szCs w:val="24"/>
          <w:lang w:val="en-GB"/>
        </w:rPr>
        <w:t xml:space="preserve"> Pharma; has served as consultant or on the Advisory Board/ Steering Committee/ Executive Committee for Boston Scientific, Bayer, Roche Diagnostics, AstraZeneca, Medtronic, </w:t>
      </w:r>
      <w:proofErr w:type="spellStart"/>
      <w:r w:rsidRPr="0003073C">
        <w:rPr>
          <w:rFonts w:cs="Times New Roman"/>
          <w:b w:val="0"/>
          <w:sz w:val="24"/>
          <w:szCs w:val="24"/>
          <w:lang w:val="en-GB"/>
        </w:rPr>
        <w:t>Vifor</w:t>
      </w:r>
      <w:proofErr w:type="spellEnd"/>
      <w:r w:rsidRPr="0003073C">
        <w:rPr>
          <w:rFonts w:cs="Times New Roman"/>
          <w:b w:val="0"/>
          <w:sz w:val="24"/>
          <w:szCs w:val="24"/>
          <w:lang w:val="en-GB"/>
        </w:rPr>
        <w:t xml:space="preserve"> Pharma, Novartis, Amgen, Merck, Janssen Research &amp; Development LLC, </w:t>
      </w:r>
      <w:proofErr w:type="spellStart"/>
      <w:r w:rsidRPr="0003073C">
        <w:rPr>
          <w:rFonts w:cs="Times New Roman"/>
          <w:b w:val="0"/>
          <w:sz w:val="24"/>
          <w:szCs w:val="24"/>
          <w:lang w:val="en-GB"/>
        </w:rPr>
        <w:t>Menarini</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Boehringer</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Ingelheim</w:t>
      </w:r>
      <w:proofErr w:type="spellEnd"/>
      <w:r w:rsidRPr="0003073C">
        <w:rPr>
          <w:rFonts w:cs="Times New Roman"/>
          <w:b w:val="0"/>
          <w:sz w:val="24"/>
          <w:szCs w:val="24"/>
          <w:lang w:val="en-GB"/>
        </w:rPr>
        <w:t xml:space="preserve">, Novo Nordisk, Abbott Diagnostics, </w:t>
      </w:r>
      <w:proofErr w:type="spellStart"/>
      <w:r w:rsidRPr="0003073C">
        <w:rPr>
          <w:rFonts w:cs="Times New Roman"/>
          <w:b w:val="0"/>
          <w:sz w:val="24"/>
          <w:szCs w:val="24"/>
          <w:lang w:val="en-GB"/>
        </w:rPr>
        <w:t>Corvia</w:t>
      </w:r>
      <w:proofErr w:type="spellEnd"/>
      <w:r w:rsidRPr="0003073C">
        <w:rPr>
          <w:rFonts w:cs="Times New Roman"/>
          <w:b w:val="0"/>
          <w:sz w:val="24"/>
          <w:szCs w:val="24"/>
          <w:lang w:val="en-GB"/>
        </w:rPr>
        <w:t xml:space="preserve">, Stealth </w:t>
      </w:r>
      <w:proofErr w:type="spellStart"/>
      <w:r w:rsidRPr="0003073C">
        <w:rPr>
          <w:rFonts w:cs="Times New Roman"/>
          <w:b w:val="0"/>
          <w:sz w:val="24"/>
          <w:szCs w:val="24"/>
          <w:lang w:val="en-GB"/>
        </w:rPr>
        <w:t>BioTherapeutics</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JanaCare</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Biofourmis</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Darma</w:t>
      </w:r>
      <w:proofErr w:type="spellEnd"/>
      <w:r w:rsidRPr="0003073C">
        <w:rPr>
          <w:rFonts w:cs="Times New Roman"/>
          <w:b w:val="0"/>
          <w:sz w:val="24"/>
          <w:szCs w:val="24"/>
          <w:lang w:val="en-GB"/>
        </w:rPr>
        <w:t xml:space="preserve">, Applied Therapeutics, </w:t>
      </w:r>
      <w:proofErr w:type="spellStart"/>
      <w:r w:rsidRPr="0003073C">
        <w:rPr>
          <w:rFonts w:cs="Times New Roman"/>
          <w:b w:val="0"/>
          <w:sz w:val="24"/>
          <w:szCs w:val="24"/>
          <w:lang w:val="en-GB"/>
        </w:rPr>
        <w:t>MyoKardia</w:t>
      </w:r>
      <w:proofErr w:type="spellEnd"/>
      <w:r w:rsidRPr="0003073C">
        <w:rPr>
          <w:rFonts w:cs="Times New Roman"/>
          <w:b w:val="0"/>
          <w:sz w:val="24"/>
          <w:szCs w:val="24"/>
          <w:lang w:val="en-GB"/>
        </w:rPr>
        <w:t>, WebMD Global LLC, Radcliffe Group Ltd and Corpus.</w:t>
      </w:r>
      <w:r w:rsidR="00B8263C" w:rsidRPr="0003073C">
        <w:rPr>
          <w:rFonts w:cs="Times New Roman"/>
          <w:sz w:val="24"/>
          <w:szCs w:val="24"/>
        </w:rPr>
        <w:t xml:space="preserve"> </w:t>
      </w:r>
    </w:p>
    <w:p w14:paraId="6A2711A2" w14:textId="08E3ECAC" w:rsidR="00C050FE" w:rsidRPr="0003073C" w:rsidRDefault="003C231D" w:rsidP="007419B4">
      <w:pPr>
        <w:pStyle w:val="Titre1"/>
        <w:ind w:left="0"/>
        <w:rPr>
          <w:rFonts w:cs="Times New Roman"/>
          <w:b w:val="0"/>
          <w:sz w:val="24"/>
          <w:szCs w:val="24"/>
          <w:lang w:val="en-GB"/>
        </w:rPr>
      </w:pPr>
      <w:r w:rsidRPr="0003073C">
        <w:rPr>
          <w:rFonts w:cs="Times New Roman"/>
          <w:b w:val="0"/>
          <w:sz w:val="24"/>
          <w:szCs w:val="24"/>
          <w:lang w:val="en-GB"/>
        </w:rPr>
        <w:t xml:space="preserve">AAV received grants from European Commission; personal fees from Amgen, </w:t>
      </w:r>
      <w:proofErr w:type="spellStart"/>
      <w:r w:rsidRPr="0003073C">
        <w:rPr>
          <w:rFonts w:cs="Times New Roman"/>
          <w:b w:val="0"/>
          <w:sz w:val="24"/>
          <w:szCs w:val="24"/>
          <w:lang w:val="en-GB"/>
        </w:rPr>
        <w:t>Boehringer</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Ingelheim</w:t>
      </w:r>
      <w:proofErr w:type="spellEnd"/>
      <w:r w:rsidRPr="0003073C">
        <w:rPr>
          <w:rFonts w:cs="Times New Roman"/>
          <w:b w:val="0"/>
          <w:sz w:val="24"/>
          <w:szCs w:val="24"/>
          <w:lang w:val="en-GB"/>
        </w:rPr>
        <w:t xml:space="preserve">, AstraZeneca, Bayer, Cytokinetics, GSK, </w:t>
      </w:r>
      <w:proofErr w:type="spellStart"/>
      <w:r w:rsidRPr="0003073C">
        <w:rPr>
          <w:rFonts w:cs="Times New Roman"/>
          <w:b w:val="0"/>
          <w:sz w:val="24"/>
          <w:szCs w:val="24"/>
          <w:lang w:val="en-GB"/>
        </w:rPr>
        <w:t>Myokardia</w:t>
      </w:r>
      <w:proofErr w:type="spellEnd"/>
      <w:r w:rsidRPr="0003073C">
        <w:rPr>
          <w:rFonts w:cs="Times New Roman"/>
          <w:b w:val="0"/>
          <w:sz w:val="24"/>
          <w:szCs w:val="24"/>
          <w:lang w:val="en-GB"/>
        </w:rPr>
        <w:t xml:space="preserve">, </w:t>
      </w:r>
      <w:r w:rsidR="000B575C" w:rsidRPr="0003073C">
        <w:rPr>
          <w:rFonts w:cs="Times New Roman"/>
          <w:b w:val="0"/>
          <w:sz w:val="24"/>
          <w:szCs w:val="24"/>
          <w:lang w:val="en-GB"/>
        </w:rPr>
        <w:t xml:space="preserve">Novartis, </w:t>
      </w:r>
      <w:proofErr w:type="spellStart"/>
      <w:r w:rsidR="000B575C" w:rsidRPr="0003073C">
        <w:rPr>
          <w:rFonts w:cs="Times New Roman"/>
          <w:b w:val="0"/>
          <w:sz w:val="24"/>
          <w:szCs w:val="24"/>
          <w:lang w:val="en-GB"/>
        </w:rPr>
        <w:t>Servier</w:t>
      </w:r>
      <w:proofErr w:type="spellEnd"/>
      <w:r w:rsidR="000B575C" w:rsidRPr="0003073C">
        <w:rPr>
          <w:rFonts w:cs="Times New Roman"/>
          <w:b w:val="0"/>
          <w:sz w:val="24"/>
          <w:szCs w:val="24"/>
          <w:lang w:val="en-GB"/>
        </w:rPr>
        <w:t xml:space="preserve">, </w:t>
      </w:r>
      <w:r w:rsidRPr="0003073C">
        <w:rPr>
          <w:rFonts w:cs="Times New Roman"/>
          <w:b w:val="0"/>
          <w:sz w:val="24"/>
          <w:szCs w:val="24"/>
          <w:lang w:val="en-GB"/>
        </w:rPr>
        <w:t>grants and personal fees from Roche diagnostics</w:t>
      </w:r>
      <w:r w:rsidR="000B575C" w:rsidRPr="0003073C">
        <w:rPr>
          <w:rFonts w:cs="Times New Roman"/>
          <w:b w:val="0"/>
          <w:sz w:val="24"/>
          <w:szCs w:val="24"/>
          <w:lang w:val="en-GB"/>
        </w:rPr>
        <w:t>.</w:t>
      </w:r>
    </w:p>
    <w:p w14:paraId="149478A3" w14:textId="74F9D545" w:rsidR="00C050FE" w:rsidRPr="0003073C" w:rsidRDefault="00C050FE" w:rsidP="007419B4">
      <w:pPr>
        <w:pStyle w:val="Titre1"/>
        <w:ind w:left="0"/>
        <w:rPr>
          <w:rFonts w:cs="Times New Roman"/>
          <w:b w:val="0"/>
          <w:sz w:val="24"/>
          <w:szCs w:val="24"/>
          <w:lang w:val="en-GB"/>
        </w:rPr>
      </w:pPr>
      <w:proofErr w:type="spellStart"/>
      <w:r w:rsidRPr="0003073C">
        <w:rPr>
          <w:rFonts w:cs="Times New Roman"/>
          <w:b w:val="0"/>
          <w:sz w:val="24"/>
          <w:szCs w:val="24"/>
          <w:lang w:val="en-GB"/>
        </w:rPr>
        <w:t>Metra</w:t>
      </w:r>
      <w:proofErr w:type="spellEnd"/>
      <w:r w:rsidRPr="0003073C">
        <w:rPr>
          <w:rFonts w:cs="Times New Roman"/>
          <w:b w:val="0"/>
          <w:sz w:val="24"/>
          <w:szCs w:val="24"/>
          <w:lang w:val="en-GB"/>
        </w:rPr>
        <w:t xml:space="preserve"> received consulting honoraria from Amgen, Bayer, Novartis, </w:t>
      </w:r>
      <w:proofErr w:type="spellStart"/>
      <w:r w:rsidRPr="0003073C">
        <w:rPr>
          <w:rFonts w:cs="Times New Roman"/>
          <w:b w:val="0"/>
          <w:sz w:val="24"/>
          <w:szCs w:val="24"/>
          <w:lang w:val="en-GB"/>
        </w:rPr>
        <w:t>Servier</w:t>
      </w:r>
      <w:proofErr w:type="spellEnd"/>
    </w:p>
    <w:p w14:paraId="3F72AE8F" w14:textId="77777777" w:rsidR="00C050FE" w:rsidRPr="0003073C" w:rsidRDefault="00C050FE" w:rsidP="007419B4">
      <w:pPr>
        <w:pStyle w:val="Titre1"/>
        <w:ind w:left="0"/>
        <w:rPr>
          <w:rFonts w:cs="Times New Roman"/>
          <w:b w:val="0"/>
          <w:sz w:val="24"/>
          <w:szCs w:val="24"/>
          <w:lang w:val="en-GB"/>
        </w:rPr>
      </w:pPr>
      <w:r w:rsidRPr="0003073C">
        <w:rPr>
          <w:rFonts w:cs="Times New Roman"/>
          <w:b w:val="0"/>
          <w:sz w:val="24"/>
          <w:szCs w:val="24"/>
          <w:lang w:val="en-GB"/>
        </w:rPr>
        <w:lastRenderedPageBreak/>
        <w:t xml:space="preserve">Anker reports consultancy for </w:t>
      </w:r>
      <w:proofErr w:type="spellStart"/>
      <w:r w:rsidRPr="0003073C">
        <w:rPr>
          <w:rFonts w:cs="Times New Roman"/>
          <w:b w:val="0"/>
          <w:sz w:val="24"/>
          <w:szCs w:val="24"/>
          <w:lang w:val="en-GB"/>
        </w:rPr>
        <w:t>Thermo</w:t>
      </w:r>
      <w:proofErr w:type="spellEnd"/>
      <w:r w:rsidRPr="0003073C">
        <w:rPr>
          <w:rFonts w:cs="Times New Roman"/>
          <w:b w:val="0"/>
          <w:sz w:val="24"/>
          <w:szCs w:val="24"/>
          <w:lang w:val="en-GB"/>
        </w:rPr>
        <w:t xml:space="preserve"> Fisher, and Consultancy and Research Support from </w:t>
      </w:r>
      <w:proofErr w:type="spellStart"/>
      <w:r w:rsidRPr="0003073C">
        <w:rPr>
          <w:rFonts w:cs="Times New Roman"/>
          <w:b w:val="0"/>
          <w:sz w:val="24"/>
          <w:szCs w:val="24"/>
          <w:lang w:val="en-GB"/>
        </w:rPr>
        <w:t>Vifor</w:t>
      </w:r>
      <w:proofErr w:type="spellEnd"/>
      <w:r w:rsidRPr="0003073C">
        <w:rPr>
          <w:rFonts w:cs="Times New Roman"/>
          <w:b w:val="0"/>
          <w:sz w:val="24"/>
          <w:szCs w:val="24"/>
          <w:lang w:val="en-GB"/>
        </w:rPr>
        <w:t xml:space="preserve"> Pharma</w:t>
      </w:r>
    </w:p>
    <w:p w14:paraId="168ADBDA" w14:textId="3DC99B40" w:rsidR="000B575C" w:rsidRPr="0003073C" w:rsidRDefault="00C050FE" w:rsidP="003613A8">
      <w:pPr>
        <w:pStyle w:val="Titre1"/>
        <w:ind w:left="0"/>
        <w:rPr>
          <w:rFonts w:cs="Times New Roman"/>
          <w:b w:val="0"/>
          <w:sz w:val="24"/>
          <w:szCs w:val="24"/>
          <w:lang w:val="en-GB"/>
        </w:rPr>
      </w:pPr>
      <w:proofErr w:type="spellStart"/>
      <w:r w:rsidRPr="0003073C">
        <w:rPr>
          <w:rFonts w:cs="Times New Roman"/>
          <w:b w:val="0"/>
          <w:sz w:val="24"/>
          <w:szCs w:val="24"/>
          <w:lang w:val="en-GB"/>
        </w:rPr>
        <w:t>Filippatos</w:t>
      </w:r>
      <w:proofErr w:type="spellEnd"/>
      <w:r w:rsidRPr="0003073C">
        <w:rPr>
          <w:rFonts w:cs="Times New Roman"/>
          <w:b w:val="0"/>
          <w:sz w:val="24"/>
          <w:szCs w:val="24"/>
          <w:lang w:val="en-GB"/>
        </w:rPr>
        <w:t xml:space="preserve"> received fees and/ or research grants from Novartis, Bayer, </w:t>
      </w:r>
      <w:proofErr w:type="spellStart"/>
      <w:r w:rsidRPr="0003073C">
        <w:rPr>
          <w:rFonts w:cs="Times New Roman"/>
          <w:b w:val="0"/>
          <w:sz w:val="24"/>
          <w:szCs w:val="24"/>
          <w:lang w:val="en-GB"/>
        </w:rPr>
        <w:t>Cardiorentis</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Vifor</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Servier</w:t>
      </w:r>
      <w:proofErr w:type="spellEnd"/>
      <w:r w:rsidRPr="0003073C">
        <w:rPr>
          <w:rFonts w:cs="Times New Roman"/>
          <w:b w:val="0"/>
          <w:sz w:val="24"/>
          <w:szCs w:val="24"/>
          <w:lang w:val="en-GB"/>
        </w:rPr>
        <w:t xml:space="preserve">, </w:t>
      </w:r>
      <w:proofErr w:type="spellStart"/>
      <w:r w:rsidRPr="0003073C">
        <w:rPr>
          <w:rFonts w:cs="Times New Roman"/>
          <w:b w:val="0"/>
          <w:sz w:val="24"/>
          <w:szCs w:val="24"/>
          <w:lang w:val="en-GB"/>
        </w:rPr>
        <w:t>Alere</w:t>
      </w:r>
      <w:proofErr w:type="spellEnd"/>
      <w:r w:rsidRPr="0003073C">
        <w:rPr>
          <w:rFonts w:cs="Times New Roman"/>
          <w:b w:val="0"/>
          <w:sz w:val="24"/>
          <w:szCs w:val="24"/>
          <w:lang w:val="en-GB"/>
        </w:rPr>
        <w:t>, Abbott</w:t>
      </w:r>
    </w:p>
    <w:p w14:paraId="4C134F5D" w14:textId="797D7D7B" w:rsidR="008502C5" w:rsidRPr="0003073C" w:rsidRDefault="003C231D" w:rsidP="007419B4">
      <w:pPr>
        <w:spacing w:line="480" w:lineRule="auto"/>
        <w:jc w:val="both"/>
        <w:rPr>
          <w:lang w:val="en-US"/>
        </w:rPr>
      </w:pPr>
      <w:r w:rsidRPr="0003073C">
        <w:rPr>
          <w:lang w:val="en-US"/>
        </w:rPr>
        <w:t xml:space="preserve">AMR has received research support from Boston Scientific, Bayer, Astra Zeneca, Medtronic, Roche Diagnostics, Abbott Laboratories, </w:t>
      </w:r>
      <w:proofErr w:type="spellStart"/>
      <w:r w:rsidRPr="0003073C">
        <w:rPr>
          <w:lang w:val="en-US"/>
        </w:rPr>
        <w:t>Thermo</w:t>
      </w:r>
      <w:proofErr w:type="spellEnd"/>
      <w:r w:rsidRPr="0003073C">
        <w:rPr>
          <w:lang w:val="en-US"/>
        </w:rPr>
        <w:t xml:space="preserve"> Fisher, </w:t>
      </w:r>
      <w:proofErr w:type="gramStart"/>
      <w:r w:rsidRPr="0003073C">
        <w:rPr>
          <w:lang w:val="en-US"/>
        </w:rPr>
        <w:t>Critical</w:t>
      </w:r>
      <w:proofErr w:type="gramEnd"/>
      <w:r w:rsidRPr="0003073C">
        <w:rPr>
          <w:lang w:val="en-US"/>
        </w:rPr>
        <w:t xml:space="preserve"> Diagnostics and has consulted for Bayer, Novartis, Merck, Astra Zeneca, Roche Diagnostics.</w:t>
      </w:r>
      <w:r w:rsidR="008502C5" w:rsidRPr="0003073C">
        <w:rPr>
          <w:lang w:val="en-US"/>
        </w:rPr>
        <w:br w:type="page"/>
      </w:r>
    </w:p>
    <w:p w14:paraId="54A9D2E0" w14:textId="77777777" w:rsidR="00F778E5" w:rsidRPr="0003073C" w:rsidRDefault="00F778E5" w:rsidP="007419B4">
      <w:pPr>
        <w:spacing w:after="200" w:line="480" w:lineRule="auto"/>
        <w:jc w:val="both"/>
        <w:rPr>
          <w:rFonts w:eastAsia="SimSun"/>
          <w:b/>
          <w:lang w:val="en-GB" w:eastAsia="zh-CN"/>
        </w:rPr>
      </w:pPr>
      <w:r w:rsidRPr="0003073C">
        <w:rPr>
          <w:rFonts w:eastAsia="SimSun"/>
          <w:b/>
          <w:lang w:val="en-GB" w:eastAsia="zh-CN"/>
        </w:rPr>
        <w:lastRenderedPageBreak/>
        <w:t>APPENDIX I</w:t>
      </w:r>
    </w:p>
    <w:p w14:paraId="120BAD46" w14:textId="77777777" w:rsidR="00F778E5" w:rsidRPr="0003073C" w:rsidRDefault="00F778E5" w:rsidP="007419B4">
      <w:pPr>
        <w:spacing w:after="200" w:line="480" w:lineRule="auto"/>
        <w:jc w:val="both"/>
        <w:rPr>
          <w:rFonts w:eastAsia="SimSun"/>
          <w:lang w:val="en-GB" w:eastAsia="zh-CN"/>
        </w:rPr>
      </w:pPr>
      <w:r w:rsidRPr="0003073C">
        <w:rPr>
          <w:rFonts w:eastAsia="SimSun"/>
          <w:lang w:val="en-GB" w:eastAsia="zh-CN"/>
        </w:rPr>
        <w:t xml:space="preserve">The ASIAN-HF investigators author block </w:t>
      </w:r>
    </w:p>
    <w:p w14:paraId="65031E5C" w14:textId="77777777" w:rsidR="00F778E5" w:rsidRPr="0003073C" w:rsidRDefault="00F778E5" w:rsidP="007419B4">
      <w:pPr>
        <w:tabs>
          <w:tab w:val="left" w:pos="720"/>
        </w:tabs>
        <w:spacing w:before="240" w:after="60" w:line="360" w:lineRule="auto"/>
        <w:jc w:val="center"/>
        <w:outlineLvl w:val="1"/>
        <w:rPr>
          <w:rFonts w:eastAsia="Times New Roman"/>
          <w:b/>
          <w:bCs/>
          <w:lang w:eastAsia="en-SG"/>
        </w:rPr>
      </w:pPr>
      <w:bookmarkStart w:id="0" w:name="_Toc362445406"/>
      <w:r w:rsidRPr="0003073C">
        <w:rPr>
          <w:rFonts w:eastAsia="Times New Roman"/>
          <w:b/>
          <w:bCs/>
          <w:lang w:eastAsia="en-SG"/>
        </w:rPr>
        <w:t>THE ASIAN-HF EXECUTIVE COMMITTEE</w:t>
      </w:r>
      <w:bookmarkEnd w:id="0"/>
    </w:p>
    <w:p w14:paraId="43B097A6" w14:textId="77777777" w:rsidR="00F778E5" w:rsidRPr="0003073C" w:rsidRDefault="00F778E5" w:rsidP="007419B4">
      <w:pPr>
        <w:numPr>
          <w:ilvl w:val="0"/>
          <w:numId w:val="19"/>
        </w:numPr>
        <w:spacing w:after="200" w:line="276" w:lineRule="auto"/>
        <w:ind w:left="0"/>
        <w:contextualSpacing/>
        <w:rPr>
          <w:rFonts w:eastAsia="Yu Mincho"/>
          <w:lang w:val="en-SG" w:eastAsia="ja-JP"/>
        </w:rPr>
      </w:pPr>
      <w:r w:rsidRPr="0003073C">
        <w:rPr>
          <w:rFonts w:eastAsia="Yu Mincho"/>
          <w:lang w:val="en-US" w:eastAsia="ja-JP"/>
        </w:rPr>
        <w:t xml:space="preserve">Professor A. Mark Richards (as Chairman), Cardiovascular Research Institute, National University of Singapore, Singapore. </w:t>
      </w:r>
      <w:r w:rsidRPr="0003073C">
        <w:rPr>
          <w:rFonts w:eastAsia="Yu Mincho"/>
          <w:lang w:eastAsia="ja-JP"/>
        </w:rPr>
        <w:t xml:space="preserve">Email: </w:t>
      </w:r>
      <w:hyperlink r:id="rId10" w:history="1">
        <w:r w:rsidRPr="0003073C">
          <w:rPr>
            <w:rFonts w:eastAsia="Yu Mincho"/>
            <w:u w:val="single"/>
            <w:lang w:eastAsia="ja-JP"/>
          </w:rPr>
          <w:t>mdcarthu@nus.edu.sg</w:t>
        </w:r>
      </w:hyperlink>
      <w:r w:rsidRPr="0003073C">
        <w:rPr>
          <w:rFonts w:eastAsia="Yu Mincho"/>
          <w:u w:val="single"/>
          <w:lang w:eastAsia="ja-JP"/>
        </w:rPr>
        <w:t xml:space="preserve"> </w:t>
      </w:r>
    </w:p>
    <w:p w14:paraId="68B6882E" w14:textId="77777777" w:rsidR="00F778E5" w:rsidRPr="0003073C" w:rsidRDefault="00F778E5" w:rsidP="007419B4">
      <w:pPr>
        <w:numPr>
          <w:ilvl w:val="0"/>
          <w:numId w:val="19"/>
        </w:numPr>
        <w:spacing w:after="200" w:line="276" w:lineRule="auto"/>
        <w:ind w:left="0"/>
        <w:contextualSpacing/>
        <w:rPr>
          <w:rFonts w:eastAsia="Yu Mincho"/>
          <w:lang w:val="en-SG" w:eastAsia="ja-JP"/>
        </w:rPr>
      </w:pPr>
      <w:r w:rsidRPr="0003073C">
        <w:rPr>
          <w:rFonts w:eastAsia="Yu Mincho"/>
          <w:lang w:val="en-US" w:eastAsia="ja-JP"/>
        </w:rPr>
        <w:t xml:space="preserve">Professor Carolyn S.P. Lam (as Principal Investigator), National Heart Centre Singapore, Duke-NUS Medical School, Singapore. </w:t>
      </w:r>
      <w:r w:rsidRPr="0003073C">
        <w:rPr>
          <w:rFonts w:eastAsia="Yu Mincho"/>
          <w:lang w:eastAsia="ja-JP"/>
        </w:rPr>
        <w:t xml:space="preserve">Email: </w:t>
      </w:r>
      <w:hyperlink r:id="rId11" w:history="1">
        <w:r w:rsidRPr="0003073C">
          <w:rPr>
            <w:rFonts w:eastAsia="Yu Mincho"/>
            <w:u w:val="single"/>
            <w:lang w:eastAsia="ja-JP"/>
          </w:rPr>
          <w:t>carolyn.lam@duke-nus.edu.sg</w:t>
        </w:r>
      </w:hyperlink>
      <w:r w:rsidRPr="0003073C">
        <w:rPr>
          <w:rFonts w:eastAsia="Yu Mincho"/>
          <w:lang w:eastAsia="ja-JP"/>
        </w:rPr>
        <w:t xml:space="preserve"> </w:t>
      </w:r>
    </w:p>
    <w:p w14:paraId="3D93347D"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Professor </w:t>
      </w:r>
      <w:proofErr w:type="spellStart"/>
      <w:r w:rsidRPr="0003073C">
        <w:rPr>
          <w:rFonts w:eastAsia="Yu Mincho"/>
          <w:lang w:val="en-US" w:eastAsia="ja-JP"/>
        </w:rPr>
        <w:t>Inder</w:t>
      </w:r>
      <w:proofErr w:type="spellEnd"/>
      <w:r w:rsidRPr="0003073C">
        <w:rPr>
          <w:rFonts w:eastAsia="Yu Mincho"/>
          <w:lang w:val="en-US" w:eastAsia="ja-JP"/>
        </w:rPr>
        <w:t xml:space="preserve"> </w:t>
      </w:r>
      <w:proofErr w:type="spellStart"/>
      <w:r w:rsidRPr="0003073C">
        <w:rPr>
          <w:rFonts w:eastAsia="Yu Mincho"/>
          <w:lang w:val="en-US" w:eastAsia="ja-JP"/>
        </w:rPr>
        <w:t>Anand</w:t>
      </w:r>
      <w:proofErr w:type="spellEnd"/>
      <w:r w:rsidRPr="0003073C">
        <w:rPr>
          <w:rFonts w:eastAsia="Yu Mincho"/>
          <w:lang w:val="en-US" w:eastAsia="ja-JP"/>
        </w:rPr>
        <w:t xml:space="preserve"> (as Director, Publications Committee), University of Minnesota Medical School, VA Medical Center Minneapolis and San Diego, United States of America. </w:t>
      </w:r>
      <w:r w:rsidRPr="0003073C">
        <w:rPr>
          <w:rFonts w:eastAsia="Yu Mincho"/>
          <w:lang w:eastAsia="ja-JP"/>
        </w:rPr>
        <w:t xml:space="preserve">Email: </w:t>
      </w:r>
      <w:hyperlink r:id="rId12" w:history="1">
        <w:r w:rsidRPr="0003073C">
          <w:rPr>
            <w:rFonts w:eastAsia="Yu Mincho"/>
            <w:u w:val="single"/>
            <w:lang w:eastAsia="ja-JP"/>
          </w:rPr>
          <w:t>anand001@umn.edu</w:t>
        </w:r>
      </w:hyperlink>
    </w:p>
    <w:p w14:paraId="535168D7"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Dr Chung-</w:t>
      </w:r>
      <w:proofErr w:type="spellStart"/>
      <w:r w:rsidRPr="0003073C">
        <w:rPr>
          <w:rFonts w:eastAsia="Yu Mincho"/>
          <w:lang w:val="en-US" w:eastAsia="ja-JP"/>
        </w:rPr>
        <w:t>Lieh</w:t>
      </w:r>
      <w:proofErr w:type="spellEnd"/>
      <w:r w:rsidRPr="0003073C">
        <w:rPr>
          <w:rFonts w:eastAsia="Yu Mincho"/>
          <w:lang w:val="en-US" w:eastAsia="ja-JP"/>
        </w:rPr>
        <w:t xml:space="preserve"> Hung, Mackay Memorial Hospital, Taipei, Taiwan. </w:t>
      </w:r>
      <w:r w:rsidRPr="0003073C">
        <w:rPr>
          <w:rFonts w:eastAsia="Yu Mincho"/>
          <w:lang w:eastAsia="ja-JP"/>
        </w:rPr>
        <w:t xml:space="preserve">Email: </w:t>
      </w:r>
      <w:hyperlink r:id="rId13" w:history="1">
        <w:r w:rsidRPr="0003073C">
          <w:rPr>
            <w:rFonts w:eastAsia="Yu Mincho"/>
            <w:u w:val="single"/>
            <w:lang w:eastAsia="ja-JP"/>
          </w:rPr>
          <w:t>jotaro3791@gmail.com</w:t>
        </w:r>
      </w:hyperlink>
    </w:p>
    <w:p w14:paraId="752FDA3E"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Professor </w:t>
      </w:r>
      <w:proofErr w:type="spellStart"/>
      <w:r w:rsidRPr="0003073C">
        <w:rPr>
          <w:rFonts w:eastAsia="Yu Mincho"/>
          <w:lang w:val="en-US" w:eastAsia="ja-JP"/>
        </w:rPr>
        <w:t>Lieng</w:t>
      </w:r>
      <w:proofErr w:type="spellEnd"/>
      <w:r w:rsidRPr="0003073C">
        <w:rPr>
          <w:rFonts w:eastAsia="Yu Mincho"/>
          <w:lang w:val="en-US" w:eastAsia="ja-JP"/>
        </w:rPr>
        <w:t xml:space="preserve"> </w:t>
      </w:r>
      <w:proofErr w:type="spellStart"/>
      <w:r w:rsidRPr="0003073C">
        <w:rPr>
          <w:rFonts w:eastAsia="Yu Mincho"/>
          <w:lang w:val="en-US" w:eastAsia="ja-JP"/>
        </w:rPr>
        <w:t>Hsi</w:t>
      </w:r>
      <w:proofErr w:type="spellEnd"/>
      <w:r w:rsidRPr="0003073C">
        <w:rPr>
          <w:rFonts w:eastAsia="Yu Mincho"/>
          <w:lang w:val="en-US" w:eastAsia="ja-JP"/>
        </w:rPr>
        <w:t xml:space="preserve"> Ling (as Director, Echo Core Laboratory), Cardiovascular Research Institute, National University of Singapore, Singapore. </w:t>
      </w:r>
      <w:r w:rsidRPr="0003073C">
        <w:rPr>
          <w:rFonts w:eastAsia="Yu Mincho"/>
          <w:lang w:eastAsia="ja-JP"/>
        </w:rPr>
        <w:t xml:space="preserve">Email: </w:t>
      </w:r>
      <w:hyperlink r:id="rId14" w:history="1">
        <w:r w:rsidRPr="0003073C">
          <w:rPr>
            <w:rFonts w:eastAsia="Yu Mincho"/>
            <w:u w:val="single"/>
            <w:lang w:eastAsia="ja-JP"/>
          </w:rPr>
          <w:t>lieng_hsi_ling@nuhs.edu.sg</w:t>
        </w:r>
      </w:hyperlink>
    </w:p>
    <w:p w14:paraId="47D46A12"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Dr </w:t>
      </w:r>
      <w:proofErr w:type="spellStart"/>
      <w:r w:rsidRPr="0003073C">
        <w:rPr>
          <w:rFonts w:eastAsia="Yu Mincho"/>
          <w:lang w:val="en-US" w:eastAsia="ja-JP"/>
        </w:rPr>
        <w:t>Houng</w:t>
      </w:r>
      <w:proofErr w:type="spellEnd"/>
      <w:r w:rsidRPr="0003073C">
        <w:rPr>
          <w:rFonts w:eastAsia="Yu Mincho"/>
          <w:lang w:val="en-US" w:eastAsia="ja-JP"/>
        </w:rPr>
        <w:t xml:space="preserve"> Bang </w:t>
      </w:r>
      <w:proofErr w:type="spellStart"/>
      <w:r w:rsidRPr="0003073C">
        <w:rPr>
          <w:rFonts w:eastAsia="Yu Mincho"/>
          <w:lang w:val="en-US" w:eastAsia="ja-JP"/>
        </w:rPr>
        <w:t>Liew</w:t>
      </w:r>
      <w:proofErr w:type="spellEnd"/>
      <w:r w:rsidRPr="0003073C">
        <w:rPr>
          <w:rFonts w:eastAsia="Yu Mincho"/>
          <w:lang w:val="en-US" w:eastAsia="ja-JP"/>
        </w:rPr>
        <w:t xml:space="preserve">, Queen Elizabeth II Hospital, Clinical Research Center, Sabah, Malaysia. </w:t>
      </w:r>
      <w:r w:rsidRPr="0003073C">
        <w:rPr>
          <w:rFonts w:eastAsia="Yu Mincho"/>
          <w:lang w:eastAsia="ja-JP"/>
        </w:rPr>
        <w:t xml:space="preserve">Email: </w:t>
      </w:r>
      <w:hyperlink r:id="rId15" w:history="1">
        <w:r w:rsidRPr="0003073C">
          <w:rPr>
            <w:rFonts w:eastAsia="Yu Mincho"/>
            <w:u w:val="single"/>
            <w:lang w:eastAsia="ja-JP"/>
          </w:rPr>
          <w:t>hbliew22@gmail.com</w:t>
        </w:r>
      </w:hyperlink>
    </w:p>
    <w:p w14:paraId="3AF5FD98"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Dr </w:t>
      </w:r>
      <w:proofErr w:type="spellStart"/>
      <w:r w:rsidRPr="0003073C">
        <w:rPr>
          <w:rFonts w:eastAsia="Yu Mincho"/>
          <w:lang w:val="en-US" w:eastAsia="ja-JP"/>
        </w:rPr>
        <w:t>Calambur</w:t>
      </w:r>
      <w:proofErr w:type="spellEnd"/>
      <w:r w:rsidRPr="0003073C">
        <w:rPr>
          <w:rFonts w:eastAsia="Yu Mincho"/>
          <w:lang w:val="en-US" w:eastAsia="ja-JP"/>
        </w:rPr>
        <w:t xml:space="preserve"> </w:t>
      </w:r>
      <w:proofErr w:type="spellStart"/>
      <w:r w:rsidRPr="0003073C">
        <w:rPr>
          <w:rFonts w:eastAsia="Yu Mincho"/>
          <w:lang w:val="en-US" w:eastAsia="ja-JP"/>
        </w:rPr>
        <w:t>Narasimhan</w:t>
      </w:r>
      <w:proofErr w:type="spellEnd"/>
      <w:r w:rsidRPr="0003073C">
        <w:rPr>
          <w:rFonts w:eastAsia="Yu Mincho"/>
          <w:lang w:val="en-US" w:eastAsia="ja-JP"/>
        </w:rPr>
        <w:t xml:space="preserve">, Care Hospital, Hyderabad, India. </w:t>
      </w:r>
      <w:r w:rsidRPr="0003073C">
        <w:rPr>
          <w:rFonts w:eastAsia="Yu Mincho"/>
          <w:lang w:eastAsia="ja-JP"/>
        </w:rPr>
        <w:t xml:space="preserve">Email: </w:t>
      </w:r>
      <w:hyperlink r:id="rId16" w:history="1">
        <w:r w:rsidRPr="0003073C">
          <w:rPr>
            <w:rFonts w:eastAsia="Yu Mincho"/>
            <w:u w:val="single"/>
            <w:lang w:eastAsia="ja-JP"/>
          </w:rPr>
          <w:t>calambur@hotmail.com</w:t>
        </w:r>
      </w:hyperlink>
    </w:p>
    <w:p w14:paraId="0A0E8DE2"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Dr </w:t>
      </w:r>
      <w:proofErr w:type="spellStart"/>
      <w:r w:rsidRPr="0003073C">
        <w:rPr>
          <w:rFonts w:eastAsia="Yu Mincho"/>
          <w:lang w:val="en-US" w:eastAsia="ja-JP"/>
        </w:rPr>
        <w:t>Tachapong</w:t>
      </w:r>
      <w:proofErr w:type="spellEnd"/>
      <w:r w:rsidRPr="0003073C">
        <w:rPr>
          <w:rFonts w:eastAsia="Yu Mincho"/>
          <w:lang w:val="en-US" w:eastAsia="ja-JP"/>
        </w:rPr>
        <w:t xml:space="preserve"> </w:t>
      </w:r>
      <w:proofErr w:type="spellStart"/>
      <w:r w:rsidRPr="0003073C">
        <w:rPr>
          <w:rFonts w:eastAsia="Yu Mincho"/>
          <w:lang w:val="en-US" w:eastAsia="ja-JP"/>
        </w:rPr>
        <w:t>Ngarmukos</w:t>
      </w:r>
      <w:proofErr w:type="spellEnd"/>
      <w:r w:rsidRPr="0003073C">
        <w:rPr>
          <w:rFonts w:eastAsia="Yu Mincho"/>
          <w:lang w:val="en-US" w:eastAsia="ja-JP"/>
        </w:rPr>
        <w:t xml:space="preserve">, </w:t>
      </w:r>
      <w:proofErr w:type="spellStart"/>
      <w:r w:rsidRPr="0003073C">
        <w:rPr>
          <w:rFonts w:eastAsia="Yu Mincho"/>
          <w:lang w:val="en-US" w:eastAsia="ja-JP"/>
        </w:rPr>
        <w:t>Ramathibodi</w:t>
      </w:r>
      <w:proofErr w:type="spellEnd"/>
      <w:r w:rsidRPr="0003073C">
        <w:rPr>
          <w:rFonts w:eastAsia="Yu Mincho"/>
          <w:lang w:val="en-US" w:eastAsia="ja-JP"/>
        </w:rPr>
        <w:t xml:space="preserve"> Hospital, </w:t>
      </w:r>
      <w:proofErr w:type="spellStart"/>
      <w:r w:rsidRPr="0003073C">
        <w:rPr>
          <w:rFonts w:eastAsia="Yu Mincho"/>
          <w:lang w:val="en-US" w:eastAsia="ja-JP"/>
        </w:rPr>
        <w:t>Mahidol</w:t>
      </w:r>
      <w:proofErr w:type="spellEnd"/>
      <w:r w:rsidRPr="0003073C">
        <w:rPr>
          <w:rFonts w:eastAsia="Yu Mincho"/>
          <w:lang w:val="en-US" w:eastAsia="ja-JP"/>
        </w:rPr>
        <w:t xml:space="preserve"> University, Bangkok, Thailand. </w:t>
      </w:r>
      <w:r w:rsidRPr="0003073C">
        <w:rPr>
          <w:rFonts w:eastAsia="Yu Mincho"/>
          <w:lang w:eastAsia="ja-JP"/>
        </w:rPr>
        <w:t xml:space="preserve">Email: </w:t>
      </w:r>
      <w:hyperlink r:id="rId17" w:history="1">
        <w:r w:rsidRPr="0003073C">
          <w:rPr>
            <w:rFonts w:eastAsia="Yu Mincho"/>
            <w:u w:val="single"/>
            <w:lang w:eastAsia="ja-JP"/>
          </w:rPr>
          <w:t>tachaponis.nga@mahidol.ac.th</w:t>
        </w:r>
      </w:hyperlink>
    </w:p>
    <w:p w14:paraId="6B65CC86"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Dr Sang </w:t>
      </w:r>
      <w:proofErr w:type="spellStart"/>
      <w:r w:rsidRPr="0003073C">
        <w:rPr>
          <w:rFonts w:eastAsia="Yu Mincho"/>
          <w:lang w:val="en-US" w:eastAsia="ja-JP"/>
        </w:rPr>
        <w:t>Weon</w:t>
      </w:r>
      <w:proofErr w:type="spellEnd"/>
      <w:r w:rsidRPr="0003073C">
        <w:rPr>
          <w:rFonts w:eastAsia="Yu Mincho"/>
          <w:lang w:val="en-US" w:eastAsia="ja-JP"/>
        </w:rPr>
        <w:t xml:space="preserve"> Park, </w:t>
      </w:r>
      <w:proofErr w:type="spellStart"/>
      <w:r w:rsidRPr="0003073C">
        <w:rPr>
          <w:rFonts w:eastAsia="Yu Mincho"/>
          <w:lang w:val="en-US" w:eastAsia="ja-JP"/>
        </w:rPr>
        <w:t>SeJong</w:t>
      </w:r>
      <w:proofErr w:type="spellEnd"/>
      <w:r w:rsidRPr="0003073C">
        <w:rPr>
          <w:rFonts w:eastAsia="Yu Mincho"/>
          <w:lang w:val="en-US" w:eastAsia="ja-JP"/>
        </w:rPr>
        <w:t xml:space="preserve"> General Hospital, </w:t>
      </w:r>
      <w:proofErr w:type="gramStart"/>
      <w:r w:rsidRPr="0003073C">
        <w:rPr>
          <w:rFonts w:eastAsia="Yu Mincho"/>
          <w:lang w:val="en-US" w:eastAsia="ja-JP"/>
        </w:rPr>
        <w:t>Seoul</w:t>
      </w:r>
      <w:proofErr w:type="gramEnd"/>
      <w:r w:rsidRPr="0003073C">
        <w:rPr>
          <w:rFonts w:eastAsia="Yu Mincho"/>
          <w:lang w:val="en-US" w:eastAsia="ja-JP"/>
        </w:rPr>
        <w:t xml:space="preserve">, South Korea. </w:t>
      </w:r>
      <w:r w:rsidRPr="0003073C">
        <w:rPr>
          <w:rFonts w:eastAsia="Yu Mincho"/>
          <w:lang w:eastAsia="ja-JP"/>
        </w:rPr>
        <w:t xml:space="preserve">Email: </w:t>
      </w:r>
      <w:hyperlink r:id="rId18" w:history="1">
        <w:r w:rsidRPr="0003073C">
          <w:rPr>
            <w:rFonts w:eastAsia="Yu Mincho"/>
            <w:u w:val="single"/>
            <w:lang w:eastAsia="ja-JP"/>
          </w:rPr>
          <w:t>swparkmd@gmail.com</w:t>
        </w:r>
      </w:hyperlink>
    </w:p>
    <w:p w14:paraId="3B641E13"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Dr Eugenio Reyes, Manila Doctors Hospital, Manila, Philippines. </w:t>
      </w:r>
      <w:r w:rsidRPr="0003073C">
        <w:rPr>
          <w:rFonts w:eastAsia="Yu Mincho"/>
          <w:lang w:eastAsia="ja-JP"/>
        </w:rPr>
        <w:t xml:space="preserve">Email: </w:t>
      </w:r>
      <w:hyperlink r:id="rId19" w:history="1">
        <w:r w:rsidRPr="0003073C">
          <w:rPr>
            <w:rFonts w:eastAsia="Yu Mincho"/>
            <w:u w:val="single"/>
            <w:lang w:eastAsia="ja-JP"/>
          </w:rPr>
          <w:t>eugenereyes@yahoo.com</w:t>
        </w:r>
      </w:hyperlink>
    </w:p>
    <w:p w14:paraId="0AE2A03D"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Professor </w:t>
      </w:r>
      <w:proofErr w:type="spellStart"/>
      <w:r w:rsidRPr="0003073C">
        <w:rPr>
          <w:rFonts w:eastAsia="Yu Mincho"/>
          <w:lang w:val="en-US" w:eastAsia="ja-JP"/>
        </w:rPr>
        <w:t>Bambang</w:t>
      </w:r>
      <w:proofErr w:type="spellEnd"/>
      <w:r w:rsidRPr="0003073C">
        <w:rPr>
          <w:rFonts w:eastAsia="Yu Mincho"/>
          <w:lang w:val="en-US" w:eastAsia="ja-JP"/>
        </w:rPr>
        <w:t xml:space="preserve"> B. </w:t>
      </w:r>
      <w:proofErr w:type="spellStart"/>
      <w:r w:rsidRPr="0003073C">
        <w:rPr>
          <w:rFonts w:eastAsia="Yu Mincho"/>
          <w:lang w:val="en-US" w:eastAsia="ja-JP"/>
        </w:rPr>
        <w:t>Siswanto</w:t>
      </w:r>
      <w:proofErr w:type="spellEnd"/>
      <w:r w:rsidRPr="0003073C">
        <w:rPr>
          <w:rFonts w:eastAsia="Yu Mincho"/>
          <w:lang w:val="en-US" w:eastAsia="ja-JP"/>
        </w:rPr>
        <w:t xml:space="preserve">, National Cardiovascular Center </w:t>
      </w:r>
      <w:proofErr w:type="spellStart"/>
      <w:r w:rsidRPr="0003073C">
        <w:rPr>
          <w:rFonts w:eastAsia="Yu Mincho"/>
          <w:lang w:val="en-US" w:eastAsia="ja-JP"/>
        </w:rPr>
        <w:t>Universitas</w:t>
      </w:r>
      <w:proofErr w:type="spellEnd"/>
      <w:r w:rsidRPr="0003073C">
        <w:rPr>
          <w:rFonts w:eastAsia="Yu Mincho"/>
          <w:lang w:val="en-US" w:eastAsia="ja-JP"/>
        </w:rPr>
        <w:t xml:space="preserve"> Indonesia, Jakarta, Indonesia. </w:t>
      </w:r>
      <w:r w:rsidRPr="0003073C">
        <w:rPr>
          <w:rFonts w:eastAsia="Yu Mincho"/>
          <w:lang w:eastAsia="ja-JP"/>
        </w:rPr>
        <w:t xml:space="preserve">Email: </w:t>
      </w:r>
      <w:hyperlink r:id="rId20" w:history="1">
        <w:r w:rsidRPr="0003073C">
          <w:rPr>
            <w:rFonts w:eastAsia="Yu Mincho"/>
            <w:u w:val="single"/>
            <w:lang w:eastAsia="ja-JP"/>
          </w:rPr>
          <w:t>bambbs@gmail.com</w:t>
        </w:r>
      </w:hyperlink>
    </w:p>
    <w:p w14:paraId="3329F5C4" w14:textId="77777777" w:rsidR="00F778E5" w:rsidRPr="0003073C" w:rsidRDefault="00F778E5" w:rsidP="007419B4">
      <w:pPr>
        <w:numPr>
          <w:ilvl w:val="0"/>
          <w:numId w:val="19"/>
        </w:numPr>
        <w:spacing w:after="200" w:line="276" w:lineRule="auto"/>
        <w:ind w:left="0"/>
        <w:contextualSpacing/>
        <w:rPr>
          <w:rFonts w:eastAsia="Yu Mincho"/>
          <w:lang w:eastAsia="ja-JP"/>
        </w:rPr>
      </w:pPr>
      <w:r w:rsidRPr="0003073C">
        <w:rPr>
          <w:rFonts w:eastAsia="Yu Mincho"/>
          <w:lang w:val="en-US" w:eastAsia="ja-JP"/>
        </w:rPr>
        <w:t xml:space="preserve">Professor </w:t>
      </w:r>
      <w:proofErr w:type="spellStart"/>
      <w:r w:rsidRPr="0003073C">
        <w:rPr>
          <w:rFonts w:eastAsia="Yu Mincho"/>
          <w:lang w:val="en-US" w:eastAsia="ja-JP"/>
        </w:rPr>
        <w:t>Wataru</w:t>
      </w:r>
      <w:proofErr w:type="spellEnd"/>
      <w:r w:rsidRPr="0003073C">
        <w:rPr>
          <w:rFonts w:eastAsia="Yu Mincho"/>
          <w:lang w:val="en-US" w:eastAsia="ja-JP"/>
        </w:rPr>
        <w:t xml:space="preserve"> Shimizu, Department of Cardiovascular Medicine, Nippon Medical School, Tokyo, Japan. </w:t>
      </w:r>
      <w:r w:rsidRPr="0003073C">
        <w:rPr>
          <w:rFonts w:eastAsia="Yu Mincho"/>
          <w:lang w:eastAsia="ja-JP"/>
        </w:rPr>
        <w:t xml:space="preserve">Email: </w:t>
      </w:r>
      <w:hyperlink r:id="rId21" w:history="1">
        <w:r w:rsidRPr="0003073C">
          <w:rPr>
            <w:rFonts w:eastAsia="Yu Mincho"/>
            <w:u w:val="single"/>
            <w:lang w:eastAsia="ja-JP"/>
          </w:rPr>
          <w:t>wshimizu@nms.ac.jp</w:t>
        </w:r>
      </w:hyperlink>
      <w:r w:rsidRPr="0003073C">
        <w:rPr>
          <w:rFonts w:eastAsia="Yu Mincho"/>
          <w:lang w:eastAsia="ja-JP"/>
        </w:rPr>
        <w:t xml:space="preserve"> </w:t>
      </w:r>
    </w:p>
    <w:p w14:paraId="6BC61D1E" w14:textId="77777777" w:rsidR="00F778E5" w:rsidRPr="0003073C" w:rsidRDefault="00F778E5" w:rsidP="007419B4">
      <w:pPr>
        <w:numPr>
          <w:ilvl w:val="0"/>
          <w:numId w:val="19"/>
        </w:numPr>
        <w:spacing w:after="200" w:line="276" w:lineRule="auto"/>
        <w:ind w:left="0"/>
        <w:contextualSpacing/>
        <w:rPr>
          <w:rFonts w:eastAsia="Yu Mincho"/>
          <w:lang w:val="en-SG" w:eastAsia="ja-JP"/>
        </w:rPr>
      </w:pPr>
      <w:r w:rsidRPr="0003073C">
        <w:rPr>
          <w:rFonts w:eastAsia="Yu Mincho"/>
          <w:lang w:val="en-US" w:eastAsia="ja-JP"/>
        </w:rPr>
        <w:t xml:space="preserve">Professor Shu Zhang, </w:t>
      </w:r>
      <w:proofErr w:type="spellStart"/>
      <w:r w:rsidRPr="0003073C">
        <w:rPr>
          <w:rFonts w:eastAsia="Yu Mincho"/>
          <w:lang w:val="en-US" w:eastAsia="ja-JP"/>
        </w:rPr>
        <w:t>Fuwai</w:t>
      </w:r>
      <w:proofErr w:type="spellEnd"/>
      <w:r w:rsidRPr="0003073C">
        <w:rPr>
          <w:rFonts w:eastAsia="Yu Mincho"/>
          <w:lang w:val="en-US" w:eastAsia="ja-JP"/>
        </w:rPr>
        <w:t xml:space="preserve"> Cardiovascular Hospital, Beijing, People’s Republic of China. </w:t>
      </w:r>
      <w:r w:rsidRPr="0003073C">
        <w:rPr>
          <w:rFonts w:eastAsia="Yu Mincho"/>
          <w:lang w:eastAsia="ja-JP"/>
        </w:rPr>
        <w:t xml:space="preserve">Email: </w:t>
      </w:r>
      <w:hyperlink r:id="rId22" w:history="1">
        <w:r w:rsidRPr="0003073C">
          <w:rPr>
            <w:rFonts w:eastAsia="Yu Mincho"/>
            <w:u w:val="single"/>
            <w:lang w:eastAsia="ja-JP"/>
          </w:rPr>
          <w:t>zsfuwai@vip.163.com</w:t>
        </w:r>
      </w:hyperlink>
      <w:r w:rsidRPr="0003073C">
        <w:rPr>
          <w:rFonts w:eastAsia="Yu Mincho"/>
          <w:u w:val="single"/>
          <w:lang w:eastAsia="ja-JP"/>
        </w:rPr>
        <w:t xml:space="preserve"> </w:t>
      </w:r>
    </w:p>
    <w:p w14:paraId="2A57FB97" w14:textId="77777777" w:rsidR="00F778E5" w:rsidRPr="0003073C" w:rsidRDefault="00F778E5" w:rsidP="007419B4">
      <w:pPr>
        <w:tabs>
          <w:tab w:val="left" w:pos="720"/>
        </w:tabs>
        <w:spacing w:before="240" w:after="60" w:line="360" w:lineRule="auto"/>
        <w:jc w:val="center"/>
        <w:outlineLvl w:val="1"/>
        <w:rPr>
          <w:rFonts w:eastAsia="Times New Roman"/>
          <w:b/>
          <w:bCs/>
          <w:lang w:eastAsia="en-SG"/>
        </w:rPr>
      </w:pPr>
    </w:p>
    <w:p w14:paraId="0C5B94B8" w14:textId="77777777" w:rsidR="00F778E5" w:rsidRPr="0003073C" w:rsidRDefault="00F778E5" w:rsidP="007419B4">
      <w:pPr>
        <w:tabs>
          <w:tab w:val="left" w:pos="720"/>
        </w:tabs>
        <w:spacing w:before="240" w:after="60" w:line="360" w:lineRule="auto"/>
        <w:jc w:val="center"/>
        <w:outlineLvl w:val="1"/>
        <w:rPr>
          <w:rFonts w:eastAsia="Times New Roman"/>
          <w:b/>
          <w:bCs/>
          <w:lang w:val="en-SG" w:eastAsia="en-SG"/>
        </w:rPr>
      </w:pPr>
      <w:r w:rsidRPr="0003073C">
        <w:rPr>
          <w:rFonts w:eastAsia="Times New Roman"/>
          <w:b/>
          <w:bCs/>
          <w:lang w:eastAsia="en-SG"/>
        </w:rPr>
        <w:t>COUNTRY AND SITE INVESTIGATORS</w:t>
      </w:r>
    </w:p>
    <w:p w14:paraId="3065078C" w14:textId="77777777" w:rsidR="00F778E5" w:rsidRPr="0003073C" w:rsidRDefault="00F778E5" w:rsidP="007419B4">
      <w:pPr>
        <w:rPr>
          <w:rFonts w:eastAsia="Calibri"/>
          <w:lang w:val="en-SG" w:eastAsia="en-SG"/>
        </w:rPr>
      </w:pPr>
      <w:r w:rsidRPr="0003073C">
        <w:rPr>
          <w:rFonts w:eastAsia="Calibri"/>
          <w:lang w:val="en-SG" w:eastAsia="en-SG"/>
        </w:rPr>
        <w:t>China</w:t>
      </w:r>
    </w:p>
    <w:p w14:paraId="2EDF623F" w14:textId="77777777" w:rsidR="00F778E5" w:rsidRPr="0003073C" w:rsidRDefault="00F778E5" w:rsidP="007419B4">
      <w:pPr>
        <w:rPr>
          <w:rFonts w:eastAsia="Calibri"/>
          <w:lang w:val="en-SG" w:eastAsia="en-SG"/>
        </w:rPr>
      </w:pPr>
      <w:proofErr w:type="spellStart"/>
      <w:r w:rsidRPr="0003073C">
        <w:rPr>
          <w:rFonts w:eastAsia="Calibri"/>
          <w:lang w:val="en-SG" w:eastAsia="en-SG"/>
        </w:rPr>
        <w:t>Fuwai</w:t>
      </w:r>
      <w:proofErr w:type="spellEnd"/>
      <w:r w:rsidRPr="0003073C">
        <w:rPr>
          <w:rFonts w:eastAsia="Calibri"/>
          <w:lang w:val="en-SG" w:eastAsia="en-SG"/>
        </w:rPr>
        <w:t xml:space="preserve"> Hospital: </w:t>
      </w:r>
      <w:r w:rsidRPr="0003073C">
        <w:rPr>
          <w:rFonts w:eastAsia="Calibri"/>
          <w:b/>
          <w:lang w:val="en-SG" w:eastAsia="en-SG"/>
        </w:rPr>
        <w:t>Shu Zhang</w:t>
      </w:r>
      <w:r w:rsidRPr="0003073C">
        <w:rPr>
          <w:rFonts w:eastAsia="Calibri"/>
          <w:lang w:val="en-SG" w:eastAsia="en-SG"/>
        </w:rPr>
        <w:t xml:space="preserve"> (Country PI), </w:t>
      </w:r>
      <w:proofErr w:type="spellStart"/>
      <w:r w:rsidRPr="0003073C">
        <w:rPr>
          <w:rFonts w:eastAsia="Calibri"/>
          <w:lang w:val="en-SG" w:eastAsia="en-SG"/>
        </w:rPr>
        <w:t>Xiaohan</w:t>
      </w:r>
      <w:proofErr w:type="spellEnd"/>
      <w:r w:rsidRPr="0003073C">
        <w:rPr>
          <w:rFonts w:eastAsia="Calibri"/>
          <w:lang w:val="en-SG" w:eastAsia="en-SG"/>
        </w:rPr>
        <w:t xml:space="preserve"> Fan, </w:t>
      </w:r>
      <w:proofErr w:type="spellStart"/>
      <w:r w:rsidRPr="0003073C">
        <w:rPr>
          <w:rFonts w:eastAsia="Calibri"/>
          <w:lang w:val="en-SG" w:eastAsia="en-SG"/>
        </w:rPr>
        <w:t>Keping</w:t>
      </w:r>
      <w:proofErr w:type="spellEnd"/>
      <w:r w:rsidRPr="0003073C">
        <w:rPr>
          <w:rFonts w:eastAsia="Calibri"/>
          <w:lang w:val="en-SG" w:eastAsia="en-SG"/>
        </w:rPr>
        <w:t xml:space="preserve"> Chen. </w:t>
      </w:r>
      <w:proofErr w:type="spellStart"/>
      <w:r w:rsidRPr="0003073C">
        <w:rPr>
          <w:rFonts w:eastAsia="Calibri"/>
          <w:lang w:val="en-SG" w:eastAsia="en-SG"/>
        </w:rPr>
        <w:t>Ruijin</w:t>
      </w:r>
      <w:proofErr w:type="spellEnd"/>
      <w:r w:rsidRPr="0003073C">
        <w:rPr>
          <w:rFonts w:eastAsia="Calibri"/>
          <w:lang w:val="en-SG" w:eastAsia="en-SG"/>
        </w:rPr>
        <w:t xml:space="preserve"> Hospital, Shanghai </w:t>
      </w:r>
      <w:proofErr w:type="spellStart"/>
      <w:r w:rsidRPr="0003073C">
        <w:rPr>
          <w:rFonts w:eastAsia="Calibri"/>
          <w:lang w:val="en-SG" w:eastAsia="en-SG"/>
        </w:rPr>
        <w:t>Jiaotong</w:t>
      </w:r>
      <w:proofErr w:type="spellEnd"/>
      <w:r w:rsidRPr="0003073C">
        <w:rPr>
          <w:rFonts w:eastAsia="Calibri"/>
          <w:lang w:val="en-SG" w:eastAsia="en-SG"/>
        </w:rPr>
        <w:t xml:space="preserve"> </w:t>
      </w:r>
      <w:proofErr w:type="gramStart"/>
      <w:r w:rsidRPr="0003073C">
        <w:rPr>
          <w:rFonts w:eastAsia="Calibri"/>
          <w:lang w:val="en-SG" w:eastAsia="en-SG"/>
        </w:rPr>
        <w:t>university</w:t>
      </w:r>
      <w:proofErr w:type="gramEnd"/>
      <w:r w:rsidRPr="0003073C">
        <w:rPr>
          <w:rFonts w:eastAsia="Calibri"/>
          <w:lang w:val="en-SG" w:eastAsia="en-SG"/>
        </w:rPr>
        <w:t xml:space="preserve">: </w:t>
      </w:r>
      <w:proofErr w:type="spellStart"/>
      <w:r w:rsidRPr="0003073C">
        <w:rPr>
          <w:rFonts w:eastAsia="Calibri"/>
          <w:lang w:val="en-SG" w:eastAsia="en-SG"/>
        </w:rPr>
        <w:t>Liqun</w:t>
      </w:r>
      <w:proofErr w:type="spellEnd"/>
      <w:r w:rsidRPr="0003073C">
        <w:rPr>
          <w:rFonts w:eastAsia="Calibri"/>
          <w:lang w:val="en-SG" w:eastAsia="en-SG"/>
        </w:rPr>
        <w:t xml:space="preserve"> Wu, </w:t>
      </w:r>
      <w:proofErr w:type="spellStart"/>
      <w:r w:rsidRPr="0003073C">
        <w:rPr>
          <w:rFonts w:eastAsia="Calibri"/>
          <w:lang w:val="en-SG" w:eastAsia="en-SG"/>
        </w:rPr>
        <w:t>Yucai</w:t>
      </w:r>
      <w:proofErr w:type="spellEnd"/>
      <w:r w:rsidRPr="0003073C">
        <w:rPr>
          <w:rFonts w:eastAsia="Calibri"/>
          <w:lang w:val="en-SG" w:eastAsia="en-SG"/>
        </w:rPr>
        <w:t xml:space="preserve"> </w:t>
      </w:r>
      <w:proofErr w:type="spellStart"/>
      <w:r w:rsidRPr="0003073C">
        <w:rPr>
          <w:rFonts w:eastAsia="Calibri"/>
          <w:lang w:val="en-SG" w:eastAsia="en-SG"/>
        </w:rPr>
        <w:t>Xie</w:t>
      </w:r>
      <w:proofErr w:type="spellEnd"/>
      <w:r w:rsidRPr="0003073C">
        <w:rPr>
          <w:rFonts w:eastAsia="Calibri"/>
          <w:lang w:val="en-SG" w:eastAsia="en-SG"/>
        </w:rPr>
        <w:t xml:space="preserve">, Qi </w:t>
      </w:r>
      <w:proofErr w:type="spellStart"/>
      <w:r w:rsidRPr="0003073C">
        <w:rPr>
          <w:rFonts w:eastAsia="Calibri"/>
          <w:lang w:val="en-SG" w:eastAsia="en-SG"/>
        </w:rPr>
        <w:t>Jin</w:t>
      </w:r>
      <w:proofErr w:type="spellEnd"/>
      <w:r w:rsidRPr="0003073C">
        <w:rPr>
          <w:rFonts w:eastAsia="Calibri"/>
          <w:lang w:val="en-SG" w:eastAsia="en-SG"/>
        </w:rPr>
        <w:t xml:space="preserve">, </w:t>
      </w:r>
      <w:proofErr w:type="spellStart"/>
      <w:r w:rsidRPr="0003073C">
        <w:rPr>
          <w:rFonts w:eastAsia="Calibri"/>
          <w:lang w:val="en-SG" w:eastAsia="en-SG"/>
        </w:rPr>
        <w:t>Tianyou</w:t>
      </w:r>
      <w:proofErr w:type="spellEnd"/>
      <w:r w:rsidRPr="0003073C">
        <w:rPr>
          <w:rFonts w:eastAsia="Calibri"/>
          <w:lang w:val="en-SG" w:eastAsia="en-SG"/>
        </w:rPr>
        <w:t xml:space="preserve"> Ling. The First Affiliated Hospital </w:t>
      </w:r>
      <w:proofErr w:type="gramStart"/>
      <w:r w:rsidRPr="0003073C">
        <w:rPr>
          <w:rFonts w:eastAsia="Calibri"/>
          <w:lang w:val="en-SG" w:eastAsia="en-SG"/>
        </w:rPr>
        <w:t>With</w:t>
      </w:r>
      <w:proofErr w:type="gramEnd"/>
      <w:r w:rsidRPr="0003073C">
        <w:rPr>
          <w:rFonts w:eastAsia="Calibri"/>
          <w:lang w:val="en-SG" w:eastAsia="en-SG"/>
        </w:rPr>
        <w:t xml:space="preserve"> Nanjing Medical University: </w:t>
      </w:r>
      <w:proofErr w:type="spellStart"/>
      <w:r w:rsidRPr="0003073C">
        <w:rPr>
          <w:rFonts w:eastAsia="Calibri"/>
          <w:lang w:val="en-SG" w:eastAsia="en-SG"/>
        </w:rPr>
        <w:t>Xinli</w:t>
      </w:r>
      <w:proofErr w:type="spellEnd"/>
      <w:r w:rsidRPr="0003073C">
        <w:rPr>
          <w:rFonts w:eastAsia="Calibri"/>
          <w:lang w:val="en-SG" w:eastAsia="en-SG"/>
        </w:rPr>
        <w:t xml:space="preserve"> Li, Fang Zhou, </w:t>
      </w:r>
      <w:proofErr w:type="spellStart"/>
      <w:r w:rsidRPr="0003073C">
        <w:rPr>
          <w:rFonts w:eastAsia="Calibri"/>
          <w:lang w:val="en-SG" w:eastAsia="en-SG"/>
        </w:rPr>
        <w:t>Yanli</w:t>
      </w:r>
      <w:proofErr w:type="spellEnd"/>
      <w:r w:rsidRPr="0003073C">
        <w:rPr>
          <w:rFonts w:eastAsia="Calibri"/>
          <w:lang w:val="en-SG" w:eastAsia="en-SG"/>
        </w:rPr>
        <w:t xml:space="preserve"> Zhou, </w:t>
      </w:r>
      <w:proofErr w:type="spellStart"/>
      <w:r w:rsidRPr="0003073C">
        <w:rPr>
          <w:rFonts w:eastAsia="Calibri"/>
          <w:lang w:val="en-SG" w:eastAsia="en-SG"/>
        </w:rPr>
        <w:t>Dongjie</w:t>
      </w:r>
      <w:proofErr w:type="spellEnd"/>
      <w:r w:rsidRPr="0003073C">
        <w:rPr>
          <w:rFonts w:eastAsia="Calibri"/>
          <w:lang w:val="en-SG" w:eastAsia="en-SG"/>
        </w:rPr>
        <w:t xml:space="preserve"> Xu, </w:t>
      </w:r>
      <w:proofErr w:type="spellStart"/>
      <w:r w:rsidRPr="0003073C">
        <w:rPr>
          <w:rFonts w:eastAsia="Calibri"/>
          <w:lang w:val="en-SG" w:eastAsia="en-SG"/>
        </w:rPr>
        <w:t>Haifeng</w:t>
      </w:r>
      <w:proofErr w:type="spellEnd"/>
      <w:r w:rsidRPr="0003073C">
        <w:rPr>
          <w:rFonts w:eastAsia="Calibri"/>
          <w:lang w:val="en-SG" w:eastAsia="en-SG"/>
        </w:rPr>
        <w:t xml:space="preserve"> Zhang. </w:t>
      </w:r>
      <w:proofErr w:type="spellStart"/>
      <w:r w:rsidRPr="0003073C">
        <w:rPr>
          <w:rFonts w:eastAsia="Calibri"/>
          <w:lang w:val="en-SG" w:eastAsia="en-SG"/>
        </w:rPr>
        <w:lastRenderedPageBreak/>
        <w:t>Zhongshan</w:t>
      </w:r>
      <w:proofErr w:type="spellEnd"/>
      <w:r w:rsidRPr="0003073C">
        <w:rPr>
          <w:rFonts w:eastAsia="Calibri"/>
          <w:lang w:val="en-SG" w:eastAsia="en-SG"/>
        </w:rPr>
        <w:t xml:space="preserve"> Hospital </w:t>
      </w:r>
      <w:proofErr w:type="spellStart"/>
      <w:r w:rsidRPr="0003073C">
        <w:rPr>
          <w:rFonts w:eastAsia="Calibri"/>
          <w:lang w:val="en-SG" w:eastAsia="en-SG"/>
        </w:rPr>
        <w:t>Fudan</w:t>
      </w:r>
      <w:proofErr w:type="spellEnd"/>
      <w:r w:rsidRPr="0003073C">
        <w:rPr>
          <w:rFonts w:eastAsia="Calibri"/>
          <w:lang w:val="en-SG" w:eastAsia="en-SG"/>
        </w:rPr>
        <w:t xml:space="preserve"> University: </w:t>
      </w:r>
      <w:proofErr w:type="spellStart"/>
      <w:r w:rsidRPr="0003073C">
        <w:rPr>
          <w:rFonts w:eastAsia="Calibri"/>
          <w:lang w:val="en-SG" w:eastAsia="en-SG"/>
        </w:rPr>
        <w:t>Yangang</w:t>
      </w:r>
      <w:proofErr w:type="spellEnd"/>
      <w:r w:rsidRPr="0003073C">
        <w:rPr>
          <w:rFonts w:eastAsia="Calibri"/>
          <w:lang w:val="en-SG" w:eastAsia="en-SG"/>
        </w:rPr>
        <w:t xml:space="preserve"> Su, </w:t>
      </w:r>
      <w:proofErr w:type="spellStart"/>
      <w:r w:rsidRPr="0003073C">
        <w:rPr>
          <w:rFonts w:eastAsia="Calibri"/>
          <w:lang w:val="en-SG" w:eastAsia="en-SG"/>
        </w:rPr>
        <w:t>Xueying</w:t>
      </w:r>
      <w:proofErr w:type="spellEnd"/>
      <w:r w:rsidRPr="0003073C">
        <w:rPr>
          <w:rFonts w:eastAsia="Calibri"/>
          <w:lang w:val="en-SG" w:eastAsia="en-SG"/>
        </w:rPr>
        <w:t xml:space="preserve"> Chen, </w:t>
      </w:r>
      <w:proofErr w:type="spellStart"/>
      <w:r w:rsidRPr="0003073C">
        <w:rPr>
          <w:rFonts w:eastAsia="Calibri"/>
          <w:lang w:val="en-SG" w:eastAsia="en-SG"/>
        </w:rPr>
        <w:t>Shengmei</w:t>
      </w:r>
      <w:proofErr w:type="spellEnd"/>
      <w:r w:rsidRPr="0003073C">
        <w:rPr>
          <w:rFonts w:eastAsia="Calibri"/>
          <w:lang w:val="en-SG" w:eastAsia="en-SG"/>
        </w:rPr>
        <w:t xml:space="preserve"> Qin, </w:t>
      </w:r>
      <w:proofErr w:type="spellStart"/>
      <w:r w:rsidRPr="0003073C">
        <w:rPr>
          <w:rFonts w:eastAsia="Calibri"/>
          <w:lang w:val="en-SG" w:eastAsia="en-SG"/>
        </w:rPr>
        <w:t>Jingfeng</w:t>
      </w:r>
      <w:proofErr w:type="spellEnd"/>
      <w:r w:rsidRPr="0003073C">
        <w:rPr>
          <w:rFonts w:eastAsia="Calibri"/>
          <w:lang w:val="en-SG" w:eastAsia="en-SG"/>
        </w:rPr>
        <w:t xml:space="preserve"> Wang, </w:t>
      </w:r>
      <w:proofErr w:type="spellStart"/>
      <w:r w:rsidRPr="0003073C">
        <w:rPr>
          <w:rFonts w:eastAsia="Calibri"/>
          <w:lang w:val="en-SG" w:eastAsia="en-SG"/>
        </w:rPr>
        <w:t>Xue</w:t>
      </w:r>
      <w:proofErr w:type="spellEnd"/>
      <w:r w:rsidRPr="0003073C">
        <w:rPr>
          <w:rFonts w:eastAsia="Calibri"/>
          <w:lang w:val="en-SG" w:eastAsia="en-SG"/>
        </w:rPr>
        <w:t xml:space="preserve"> Gong, </w:t>
      </w:r>
      <w:proofErr w:type="spellStart"/>
      <w:r w:rsidRPr="0003073C">
        <w:rPr>
          <w:rFonts w:eastAsia="Calibri"/>
          <w:lang w:val="en-SG" w:eastAsia="en-SG"/>
        </w:rPr>
        <w:t>Zhaodi</w:t>
      </w:r>
      <w:proofErr w:type="spellEnd"/>
      <w:r w:rsidRPr="0003073C">
        <w:rPr>
          <w:rFonts w:eastAsia="Calibri"/>
          <w:lang w:val="en-SG" w:eastAsia="en-SG"/>
        </w:rPr>
        <w:t xml:space="preserve"> Wu. </w:t>
      </w:r>
    </w:p>
    <w:p w14:paraId="4AC8E34D" w14:textId="77777777" w:rsidR="00F778E5" w:rsidRPr="0003073C" w:rsidRDefault="00F778E5" w:rsidP="007419B4">
      <w:pPr>
        <w:rPr>
          <w:rFonts w:eastAsia="Calibri"/>
          <w:lang w:val="en-SG" w:eastAsia="en-SG"/>
        </w:rPr>
      </w:pPr>
    </w:p>
    <w:p w14:paraId="17C4E7B4" w14:textId="77777777" w:rsidR="00F778E5" w:rsidRPr="0003073C" w:rsidRDefault="00F778E5" w:rsidP="007419B4">
      <w:pPr>
        <w:rPr>
          <w:rFonts w:eastAsia="Calibri"/>
          <w:lang w:val="en-SG" w:eastAsia="en-SG"/>
        </w:rPr>
      </w:pPr>
      <w:r w:rsidRPr="0003073C">
        <w:rPr>
          <w:rFonts w:eastAsia="Calibri"/>
          <w:lang w:val="en-SG" w:eastAsia="en-SG"/>
        </w:rPr>
        <w:t>Hong Kong</w:t>
      </w:r>
    </w:p>
    <w:p w14:paraId="77F998FD" w14:textId="77777777" w:rsidR="00F778E5" w:rsidRPr="0003073C" w:rsidRDefault="00F778E5" w:rsidP="007419B4">
      <w:pPr>
        <w:rPr>
          <w:rFonts w:eastAsia="Calibri"/>
          <w:lang w:val="en-SG" w:eastAsia="en-SG"/>
        </w:rPr>
      </w:pPr>
      <w:r w:rsidRPr="0003073C">
        <w:rPr>
          <w:rFonts w:eastAsia="Calibri"/>
          <w:lang w:val="en-SG" w:eastAsia="en-SG"/>
        </w:rPr>
        <w:t xml:space="preserve">The Chinese University of Hong Kong: </w:t>
      </w:r>
      <w:proofErr w:type="spellStart"/>
      <w:r w:rsidRPr="0003073C">
        <w:rPr>
          <w:rFonts w:eastAsia="Calibri"/>
          <w:b/>
          <w:lang w:val="en-SG" w:eastAsia="en-SG"/>
        </w:rPr>
        <w:t>Cheuk</w:t>
      </w:r>
      <w:proofErr w:type="spellEnd"/>
      <w:r w:rsidRPr="0003073C">
        <w:rPr>
          <w:rFonts w:eastAsia="Calibri"/>
          <w:b/>
          <w:lang w:val="en-SG" w:eastAsia="en-SG"/>
        </w:rPr>
        <w:t xml:space="preserve"> Man Yu</w:t>
      </w:r>
      <w:r w:rsidRPr="0003073C">
        <w:rPr>
          <w:rFonts w:eastAsia="Calibri"/>
          <w:lang w:val="en-SG" w:eastAsia="en-SG"/>
        </w:rPr>
        <w:t xml:space="preserve"> (Country PI).</w:t>
      </w:r>
    </w:p>
    <w:p w14:paraId="3D6F0F62" w14:textId="77777777" w:rsidR="00F778E5" w:rsidRPr="0003073C" w:rsidRDefault="00F778E5" w:rsidP="007419B4">
      <w:pPr>
        <w:rPr>
          <w:rFonts w:eastAsia="Calibri"/>
          <w:lang w:val="en-SG" w:eastAsia="en-SG"/>
        </w:rPr>
      </w:pPr>
    </w:p>
    <w:p w14:paraId="68ADE49C" w14:textId="77777777" w:rsidR="00F778E5" w:rsidRPr="0003073C" w:rsidRDefault="00F778E5" w:rsidP="007419B4">
      <w:pPr>
        <w:rPr>
          <w:rFonts w:eastAsia="Calibri"/>
          <w:lang w:val="en-SG" w:eastAsia="en-SG"/>
        </w:rPr>
      </w:pPr>
      <w:r w:rsidRPr="0003073C">
        <w:rPr>
          <w:rFonts w:eastAsia="Calibri"/>
          <w:lang w:val="en-SG" w:eastAsia="en-SG"/>
        </w:rPr>
        <w:t>India</w:t>
      </w:r>
    </w:p>
    <w:p w14:paraId="722835D8" w14:textId="77777777" w:rsidR="00F778E5" w:rsidRPr="0003073C" w:rsidRDefault="00F778E5" w:rsidP="007419B4">
      <w:pPr>
        <w:rPr>
          <w:rFonts w:eastAsia="Calibri"/>
          <w:lang w:val="en-SG" w:eastAsia="en-SG"/>
        </w:rPr>
      </w:pPr>
      <w:r w:rsidRPr="0003073C">
        <w:rPr>
          <w:rFonts w:eastAsia="Calibri"/>
          <w:lang w:val="en-SG" w:eastAsia="en-SG"/>
        </w:rPr>
        <w:t xml:space="preserve">CARE Hospital: </w:t>
      </w:r>
      <w:proofErr w:type="spellStart"/>
      <w:r w:rsidRPr="0003073C">
        <w:rPr>
          <w:rFonts w:eastAsia="Calibri"/>
          <w:b/>
          <w:lang w:val="en-SG" w:eastAsia="en-SG"/>
        </w:rPr>
        <w:t>Calambur</w:t>
      </w:r>
      <w:proofErr w:type="spellEnd"/>
      <w:r w:rsidRPr="0003073C">
        <w:rPr>
          <w:rFonts w:eastAsia="Calibri"/>
          <w:b/>
          <w:lang w:val="en-SG" w:eastAsia="en-SG"/>
        </w:rPr>
        <w:t xml:space="preserve"> </w:t>
      </w:r>
      <w:proofErr w:type="spellStart"/>
      <w:r w:rsidRPr="0003073C">
        <w:rPr>
          <w:rFonts w:eastAsia="Calibri"/>
          <w:b/>
          <w:lang w:val="en-SG" w:eastAsia="en-SG"/>
        </w:rPr>
        <w:t>Narasimhan</w:t>
      </w:r>
      <w:proofErr w:type="spellEnd"/>
      <w:r w:rsidRPr="0003073C">
        <w:rPr>
          <w:rFonts w:eastAsia="Calibri"/>
          <w:lang w:val="en-SG" w:eastAsia="en-SG"/>
        </w:rPr>
        <w:t xml:space="preserve"> (Country PI), B K S </w:t>
      </w:r>
      <w:proofErr w:type="spellStart"/>
      <w:r w:rsidRPr="0003073C">
        <w:rPr>
          <w:rFonts w:eastAsia="Calibri"/>
          <w:lang w:val="en-SG" w:eastAsia="en-SG"/>
        </w:rPr>
        <w:t>Sastry</w:t>
      </w:r>
      <w:proofErr w:type="spellEnd"/>
      <w:r w:rsidRPr="0003073C">
        <w:rPr>
          <w:rFonts w:eastAsia="Calibri"/>
          <w:lang w:val="en-SG" w:eastAsia="en-SG"/>
        </w:rPr>
        <w:t xml:space="preserve">, </w:t>
      </w:r>
      <w:proofErr w:type="spellStart"/>
      <w:r w:rsidRPr="0003073C">
        <w:rPr>
          <w:rFonts w:eastAsia="Calibri"/>
          <w:lang w:val="en-SG" w:eastAsia="en-SG"/>
        </w:rPr>
        <w:t>Arun</w:t>
      </w:r>
      <w:proofErr w:type="spellEnd"/>
      <w:r w:rsidRPr="0003073C">
        <w:rPr>
          <w:rFonts w:eastAsia="Calibri"/>
          <w:lang w:val="en-SG" w:eastAsia="en-SG"/>
        </w:rPr>
        <w:t xml:space="preserve"> </w:t>
      </w:r>
      <w:proofErr w:type="spellStart"/>
      <w:r w:rsidRPr="0003073C">
        <w:rPr>
          <w:rFonts w:eastAsia="Calibri"/>
          <w:lang w:val="en-SG" w:eastAsia="en-SG"/>
        </w:rPr>
        <w:t>Gopi</w:t>
      </w:r>
      <w:proofErr w:type="spellEnd"/>
      <w:r w:rsidRPr="0003073C">
        <w:rPr>
          <w:rFonts w:eastAsia="Calibri"/>
          <w:lang w:val="en-SG" w:eastAsia="en-SG"/>
        </w:rPr>
        <w:t xml:space="preserve">, K Raghu, C </w:t>
      </w:r>
      <w:proofErr w:type="spellStart"/>
      <w:r w:rsidRPr="0003073C">
        <w:rPr>
          <w:rFonts w:eastAsia="Calibri"/>
          <w:lang w:val="en-SG" w:eastAsia="en-SG"/>
        </w:rPr>
        <w:t>Sridevi</w:t>
      </w:r>
      <w:proofErr w:type="spellEnd"/>
      <w:r w:rsidRPr="0003073C">
        <w:rPr>
          <w:rFonts w:eastAsia="Calibri"/>
          <w:lang w:val="en-SG" w:eastAsia="en-SG"/>
        </w:rPr>
        <w:t xml:space="preserve">, </w:t>
      </w:r>
      <w:proofErr w:type="spellStart"/>
      <w:r w:rsidRPr="0003073C">
        <w:rPr>
          <w:rFonts w:eastAsia="Calibri"/>
          <w:lang w:val="en-SG" w:eastAsia="en-SG"/>
        </w:rPr>
        <w:t>Daljeet</w:t>
      </w:r>
      <w:proofErr w:type="spellEnd"/>
      <w:r w:rsidRPr="0003073C">
        <w:rPr>
          <w:rFonts w:eastAsia="Calibri"/>
          <w:lang w:val="en-SG" w:eastAsia="en-SG"/>
        </w:rPr>
        <w:t xml:space="preserve"> Kaur. Care Institute of Medical Sciences: Ajay </w:t>
      </w:r>
      <w:proofErr w:type="spellStart"/>
      <w:r w:rsidRPr="0003073C">
        <w:rPr>
          <w:rFonts w:eastAsia="Calibri"/>
          <w:lang w:val="en-SG" w:eastAsia="en-SG"/>
        </w:rPr>
        <w:t>Naik</w:t>
      </w:r>
      <w:proofErr w:type="spellEnd"/>
      <w:r w:rsidRPr="0003073C">
        <w:rPr>
          <w:rFonts w:eastAsia="Calibri"/>
          <w:lang w:val="en-SG" w:eastAsia="en-SG"/>
        </w:rPr>
        <w:t xml:space="preserve">, </w:t>
      </w:r>
      <w:proofErr w:type="spellStart"/>
      <w:r w:rsidRPr="0003073C">
        <w:rPr>
          <w:rFonts w:eastAsia="Calibri"/>
          <w:lang w:val="en-SG" w:eastAsia="en-SG"/>
        </w:rPr>
        <w:t>Keyur</w:t>
      </w:r>
      <w:proofErr w:type="spellEnd"/>
      <w:r w:rsidRPr="0003073C">
        <w:rPr>
          <w:rFonts w:eastAsia="Calibri"/>
          <w:lang w:val="en-SG" w:eastAsia="en-SG"/>
        </w:rPr>
        <w:t xml:space="preserve"> Parikh, Anish </w:t>
      </w:r>
      <w:proofErr w:type="spellStart"/>
      <w:r w:rsidRPr="0003073C">
        <w:rPr>
          <w:rFonts w:eastAsia="Calibri"/>
          <w:lang w:val="en-SG" w:eastAsia="en-SG"/>
        </w:rPr>
        <w:t>Chandarana</w:t>
      </w:r>
      <w:proofErr w:type="spellEnd"/>
      <w:r w:rsidRPr="0003073C">
        <w:rPr>
          <w:rFonts w:eastAsia="Calibri"/>
          <w:lang w:val="en-SG" w:eastAsia="en-SG"/>
        </w:rPr>
        <w:t xml:space="preserve">, </w:t>
      </w:r>
      <w:proofErr w:type="spellStart"/>
      <w:r w:rsidRPr="0003073C">
        <w:rPr>
          <w:rFonts w:eastAsia="Calibri"/>
          <w:lang w:val="en-SG" w:eastAsia="en-SG"/>
        </w:rPr>
        <w:t>Urmil</w:t>
      </w:r>
      <w:proofErr w:type="spellEnd"/>
      <w:r w:rsidRPr="0003073C">
        <w:rPr>
          <w:rFonts w:eastAsia="Calibri"/>
          <w:lang w:val="en-SG" w:eastAsia="en-SG"/>
        </w:rPr>
        <w:t xml:space="preserve"> Shah, Milan </w:t>
      </w:r>
      <w:proofErr w:type="spellStart"/>
      <w:r w:rsidRPr="0003073C">
        <w:rPr>
          <w:rFonts w:eastAsia="Calibri"/>
          <w:lang w:val="en-SG" w:eastAsia="en-SG"/>
        </w:rPr>
        <w:t>Chag</w:t>
      </w:r>
      <w:proofErr w:type="spellEnd"/>
      <w:r w:rsidRPr="0003073C">
        <w:rPr>
          <w:rFonts w:eastAsia="Calibri"/>
          <w:lang w:val="en-SG" w:eastAsia="en-SG"/>
        </w:rPr>
        <w:t xml:space="preserve">, </w:t>
      </w:r>
      <w:proofErr w:type="spellStart"/>
      <w:r w:rsidRPr="0003073C">
        <w:rPr>
          <w:rFonts w:eastAsia="Calibri"/>
          <w:lang w:val="en-SG" w:eastAsia="en-SG"/>
        </w:rPr>
        <w:t>Hemang</w:t>
      </w:r>
      <w:proofErr w:type="spellEnd"/>
      <w:r w:rsidRPr="0003073C">
        <w:rPr>
          <w:rFonts w:eastAsia="Calibri"/>
          <w:lang w:val="en-SG" w:eastAsia="en-SG"/>
        </w:rPr>
        <w:t xml:space="preserve"> </w:t>
      </w:r>
      <w:proofErr w:type="spellStart"/>
      <w:r w:rsidRPr="0003073C">
        <w:rPr>
          <w:rFonts w:eastAsia="Calibri"/>
          <w:lang w:val="en-SG" w:eastAsia="en-SG"/>
        </w:rPr>
        <w:t>Baxi</w:t>
      </w:r>
      <w:proofErr w:type="spellEnd"/>
      <w:r w:rsidRPr="0003073C">
        <w:rPr>
          <w:rFonts w:eastAsia="Calibri"/>
          <w:lang w:val="en-SG" w:eastAsia="en-SG"/>
        </w:rPr>
        <w:t xml:space="preserve">, Satya Gupta, </w:t>
      </w:r>
      <w:proofErr w:type="spellStart"/>
      <w:r w:rsidRPr="0003073C">
        <w:rPr>
          <w:rFonts w:eastAsia="Calibri"/>
          <w:lang w:val="en-SG" w:eastAsia="en-SG"/>
        </w:rPr>
        <w:t>Jyoti</w:t>
      </w:r>
      <w:proofErr w:type="spellEnd"/>
      <w:r w:rsidRPr="0003073C">
        <w:rPr>
          <w:rFonts w:eastAsia="Calibri"/>
          <w:lang w:val="en-SG" w:eastAsia="en-SG"/>
        </w:rPr>
        <w:t xml:space="preserve"> Bhatia, </w:t>
      </w:r>
      <w:proofErr w:type="spellStart"/>
      <w:r w:rsidRPr="0003073C">
        <w:rPr>
          <w:rFonts w:eastAsia="Calibri"/>
          <w:lang w:val="en-SG" w:eastAsia="en-SG"/>
        </w:rPr>
        <w:t>Vaishali</w:t>
      </w:r>
      <w:proofErr w:type="spellEnd"/>
      <w:r w:rsidRPr="0003073C">
        <w:rPr>
          <w:rFonts w:eastAsia="Calibri"/>
          <w:lang w:val="en-SG" w:eastAsia="en-SG"/>
        </w:rPr>
        <w:t xml:space="preserve"> </w:t>
      </w:r>
      <w:proofErr w:type="spellStart"/>
      <w:r w:rsidRPr="0003073C">
        <w:rPr>
          <w:rFonts w:eastAsia="Calibri"/>
          <w:lang w:val="en-SG" w:eastAsia="en-SG"/>
        </w:rPr>
        <w:t>Khakhkhar</w:t>
      </w:r>
      <w:proofErr w:type="spellEnd"/>
      <w:r w:rsidRPr="0003073C">
        <w:rPr>
          <w:rFonts w:eastAsia="Calibri"/>
          <w:lang w:val="en-SG" w:eastAsia="en-SG"/>
        </w:rPr>
        <w:t xml:space="preserve">, </w:t>
      </w:r>
      <w:proofErr w:type="spellStart"/>
      <w:r w:rsidRPr="0003073C">
        <w:rPr>
          <w:rFonts w:eastAsia="Calibri"/>
          <w:lang w:val="en-SG" w:eastAsia="en-SG"/>
        </w:rPr>
        <w:t>Vineet</w:t>
      </w:r>
      <w:proofErr w:type="spellEnd"/>
      <w:r w:rsidRPr="0003073C">
        <w:rPr>
          <w:rFonts w:eastAsia="Calibri"/>
          <w:lang w:val="en-SG" w:eastAsia="en-SG"/>
        </w:rPr>
        <w:t xml:space="preserve"> </w:t>
      </w:r>
      <w:proofErr w:type="spellStart"/>
      <w:r w:rsidRPr="0003073C">
        <w:rPr>
          <w:rFonts w:eastAsia="Calibri"/>
          <w:lang w:val="en-SG" w:eastAsia="en-SG"/>
        </w:rPr>
        <w:t>Sankhla</w:t>
      </w:r>
      <w:proofErr w:type="spellEnd"/>
      <w:r w:rsidRPr="0003073C">
        <w:rPr>
          <w:rFonts w:eastAsia="Calibri"/>
          <w:lang w:val="en-SG" w:eastAsia="en-SG"/>
        </w:rPr>
        <w:t xml:space="preserve">, </w:t>
      </w:r>
      <w:proofErr w:type="spellStart"/>
      <w:r w:rsidRPr="0003073C">
        <w:rPr>
          <w:rFonts w:eastAsia="Calibri"/>
          <w:lang w:val="en-SG" w:eastAsia="en-SG"/>
        </w:rPr>
        <w:t>Tejas</w:t>
      </w:r>
      <w:proofErr w:type="spellEnd"/>
      <w:r w:rsidRPr="0003073C">
        <w:rPr>
          <w:rFonts w:eastAsia="Calibri"/>
          <w:lang w:val="en-SG" w:eastAsia="en-SG"/>
        </w:rPr>
        <w:t xml:space="preserve"> Patel, </w:t>
      </w:r>
      <w:proofErr w:type="spellStart"/>
      <w:r w:rsidRPr="0003073C">
        <w:rPr>
          <w:rFonts w:eastAsia="Calibri"/>
          <w:lang w:val="en-SG" w:eastAsia="en-SG"/>
        </w:rPr>
        <w:t>Vipul</w:t>
      </w:r>
      <w:proofErr w:type="spellEnd"/>
      <w:r w:rsidRPr="0003073C">
        <w:rPr>
          <w:rFonts w:eastAsia="Calibri"/>
          <w:lang w:val="en-SG" w:eastAsia="en-SG"/>
        </w:rPr>
        <w:t xml:space="preserve"> Kapoor. Hero </w:t>
      </w:r>
      <w:proofErr w:type="spellStart"/>
      <w:r w:rsidRPr="0003073C">
        <w:rPr>
          <w:rFonts w:eastAsia="Calibri"/>
          <w:lang w:val="en-SG" w:eastAsia="en-SG"/>
        </w:rPr>
        <w:t>Dayanand</w:t>
      </w:r>
      <w:proofErr w:type="spellEnd"/>
      <w:r w:rsidRPr="0003073C">
        <w:rPr>
          <w:rFonts w:eastAsia="Calibri"/>
          <w:lang w:val="en-SG" w:eastAsia="en-SG"/>
        </w:rPr>
        <w:t xml:space="preserve"> Medical College Heart Institute: </w:t>
      </w:r>
      <w:proofErr w:type="spellStart"/>
      <w:r w:rsidRPr="0003073C">
        <w:rPr>
          <w:rFonts w:eastAsia="Calibri"/>
          <w:lang w:val="en-SG" w:eastAsia="en-SG"/>
        </w:rPr>
        <w:t>Gurpreet</w:t>
      </w:r>
      <w:proofErr w:type="spellEnd"/>
      <w:r w:rsidRPr="0003073C">
        <w:rPr>
          <w:rFonts w:eastAsia="Calibri"/>
          <w:lang w:val="en-SG" w:eastAsia="en-SG"/>
        </w:rPr>
        <w:t xml:space="preserve"> Singh Wander, </w:t>
      </w:r>
      <w:proofErr w:type="spellStart"/>
      <w:r w:rsidRPr="0003073C">
        <w:rPr>
          <w:rFonts w:eastAsia="Calibri"/>
          <w:lang w:val="en-SG" w:eastAsia="en-SG"/>
        </w:rPr>
        <w:t>Rohit</w:t>
      </w:r>
      <w:proofErr w:type="spellEnd"/>
      <w:r w:rsidRPr="0003073C">
        <w:rPr>
          <w:rFonts w:eastAsia="Calibri"/>
          <w:lang w:val="en-SG" w:eastAsia="en-SG"/>
        </w:rPr>
        <w:t xml:space="preserve"> </w:t>
      </w:r>
      <w:proofErr w:type="spellStart"/>
      <w:r w:rsidRPr="0003073C">
        <w:rPr>
          <w:rFonts w:eastAsia="Calibri"/>
          <w:lang w:val="en-SG" w:eastAsia="en-SG"/>
        </w:rPr>
        <w:t>Tandon</w:t>
      </w:r>
      <w:proofErr w:type="spellEnd"/>
      <w:r w:rsidRPr="0003073C">
        <w:rPr>
          <w:rFonts w:eastAsia="Calibri"/>
          <w:lang w:val="en-SG" w:eastAsia="en-SG"/>
        </w:rPr>
        <w:t xml:space="preserve">. </w:t>
      </w:r>
      <w:proofErr w:type="spellStart"/>
      <w:r w:rsidRPr="0003073C">
        <w:rPr>
          <w:rFonts w:eastAsia="Calibri"/>
          <w:lang w:val="en-SG" w:eastAsia="en-SG"/>
        </w:rPr>
        <w:t>Medanta</w:t>
      </w:r>
      <w:proofErr w:type="spellEnd"/>
      <w:r w:rsidRPr="0003073C">
        <w:rPr>
          <w:rFonts w:eastAsia="Calibri"/>
          <w:lang w:val="en-SG" w:eastAsia="en-SG"/>
        </w:rPr>
        <w:t xml:space="preserve">-The </w:t>
      </w:r>
      <w:proofErr w:type="spellStart"/>
      <w:r w:rsidRPr="0003073C">
        <w:rPr>
          <w:rFonts w:eastAsia="Calibri"/>
          <w:lang w:val="en-SG" w:eastAsia="en-SG"/>
        </w:rPr>
        <w:t>Medicity</w:t>
      </w:r>
      <w:proofErr w:type="spellEnd"/>
      <w:r w:rsidRPr="0003073C">
        <w:rPr>
          <w:rFonts w:eastAsia="Calibri"/>
          <w:lang w:val="en-SG" w:eastAsia="en-SG"/>
        </w:rPr>
        <w:t xml:space="preserve">: Vijay Chopra, Manoj Kumar, </w:t>
      </w:r>
      <w:proofErr w:type="spellStart"/>
      <w:r w:rsidRPr="0003073C">
        <w:rPr>
          <w:rFonts w:eastAsia="Calibri"/>
          <w:lang w:val="en-SG" w:eastAsia="en-SG"/>
        </w:rPr>
        <w:t>Hatinder</w:t>
      </w:r>
      <w:proofErr w:type="spellEnd"/>
      <w:r w:rsidRPr="0003073C">
        <w:rPr>
          <w:rFonts w:eastAsia="Calibri"/>
          <w:lang w:val="en-SG" w:eastAsia="en-SG"/>
        </w:rPr>
        <w:t xml:space="preserve"> </w:t>
      </w:r>
      <w:proofErr w:type="spellStart"/>
      <w:r w:rsidRPr="0003073C">
        <w:rPr>
          <w:rFonts w:eastAsia="Calibri"/>
          <w:lang w:val="en-SG" w:eastAsia="en-SG"/>
        </w:rPr>
        <w:t>Jeet</w:t>
      </w:r>
      <w:proofErr w:type="spellEnd"/>
      <w:r w:rsidRPr="0003073C">
        <w:rPr>
          <w:rFonts w:eastAsia="Calibri"/>
          <w:lang w:val="en-SG" w:eastAsia="en-SG"/>
        </w:rPr>
        <w:t xml:space="preserve"> Singh </w:t>
      </w:r>
      <w:proofErr w:type="spellStart"/>
      <w:r w:rsidRPr="0003073C">
        <w:rPr>
          <w:rFonts w:eastAsia="Calibri"/>
          <w:lang w:val="en-SG" w:eastAsia="en-SG"/>
        </w:rPr>
        <w:t>Sethi</w:t>
      </w:r>
      <w:proofErr w:type="spellEnd"/>
      <w:r w:rsidRPr="0003073C">
        <w:rPr>
          <w:rFonts w:eastAsia="Calibri"/>
          <w:lang w:val="en-SG" w:eastAsia="en-SG"/>
        </w:rPr>
        <w:t xml:space="preserve">, </w:t>
      </w:r>
      <w:proofErr w:type="spellStart"/>
      <w:r w:rsidRPr="0003073C">
        <w:rPr>
          <w:rFonts w:eastAsia="Calibri"/>
          <w:lang w:val="en-SG" w:eastAsia="en-SG"/>
        </w:rPr>
        <w:t>Rashmi</w:t>
      </w:r>
      <w:proofErr w:type="spellEnd"/>
      <w:r w:rsidRPr="0003073C">
        <w:rPr>
          <w:rFonts w:eastAsia="Calibri"/>
          <w:lang w:val="en-SG" w:eastAsia="en-SG"/>
        </w:rPr>
        <w:t xml:space="preserve"> </w:t>
      </w:r>
      <w:proofErr w:type="spellStart"/>
      <w:r w:rsidRPr="0003073C">
        <w:rPr>
          <w:rFonts w:eastAsia="Calibri"/>
          <w:lang w:val="en-SG" w:eastAsia="en-SG"/>
        </w:rPr>
        <w:t>Verma</w:t>
      </w:r>
      <w:proofErr w:type="spellEnd"/>
      <w:r w:rsidRPr="0003073C">
        <w:rPr>
          <w:rFonts w:eastAsia="Calibri"/>
          <w:lang w:val="en-SG" w:eastAsia="en-SG"/>
        </w:rPr>
        <w:t xml:space="preserve">, Sanjay Mittal. Sir Ganga Ram Hospital: </w:t>
      </w:r>
      <w:proofErr w:type="spellStart"/>
      <w:r w:rsidRPr="0003073C">
        <w:rPr>
          <w:rFonts w:eastAsia="Calibri"/>
          <w:lang w:val="en-SG" w:eastAsia="en-SG"/>
        </w:rPr>
        <w:t>Jitendra</w:t>
      </w:r>
      <w:proofErr w:type="spellEnd"/>
      <w:r w:rsidRPr="0003073C">
        <w:rPr>
          <w:rFonts w:eastAsia="Calibri"/>
          <w:lang w:val="en-SG" w:eastAsia="en-SG"/>
        </w:rPr>
        <w:t xml:space="preserve"> </w:t>
      </w:r>
      <w:proofErr w:type="spellStart"/>
      <w:r w:rsidRPr="0003073C">
        <w:rPr>
          <w:rFonts w:eastAsia="Calibri"/>
          <w:lang w:val="en-SG" w:eastAsia="en-SG"/>
        </w:rPr>
        <w:t>Sawhney</w:t>
      </w:r>
      <w:proofErr w:type="spellEnd"/>
      <w:r w:rsidRPr="0003073C">
        <w:rPr>
          <w:rFonts w:eastAsia="Calibri"/>
          <w:lang w:val="en-SG" w:eastAsia="en-SG"/>
        </w:rPr>
        <w:t xml:space="preserve">, Manish Kr. Sharma. </w:t>
      </w:r>
      <w:proofErr w:type="spellStart"/>
      <w:r w:rsidRPr="0003073C">
        <w:rPr>
          <w:rFonts w:eastAsia="Calibri"/>
          <w:lang w:val="en-SG" w:eastAsia="en-SG"/>
        </w:rPr>
        <w:t>Westfort</w:t>
      </w:r>
      <w:proofErr w:type="spellEnd"/>
      <w:r w:rsidRPr="0003073C">
        <w:rPr>
          <w:rFonts w:eastAsia="Calibri"/>
          <w:lang w:val="en-SG" w:eastAsia="en-SG"/>
        </w:rPr>
        <w:t xml:space="preserve"> Hi-Tech Hospital Ltd: </w:t>
      </w:r>
      <w:proofErr w:type="spellStart"/>
      <w:r w:rsidRPr="0003073C">
        <w:rPr>
          <w:rFonts w:eastAsia="Calibri"/>
          <w:lang w:val="en-SG" w:eastAsia="en-SG"/>
        </w:rPr>
        <w:t>Mohanan</w:t>
      </w:r>
      <w:proofErr w:type="spellEnd"/>
      <w:r w:rsidRPr="0003073C">
        <w:rPr>
          <w:rFonts w:eastAsia="Calibri"/>
          <w:lang w:val="en-SG" w:eastAsia="en-SG"/>
        </w:rPr>
        <w:t xml:space="preserve"> </w:t>
      </w:r>
      <w:proofErr w:type="spellStart"/>
      <w:r w:rsidRPr="0003073C">
        <w:rPr>
          <w:rFonts w:eastAsia="Calibri"/>
          <w:lang w:val="en-SG" w:eastAsia="en-SG"/>
        </w:rPr>
        <w:t>Padinhare</w:t>
      </w:r>
      <w:proofErr w:type="spellEnd"/>
      <w:r w:rsidRPr="0003073C">
        <w:rPr>
          <w:rFonts w:eastAsia="Calibri"/>
          <w:lang w:val="en-SG" w:eastAsia="en-SG"/>
        </w:rPr>
        <w:t xml:space="preserve"> </w:t>
      </w:r>
      <w:proofErr w:type="spellStart"/>
      <w:r w:rsidRPr="0003073C">
        <w:rPr>
          <w:rFonts w:eastAsia="Calibri"/>
          <w:lang w:val="en-SG" w:eastAsia="en-SG"/>
        </w:rPr>
        <w:t>Purayil</w:t>
      </w:r>
      <w:proofErr w:type="spellEnd"/>
      <w:r w:rsidRPr="0003073C">
        <w:rPr>
          <w:rFonts w:eastAsia="Calibri"/>
          <w:lang w:val="en-SG" w:eastAsia="en-SG"/>
        </w:rPr>
        <w:t>.</w:t>
      </w:r>
    </w:p>
    <w:p w14:paraId="0BA6A55E" w14:textId="77777777" w:rsidR="00F778E5" w:rsidRPr="0003073C" w:rsidRDefault="00F778E5" w:rsidP="007419B4">
      <w:pPr>
        <w:rPr>
          <w:rFonts w:eastAsia="Calibri"/>
          <w:lang w:val="en-SG" w:eastAsia="en-SG"/>
        </w:rPr>
      </w:pPr>
    </w:p>
    <w:p w14:paraId="1322D168" w14:textId="77777777" w:rsidR="00F778E5" w:rsidRPr="0003073C" w:rsidRDefault="00F778E5" w:rsidP="007419B4">
      <w:pPr>
        <w:rPr>
          <w:rFonts w:eastAsia="Calibri"/>
          <w:lang w:val="en-SG" w:eastAsia="en-SG"/>
        </w:rPr>
      </w:pPr>
      <w:r w:rsidRPr="0003073C">
        <w:rPr>
          <w:rFonts w:eastAsia="Calibri"/>
          <w:lang w:val="en-SG" w:eastAsia="en-SG"/>
        </w:rPr>
        <w:t>Indonesia</w:t>
      </w:r>
    </w:p>
    <w:p w14:paraId="39C8367C" w14:textId="77777777" w:rsidR="00F778E5" w:rsidRPr="0003073C" w:rsidRDefault="00F778E5" w:rsidP="007419B4">
      <w:pPr>
        <w:rPr>
          <w:rFonts w:eastAsia="Calibri"/>
          <w:lang w:val="en-SG" w:eastAsia="en-SG"/>
        </w:rPr>
      </w:pPr>
      <w:proofErr w:type="spellStart"/>
      <w:r w:rsidRPr="0003073C">
        <w:rPr>
          <w:rFonts w:eastAsia="Calibri"/>
          <w:lang w:val="en-SG" w:eastAsia="en-SG"/>
        </w:rPr>
        <w:t>Rumah</w:t>
      </w:r>
      <w:proofErr w:type="spellEnd"/>
      <w:r w:rsidRPr="0003073C">
        <w:rPr>
          <w:rFonts w:eastAsia="Calibri"/>
          <w:lang w:val="en-SG" w:eastAsia="en-SG"/>
        </w:rPr>
        <w:t xml:space="preserve"> </w:t>
      </w:r>
      <w:proofErr w:type="spellStart"/>
      <w:r w:rsidRPr="0003073C">
        <w:rPr>
          <w:rFonts w:eastAsia="Calibri"/>
          <w:lang w:val="en-SG" w:eastAsia="en-SG"/>
        </w:rPr>
        <w:t>Sakit</w:t>
      </w:r>
      <w:proofErr w:type="spellEnd"/>
      <w:r w:rsidRPr="0003073C">
        <w:rPr>
          <w:rFonts w:eastAsia="Calibri"/>
          <w:lang w:val="en-SG" w:eastAsia="en-SG"/>
        </w:rPr>
        <w:t xml:space="preserve"> </w:t>
      </w:r>
      <w:proofErr w:type="spellStart"/>
      <w:r w:rsidRPr="0003073C">
        <w:rPr>
          <w:rFonts w:eastAsia="Calibri"/>
          <w:lang w:val="en-SG" w:eastAsia="en-SG"/>
        </w:rPr>
        <w:t>Jantung</w:t>
      </w:r>
      <w:proofErr w:type="spellEnd"/>
      <w:r w:rsidRPr="0003073C">
        <w:rPr>
          <w:rFonts w:eastAsia="Calibri"/>
          <w:lang w:val="en-SG" w:eastAsia="en-SG"/>
        </w:rPr>
        <w:t xml:space="preserve"> </w:t>
      </w:r>
      <w:proofErr w:type="spellStart"/>
      <w:r w:rsidRPr="0003073C">
        <w:rPr>
          <w:rFonts w:eastAsia="Calibri"/>
          <w:lang w:val="en-SG" w:eastAsia="en-SG"/>
        </w:rPr>
        <w:t>dan</w:t>
      </w:r>
      <w:proofErr w:type="spellEnd"/>
      <w:r w:rsidRPr="0003073C">
        <w:rPr>
          <w:rFonts w:eastAsia="Calibri"/>
          <w:lang w:val="en-SG" w:eastAsia="en-SG"/>
        </w:rPr>
        <w:t xml:space="preserve"> </w:t>
      </w:r>
      <w:proofErr w:type="spellStart"/>
      <w:r w:rsidRPr="0003073C">
        <w:rPr>
          <w:rFonts w:eastAsia="Calibri"/>
          <w:lang w:val="en-SG" w:eastAsia="en-SG"/>
        </w:rPr>
        <w:t>Pembuluh</w:t>
      </w:r>
      <w:proofErr w:type="spellEnd"/>
      <w:r w:rsidRPr="0003073C">
        <w:rPr>
          <w:rFonts w:eastAsia="Calibri"/>
          <w:lang w:val="en-SG" w:eastAsia="en-SG"/>
        </w:rPr>
        <w:t xml:space="preserve"> </w:t>
      </w:r>
      <w:proofErr w:type="spellStart"/>
      <w:r w:rsidRPr="0003073C">
        <w:rPr>
          <w:rFonts w:eastAsia="Calibri"/>
          <w:lang w:val="en-SG" w:eastAsia="en-SG"/>
        </w:rPr>
        <w:t>Darah</w:t>
      </w:r>
      <w:proofErr w:type="spellEnd"/>
      <w:r w:rsidRPr="0003073C">
        <w:rPr>
          <w:rFonts w:eastAsia="Calibri"/>
          <w:lang w:val="en-SG" w:eastAsia="en-SG"/>
        </w:rPr>
        <w:t xml:space="preserve"> </w:t>
      </w:r>
      <w:proofErr w:type="spellStart"/>
      <w:r w:rsidRPr="0003073C">
        <w:rPr>
          <w:rFonts w:eastAsia="Calibri"/>
          <w:lang w:val="en-SG" w:eastAsia="en-SG"/>
        </w:rPr>
        <w:t>Harapan</w:t>
      </w:r>
      <w:proofErr w:type="spellEnd"/>
      <w:r w:rsidRPr="0003073C">
        <w:rPr>
          <w:rFonts w:eastAsia="Calibri"/>
          <w:lang w:val="en-SG" w:eastAsia="en-SG"/>
        </w:rPr>
        <w:t xml:space="preserve"> Kita: </w:t>
      </w:r>
      <w:proofErr w:type="spellStart"/>
      <w:r w:rsidRPr="0003073C">
        <w:rPr>
          <w:rFonts w:eastAsia="Calibri"/>
          <w:b/>
          <w:lang w:val="en-SG" w:eastAsia="en-SG"/>
        </w:rPr>
        <w:t>Bambang</w:t>
      </w:r>
      <w:proofErr w:type="spellEnd"/>
      <w:r w:rsidRPr="0003073C">
        <w:rPr>
          <w:rFonts w:eastAsia="Calibri"/>
          <w:b/>
          <w:lang w:val="en-SG" w:eastAsia="en-SG"/>
        </w:rPr>
        <w:t xml:space="preserve"> Budi </w:t>
      </w:r>
      <w:proofErr w:type="spellStart"/>
      <w:r w:rsidRPr="0003073C">
        <w:rPr>
          <w:rFonts w:eastAsia="Calibri"/>
          <w:b/>
          <w:lang w:val="en-SG" w:eastAsia="en-SG"/>
        </w:rPr>
        <w:t>Siswanto</w:t>
      </w:r>
      <w:proofErr w:type="spellEnd"/>
      <w:r w:rsidRPr="0003073C">
        <w:rPr>
          <w:rFonts w:eastAsia="Calibri"/>
          <w:lang w:val="en-SG" w:eastAsia="en-SG"/>
        </w:rPr>
        <w:t xml:space="preserve"> (Country PI). RS Dr Hasan </w:t>
      </w:r>
      <w:proofErr w:type="spellStart"/>
      <w:r w:rsidRPr="0003073C">
        <w:rPr>
          <w:rFonts w:eastAsia="Calibri"/>
          <w:lang w:val="en-SG" w:eastAsia="en-SG"/>
        </w:rPr>
        <w:t>Sadikin</w:t>
      </w:r>
      <w:proofErr w:type="spellEnd"/>
      <w:r w:rsidRPr="0003073C">
        <w:rPr>
          <w:rFonts w:eastAsia="Calibri"/>
          <w:lang w:val="en-SG" w:eastAsia="en-SG"/>
        </w:rPr>
        <w:t xml:space="preserve">: </w:t>
      </w:r>
      <w:proofErr w:type="spellStart"/>
      <w:r w:rsidRPr="0003073C">
        <w:rPr>
          <w:rFonts w:eastAsia="Calibri"/>
          <w:lang w:val="en-SG" w:eastAsia="en-SG"/>
        </w:rPr>
        <w:t>Pintoko</w:t>
      </w:r>
      <w:proofErr w:type="spellEnd"/>
      <w:r w:rsidRPr="0003073C">
        <w:rPr>
          <w:rFonts w:eastAsia="Calibri"/>
          <w:lang w:val="en-SG" w:eastAsia="en-SG"/>
        </w:rPr>
        <w:t xml:space="preserve"> </w:t>
      </w:r>
      <w:proofErr w:type="spellStart"/>
      <w:r w:rsidRPr="0003073C">
        <w:rPr>
          <w:rFonts w:eastAsia="Calibri"/>
          <w:lang w:val="en-SG" w:eastAsia="en-SG"/>
        </w:rPr>
        <w:t>Tedjokusumo</w:t>
      </w:r>
      <w:proofErr w:type="spellEnd"/>
      <w:r w:rsidRPr="0003073C">
        <w:rPr>
          <w:rFonts w:eastAsia="Calibri"/>
          <w:lang w:val="en-SG" w:eastAsia="en-SG"/>
        </w:rPr>
        <w:t xml:space="preserve">, Erwan </w:t>
      </w:r>
      <w:proofErr w:type="spellStart"/>
      <w:r w:rsidRPr="0003073C">
        <w:rPr>
          <w:rFonts w:eastAsia="Calibri"/>
          <w:lang w:val="en-SG" w:eastAsia="en-SG"/>
        </w:rPr>
        <w:t>Martanto</w:t>
      </w:r>
      <w:proofErr w:type="spellEnd"/>
      <w:r w:rsidRPr="0003073C">
        <w:rPr>
          <w:rFonts w:eastAsia="Calibri"/>
          <w:lang w:val="en-SG" w:eastAsia="en-SG"/>
        </w:rPr>
        <w:t xml:space="preserve">, </w:t>
      </w:r>
      <w:proofErr w:type="spellStart"/>
      <w:r w:rsidRPr="0003073C">
        <w:rPr>
          <w:rFonts w:eastAsia="Calibri"/>
          <w:lang w:val="en-SG" w:eastAsia="en-SG"/>
        </w:rPr>
        <w:t>Erwinanto</w:t>
      </w:r>
      <w:proofErr w:type="spellEnd"/>
      <w:r w:rsidRPr="0003073C">
        <w:rPr>
          <w:rFonts w:eastAsia="Calibri"/>
          <w:lang w:val="en-SG" w:eastAsia="en-SG"/>
        </w:rPr>
        <w:t xml:space="preserve">. R S </w:t>
      </w:r>
      <w:proofErr w:type="spellStart"/>
      <w:r w:rsidRPr="0003073C">
        <w:rPr>
          <w:rFonts w:eastAsia="Calibri"/>
          <w:lang w:val="en-SG" w:eastAsia="en-SG"/>
        </w:rPr>
        <w:t>Khusus</w:t>
      </w:r>
      <w:proofErr w:type="spellEnd"/>
      <w:r w:rsidRPr="0003073C">
        <w:rPr>
          <w:rFonts w:eastAsia="Calibri"/>
          <w:lang w:val="en-SG" w:eastAsia="en-SG"/>
        </w:rPr>
        <w:t xml:space="preserve"> </w:t>
      </w:r>
      <w:proofErr w:type="spellStart"/>
      <w:r w:rsidRPr="0003073C">
        <w:rPr>
          <w:rFonts w:eastAsia="Calibri"/>
          <w:lang w:val="en-SG" w:eastAsia="en-SG"/>
        </w:rPr>
        <w:t>Jantung</w:t>
      </w:r>
      <w:proofErr w:type="spellEnd"/>
      <w:r w:rsidRPr="0003073C">
        <w:rPr>
          <w:rFonts w:eastAsia="Calibri"/>
          <w:lang w:val="en-SG" w:eastAsia="en-SG"/>
        </w:rPr>
        <w:t xml:space="preserve"> </w:t>
      </w:r>
      <w:proofErr w:type="spellStart"/>
      <w:r w:rsidRPr="0003073C">
        <w:rPr>
          <w:rFonts w:eastAsia="Calibri"/>
          <w:lang w:val="en-SG" w:eastAsia="en-SG"/>
        </w:rPr>
        <w:t>Binawaluya</w:t>
      </w:r>
      <w:proofErr w:type="spellEnd"/>
      <w:r w:rsidRPr="0003073C">
        <w:rPr>
          <w:rFonts w:eastAsia="Calibri"/>
          <w:lang w:val="en-SG" w:eastAsia="en-SG"/>
        </w:rPr>
        <w:t xml:space="preserve">: Muhammad </w:t>
      </w:r>
      <w:proofErr w:type="spellStart"/>
      <w:r w:rsidRPr="0003073C">
        <w:rPr>
          <w:rFonts w:eastAsia="Calibri"/>
          <w:lang w:val="en-SG" w:eastAsia="en-SG"/>
        </w:rPr>
        <w:t>Munawar</w:t>
      </w:r>
      <w:proofErr w:type="spellEnd"/>
      <w:r w:rsidRPr="0003073C">
        <w:rPr>
          <w:rFonts w:eastAsia="Calibri"/>
          <w:lang w:val="en-SG" w:eastAsia="en-SG"/>
        </w:rPr>
        <w:t xml:space="preserve">, Jimmy </w:t>
      </w:r>
      <w:proofErr w:type="spellStart"/>
      <w:r w:rsidRPr="0003073C">
        <w:rPr>
          <w:rFonts w:eastAsia="Calibri"/>
          <w:lang w:val="en-SG" w:eastAsia="en-SG"/>
        </w:rPr>
        <w:t>Agung</w:t>
      </w:r>
      <w:proofErr w:type="spellEnd"/>
      <w:r w:rsidRPr="0003073C">
        <w:rPr>
          <w:rFonts w:eastAsia="Calibri"/>
          <w:lang w:val="en-SG" w:eastAsia="en-SG"/>
        </w:rPr>
        <w:t xml:space="preserve"> </w:t>
      </w:r>
      <w:proofErr w:type="spellStart"/>
      <w:r w:rsidRPr="0003073C">
        <w:rPr>
          <w:rFonts w:eastAsia="Calibri"/>
          <w:lang w:val="en-SG" w:eastAsia="en-SG"/>
        </w:rPr>
        <w:t>Pambudi</w:t>
      </w:r>
      <w:proofErr w:type="spellEnd"/>
      <w:r w:rsidRPr="0003073C">
        <w:rPr>
          <w:rFonts w:eastAsia="Calibri"/>
          <w:lang w:val="en-SG" w:eastAsia="en-SG"/>
        </w:rPr>
        <w:t xml:space="preserve">. RS Siloam </w:t>
      </w:r>
      <w:proofErr w:type="spellStart"/>
      <w:r w:rsidRPr="0003073C">
        <w:rPr>
          <w:rFonts w:eastAsia="Calibri"/>
          <w:lang w:val="en-SG" w:eastAsia="en-SG"/>
        </w:rPr>
        <w:t>Karawaci</w:t>
      </w:r>
      <w:proofErr w:type="spellEnd"/>
      <w:r w:rsidRPr="0003073C">
        <w:rPr>
          <w:rFonts w:eastAsia="Calibri"/>
          <w:lang w:val="en-SG" w:eastAsia="en-SG"/>
        </w:rPr>
        <w:t xml:space="preserve">: Antonia </w:t>
      </w:r>
      <w:proofErr w:type="spellStart"/>
      <w:r w:rsidRPr="0003073C">
        <w:rPr>
          <w:rFonts w:eastAsia="Calibri"/>
          <w:lang w:val="en-SG" w:eastAsia="en-SG"/>
        </w:rPr>
        <w:t>Lukito</w:t>
      </w:r>
      <w:proofErr w:type="spellEnd"/>
      <w:r w:rsidRPr="0003073C">
        <w:rPr>
          <w:rFonts w:eastAsia="Calibri"/>
          <w:lang w:val="en-SG" w:eastAsia="en-SG"/>
        </w:rPr>
        <w:t xml:space="preserve">, Ingrid </w:t>
      </w:r>
      <w:proofErr w:type="spellStart"/>
      <w:r w:rsidRPr="0003073C">
        <w:rPr>
          <w:rFonts w:eastAsia="Calibri"/>
          <w:lang w:val="en-SG" w:eastAsia="en-SG"/>
        </w:rPr>
        <w:t>Pardede</w:t>
      </w:r>
      <w:proofErr w:type="spellEnd"/>
      <w:r w:rsidRPr="0003073C">
        <w:rPr>
          <w:rFonts w:eastAsia="Calibri"/>
          <w:lang w:val="en-SG" w:eastAsia="en-SG"/>
        </w:rPr>
        <w:t xml:space="preserve">, Alvin </w:t>
      </w:r>
      <w:proofErr w:type="spellStart"/>
      <w:r w:rsidRPr="0003073C">
        <w:rPr>
          <w:rFonts w:eastAsia="Calibri"/>
          <w:lang w:val="en-SG" w:eastAsia="en-SG"/>
        </w:rPr>
        <w:t>Thengker</w:t>
      </w:r>
      <w:proofErr w:type="spellEnd"/>
      <w:r w:rsidRPr="0003073C">
        <w:rPr>
          <w:rFonts w:eastAsia="Calibri"/>
          <w:lang w:val="en-SG" w:eastAsia="en-SG"/>
        </w:rPr>
        <w:t xml:space="preserve">, Vito </w:t>
      </w:r>
      <w:proofErr w:type="spellStart"/>
      <w:r w:rsidRPr="0003073C">
        <w:rPr>
          <w:rFonts w:eastAsia="Calibri"/>
          <w:lang w:val="en-SG" w:eastAsia="en-SG"/>
        </w:rPr>
        <w:t>Damay</w:t>
      </w:r>
      <w:proofErr w:type="spellEnd"/>
      <w:r w:rsidRPr="0003073C">
        <w:rPr>
          <w:rFonts w:eastAsia="Calibri"/>
          <w:lang w:val="en-SG" w:eastAsia="en-SG"/>
        </w:rPr>
        <w:t xml:space="preserve">, </w:t>
      </w:r>
      <w:proofErr w:type="spellStart"/>
      <w:r w:rsidRPr="0003073C">
        <w:rPr>
          <w:rFonts w:eastAsia="Calibri"/>
          <w:lang w:val="en-SG" w:eastAsia="en-SG"/>
        </w:rPr>
        <w:t>Siska</w:t>
      </w:r>
      <w:proofErr w:type="spellEnd"/>
      <w:r w:rsidRPr="0003073C">
        <w:rPr>
          <w:rFonts w:eastAsia="Calibri"/>
          <w:lang w:val="en-SG" w:eastAsia="en-SG"/>
        </w:rPr>
        <w:t xml:space="preserve"> </w:t>
      </w:r>
      <w:proofErr w:type="spellStart"/>
      <w:r w:rsidRPr="0003073C">
        <w:rPr>
          <w:rFonts w:eastAsia="Calibri"/>
          <w:lang w:val="en-SG" w:eastAsia="en-SG"/>
        </w:rPr>
        <w:t>Suridanda</w:t>
      </w:r>
      <w:proofErr w:type="spellEnd"/>
      <w:r w:rsidRPr="0003073C">
        <w:rPr>
          <w:rFonts w:eastAsia="Calibri"/>
          <w:lang w:val="en-SG" w:eastAsia="en-SG"/>
        </w:rPr>
        <w:t xml:space="preserve"> Danny, </w:t>
      </w:r>
      <w:proofErr w:type="spellStart"/>
      <w:r w:rsidRPr="0003073C">
        <w:rPr>
          <w:rFonts w:eastAsia="Calibri"/>
          <w:lang w:val="en-SG" w:eastAsia="en-SG"/>
        </w:rPr>
        <w:t>Rarsari</w:t>
      </w:r>
      <w:proofErr w:type="spellEnd"/>
      <w:r w:rsidRPr="0003073C">
        <w:rPr>
          <w:rFonts w:eastAsia="Calibri"/>
          <w:lang w:val="en-SG" w:eastAsia="en-SG"/>
        </w:rPr>
        <w:t xml:space="preserve"> </w:t>
      </w:r>
      <w:proofErr w:type="spellStart"/>
      <w:r w:rsidRPr="0003073C">
        <w:rPr>
          <w:rFonts w:eastAsia="Calibri"/>
          <w:lang w:val="en-SG" w:eastAsia="en-SG"/>
        </w:rPr>
        <w:t>Surarso</w:t>
      </w:r>
      <w:proofErr w:type="spellEnd"/>
      <w:r w:rsidRPr="0003073C">
        <w:rPr>
          <w:rFonts w:eastAsia="Calibri"/>
          <w:lang w:val="en-SG" w:eastAsia="en-SG"/>
        </w:rPr>
        <w:t>.</w:t>
      </w:r>
    </w:p>
    <w:p w14:paraId="50DEF342" w14:textId="77777777" w:rsidR="00F778E5" w:rsidRPr="0003073C" w:rsidRDefault="00F778E5" w:rsidP="007419B4">
      <w:pPr>
        <w:rPr>
          <w:rFonts w:eastAsia="Calibri"/>
          <w:lang w:val="en-SG" w:eastAsia="en-SG"/>
        </w:rPr>
      </w:pPr>
    </w:p>
    <w:p w14:paraId="14271E5E" w14:textId="77777777" w:rsidR="00F778E5" w:rsidRPr="0003073C" w:rsidRDefault="00F778E5" w:rsidP="007419B4">
      <w:pPr>
        <w:rPr>
          <w:rFonts w:eastAsia="Calibri"/>
          <w:lang w:val="en-SG" w:eastAsia="en-SG"/>
        </w:rPr>
      </w:pPr>
      <w:r w:rsidRPr="0003073C">
        <w:rPr>
          <w:rFonts w:eastAsia="Calibri"/>
          <w:lang w:val="en-SG" w:eastAsia="en-SG"/>
        </w:rPr>
        <w:t>Japan</w:t>
      </w:r>
    </w:p>
    <w:p w14:paraId="3BC4CB80" w14:textId="77777777" w:rsidR="00F778E5" w:rsidRPr="0003073C" w:rsidRDefault="00F778E5" w:rsidP="007419B4">
      <w:pPr>
        <w:rPr>
          <w:rFonts w:eastAsia="Calibri"/>
          <w:lang w:val="en-SG" w:eastAsia="en-SG"/>
        </w:rPr>
      </w:pPr>
      <w:r w:rsidRPr="0003073C">
        <w:rPr>
          <w:rFonts w:eastAsia="Calibri"/>
          <w:lang w:val="en-SG" w:eastAsia="en-SG"/>
        </w:rPr>
        <w:t xml:space="preserve">Nippon Medical School: </w:t>
      </w:r>
      <w:proofErr w:type="spellStart"/>
      <w:r w:rsidRPr="0003073C">
        <w:rPr>
          <w:rFonts w:eastAsia="Calibri"/>
          <w:b/>
          <w:lang w:val="en-SG" w:eastAsia="en-SG"/>
        </w:rPr>
        <w:t>Wataru</w:t>
      </w:r>
      <w:proofErr w:type="spellEnd"/>
      <w:r w:rsidRPr="0003073C">
        <w:rPr>
          <w:rFonts w:eastAsia="Calibri"/>
          <w:b/>
          <w:lang w:val="en-SG" w:eastAsia="en-SG"/>
        </w:rPr>
        <w:t xml:space="preserve"> Shimizu</w:t>
      </w:r>
      <w:r w:rsidRPr="0003073C">
        <w:rPr>
          <w:rFonts w:eastAsia="Calibri"/>
          <w:lang w:val="en-SG" w:eastAsia="en-SG"/>
        </w:rPr>
        <w:t xml:space="preserve"> (Country PI), National Cerebral and Cardiovascular </w:t>
      </w:r>
      <w:proofErr w:type="spellStart"/>
      <w:r w:rsidRPr="0003073C">
        <w:rPr>
          <w:rFonts w:eastAsia="Calibri"/>
          <w:lang w:val="en-SG" w:eastAsia="en-SG"/>
        </w:rPr>
        <w:t>Center</w:t>
      </w:r>
      <w:proofErr w:type="spellEnd"/>
      <w:r w:rsidRPr="0003073C">
        <w:rPr>
          <w:rFonts w:eastAsia="Calibri"/>
          <w:lang w:val="en-SG" w:eastAsia="en-SG"/>
        </w:rPr>
        <w:t xml:space="preserve">: Takashi Noda, </w:t>
      </w:r>
      <w:proofErr w:type="spellStart"/>
      <w:r w:rsidRPr="0003073C">
        <w:rPr>
          <w:rFonts w:eastAsia="Calibri"/>
          <w:lang w:val="en-SG" w:eastAsia="en-SG"/>
        </w:rPr>
        <w:t>Ikutaro</w:t>
      </w:r>
      <w:proofErr w:type="spellEnd"/>
      <w:r w:rsidRPr="0003073C">
        <w:rPr>
          <w:rFonts w:eastAsia="Calibri"/>
          <w:lang w:val="en-SG" w:eastAsia="en-SG"/>
        </w:rPr>
        <w:t xml:space="preserve"> Nakajima, Mitsuru Wada, </w:t>
      </w:r>
      <w:proofErr w:type="spellStart"/>
      <w:proofErr w:type="gramStart"/>
      <w:r w:rsidRPr="0003073C">
        <w:rPr>
          <w:rFonts w:eastAsia="Calibri"/>
          <w:lang w:val="en-SG" w:eastAsia="en-SG"/>
        </w:rPr>
        <w:t>Kohei</w:t>
      </w:r>
      <w:proofErr w:type="spellEnd"/>
      <w:proofErr w:type="gramEnd"/>
      <w:r w:rsidRPr="0003073C">
        <w:rPr>
          <w:rFonts w:eastAsia="Calibri"/>
          <w:lang w:val="en-SG" w:eastAsia="en-SG"/>
        </w:rPr>
        <w:t xml:space="preserve"> </w:t>
      </w:r>
      <w:proofErr w:type="spellStart"/>
      <w:r w:rsidRPr="0003073C">
        <w:rPr>
          <w:rFonts w:eastAsia="Calibri"/>
          <w:lang w:val="en-SG" w:eastAsia="en-SG"/>
        </w:rPr>
        <w:t>Ishibashi</w:t>
      </w:r>
      <w:proofErr w:type="spellEnd"/>
      <w:r w:rsidRPr="0003073C">
        <w:rPr>
          <w:rFonts w:eastAsia="Calibri"/>
          <w:lang w:val="en-SG" w:eastAsia="en-SG"/>
        </w:rPr>
        <w:t xml:space="preserve">. Kinki University Hospital Cardiovascular </w:t>
      </w:r>
      <w:proofErr w:type="spellStart"/>
      <w:r w:rsidRPr="0003073C">
        <w:rPr>
          <w:rFonts w:eastAsia="Calibri"/>
          <w:lang w:val="en-SG" w:eastAsia="en-SG"/>
        </w:rPr>
        <w:t>Center</w:t>
      </w:r>
      <w:proofErr w:type="spellEnd"/>
      <w:r w:rsidRPr="0003073C">
        <w:rPr>
          <w:rFonts w:eastAsia="Calibri"/>
          <w:lang w:val="en-SG" w:eastAsia="en-SG"/>
        </w:rPr>
        <w:t xml:space="preserve">: Takashi Kurita, </w:t>
      </w:r>
      <w:proofErr w:type="spellStart"/>
      <w:r w:rsidRPr="0003073C">
        <w:rPr>
          <w:rFonts w:eastAsia="Calibri"/>
          <w:lang w:val="en-SG" w:eastAsia="en-SG"/>
        </w:rPr>
        <w:t>Ryoubun</w:t>
      </w:r>
      <w:proofErr w:type="spellEnd"/>
      <w:r w:rsidRPr="0003073C">
        <w:rPr>
          <w:rFonts w:eastAsia="Calibri"/>
          <w:lang w:val="en-SG" w:eastAsia="en-SG"/>
        </w:rPr>
        <w:t xml:space="preserve"> </w:t>
      </w:r>
      <w:proofErr w:type="spellStart"/>
      <w:r w:rsidRPr="0003073C">
        <w:rPr>
          <w:rFonts w:eastAsia="Calibri"/>
          <w:lang w:val="en-SG" w:eastAsia="en-SG"/>
        </w:rPr>
        <w:t>Yasuoka</w:t>
      </w:r>
      <w:proofErr w:type="spellEnd"/>
      <w:r w:rsidRPr="0003073C">
        <w:rPr>
          <w:rFonts w:eastAsia="Calibri"/>
          <w:lang w:val="en-SG" w:eastAsia="en-SG"/>
        </w:rPr>
        <w:t xml:space="preserve">. Nippon Medical School Hospital: </w:t>
      </w:r>
      <w:proofErr w:type="spellStart"/>
      <w:r w:rsidRPr="0003073C">
        <w:rPr>
          <w:rFonts w:eastAsia="Calibri"/>
          <w:lang w:val="en-SG" w:eastAsia="en-SG"/>
        </w:rPr>
        <w:t>Kuniya</w:t>
      </w:r>
      <w:proofErr w:type="spellEnd"/>
      <w:r w:rsidRPr="0003073C">
        <w:rPr>
          <w:rFonts w:eastAsia="Calibri"/>
          <w:lang w:val="en-SG" w:eastAsia="en-SG"/>
        </w:rPr>
        <w:t xml:space="preserve"> </w:t>
      </w:r>
      <w:proofErr w:type="spellStart"/>
      <w:r w:rsidRPr="0003073C">
        <w:rPr>
          <w:rFonts w:eastAsia="Calibri"/>
          <w:lang w:val="en-SG" w:eastAsia="en-SG"/>
        </w:rPr>
        <w:t>Asai</w:t>
      </w:r>
      <w:proofErr w:type="spellEnd"/>
      <w:r w:rsidRPr="0003073C">
        <w:rPr>
          <w:rFonts w:eastAsia="Calibri"/>
          <w:lang w:val="en-SG" w:eastAsia="en-SG"/>
        </w:rPr>
        <w:t xml:space="preserve">, Kohji </w:t>
      </w:r>
      <w:proofErr w:type="spellStart"/>
      <w:r w:rsidRPr="0003073C">
        <w:rPr>
          <w:rFonts w:eastAsia="Calibri"/>
          <w:lang w:val="en-SG" w:eastAsia="en-SG"/>
        </w:rPr>
        <w:t>Murai</w:t>
      </w:r>
      <w:proofErr w:type="spellEnd"/>
      <w:r w:rsidRPr="0003073C">
        <w:rPr>
          <w:rFonts w:eastAsia="Calibri"/>
          <w:lang w:val="en-SG" w:eastAsia="en-SG"/>
        </w:rPr>
        <w:t xml:space="preserve">, Yoshiaki Kubota, Yuki </w:t>
      </w:r>
      <w:proofErr w:type="spellStart"/>
      <w:r w:rsidRPr="0003073C">
        <w:rPr>
          <w:rFonts w:eastAsia="Calibri"/>
          <w:lang w:val="en-SG" w:eastAsia="en-SG"/>
        </w:rPr>
        <w:t>Izumi.Toho</w:t>
      </w:r>
      <w:proofErr w:type="spellEnd"/>
      <w:r w:rsidRPr="0003073C">
        <w:rPr>
          <w:rFonts w:eastAsia="Calibri"/>
          <w:lang w:val="en-SG" w:eastAsia="en-SG"/>
        </w:rPr>
        <w:t xml:space="preserve"> University Omori Medical </w:t>
      </w:r>
      <w:proofErr w:type="spellStart"/>
      <w:r w:rsidRPr="0003073C">
        <w:rPr>
          <w:rFonts w:eastAsia="Calibri"/>
          <w:lang w:val="en-SG" w:eastAsia="en-SG"/>
        </w:rPr>
        <w:t>Center</w:t>
      </w:r>
      <w:proofErr w:type="spellEnd"/>
      <w:r w:rsidRPr="0003073C">
        <w:rPr>
          <w:rFonts w:eastAsia="Calibri"/>
          <w:lang w:val="en-SG" w:eastAsia="en-SG"/>
        </w:rPr>
        <w:t xml:space="preserve">: </w:t>
      </w:r>
      <w:proofErr w:type="spellStart"/>
      <w:r w:rsidRPr="0003073C">
        <w:rPr>
          <w:rFonts w:eastAsia="Calibri"/>
          <w:lang w:val="en-SG" w:eastAsia="en-SG"/>
        </w:rPr>
        <w:t>Takanori</w:t>
      </w:r>
      <w:proofErr w:type="spellEnd"/>
      <w:r w:rsidRPr="0003073C">
        <w:rPr>
          <w:rFonts w:eastAsia="Calibri"/>
          <w:lang w:val="en-SG" w:eastAsia="en-SG"/>
        </w:rPr>
        <w:t xml:space="preserve"> Ikeda, Shinji </w:t>
      </w:r>
      <w:proofErr w:type="spellStart"/>
      <w:r w:rsidRPr="0003073C">
        <w:rPr>
          <w:rFonts w:eastAsia="Calibri"/>
          <w:lang w:val="en-SG" w:eastAsia="en-SG"/>
        </w:rPr>
        <w:t>Hisatake</w:t>
      </w:r>
      <w:proofErr w:type="spellEnd"/>
      <w:r w:rsidRPr="0003073C">
        <w:rPr>
          <w:rFonts w:eastAsia="Calibri"/>
          <w:lang w:val="en-SG" w:eastAsia="en-SG"/>
        </w:rPr>
        <w:t xml:space="preserve">, Takayuki Kabuki, </w:t>
      </w:r>
      <w:proofErr w:type="spellStart"/>
      <w:r w:rsidRPr="0003073C">
        <w:rPr>
          <w:rFonts w:eastAsia="Calibri"/>
          <w:lang w:val="en-SG" w:eastAsia="en-SG"/>
        </w:rPr>
        <w:t>Shunsuke</w:t>
      </w:r>
      <w:proofErr w:type="spellEnd"/>
      <w:r w:rsidRPr="0003073C">
        <w:rPr>
          <w:rFonts w:eastAsia="Calibri"/>
          <w:lang w:val="en-SG" w:eastAsia="en-SG"/>
        </w:rPr>
        <w:t xml:space="preserve"> </w:t>
      </w:r>
      <w:proofErr w:type="spellStart"/>
      <w:r w:rsidRPr="0003073C">
        <w:rPr>
          <w:rFonts w:eastAsia="Calibri"/>
          <w:lang w:val="en-SG" w:eastAsia="en-SG"/>
        </w:rPr>
        <w:t>Kiuchi</w:t>
      </w:r>
      <w:proofErr w:type="spellEnd"/>
      <w:r w:rsidRPr="0003073C">
        <w:rPr>
          <w:rFonts w:eastAsia="Calibri"/>
          <w:lang w:val="en-SG" w:eastAsia="en-SG"/>
        </w:rPr>
        <w:t xml:space="preserve">, Tokyo Women's Medical University: </w:t>
      </w:r>
      <w:proofErr w:type="spellStart"/>
      <w:r w:rsidRPr="0003073C">
        <w:rPr>
          <w:rFonts w:eastAsia="Calibri"/>
          <w:lang w:val="en-SG" w:eastAsia="en-SG"/>
        </w:rPr>
        <w:t>Nobuhisa</w:t>
      </w:r>
      <w:proofErr w:type="spellEnd"/>
      <w:r w:rsidRPr="0003073C">
        <w:rPr>
          <w:rFonts w:eastAsia="Calibri"/>
          <w:lang w:val="en-SG" w:eastAsia="en-SG"/>
        </w:rPr>
        <w:t xml:space="preserve"> Hagiwara, Atsushi Suzuki, </w:t>
      </w:r>
      <w:proofErr w:type="spellStart"/>
      <w:r w:rsidRPr="0003073C">
        <w:rPr>
          <w:rFonts w:eastAsia="Calibri"/>
          <w:lang w:val="en-SG" w:eastAsia="en-SG"/>
        </w:rPr>
        <w:t>Dr.</w:t>
      </w:r>
      <w:proofErr w:type="spellEnd"/>
      <w:r w:rsidRPr="0003073C">
        <w:rPr>
          <w:rFonts w:eastAsia="Calibri"/>
          <w:lang w:val="en-SG" w:eastAsia="en-SG"/>
        </w:rPr>
        <w:t xml:space="preserve"> Tsuyoshi Suzuki. </w:t>
      </w:r>
    </w:p>
    <w:p w14:paraId="07BFAEB1" w14:textId="77777777" w:rsidR="00F778E5" w:rsidRPr="0003073C" w:rsidRDefault="00F778E5" w:rsidP="007419B4">
      <w:pPr>
        <w:rPr>
          <w:rFonts w:eastAsia="Calibri"/>
          <w:lang w:val="en-SG" w:eastAsia="en-SG"/>
        </w:rPr>
      </w:pPr>
    </w:p>
    <w:p w14:paraId="5F9D70D3" w14:textId="77777777" w:rsidR="00F778E5" w:rsidRPr="0003073C" w:rsidRDefault="00F778E5" w:rsidP="007419B4">
      <w:pPr>
        <w:rPr>
          <w:rFonts w:eastAsia="Calibri"/>
          <w:lang w:val="en-SG" w:eastAsia="en-SG"/>
        </w:rPr>
      </w:pPr>
      <w:r w:rsidRPr="0003073C">
        <w:rPr>
          <w:rFonts w:eastAsia="Calibri"/>
          <w:lang w:val="en-SG" w:eastAsia="en-SG"/>
        </w:rPr>
        <w:t>Korea</w:t>
      </w:r>
    </w:p>
    <w:p w14:paraId="35FE3528" w14:textId="77777777" w:rsidR="00F778E5" w:rsidRPr="0003073C" w:rsidRDefault="00F778E5" w:rsidP="007419B4">
      <w:pPr>
        <w:autoSpaceDE w:val="0"/>
        <w:autoSpaceDN w:val="0"/>
        <w:contextualSpacing/>
        <w:rPr>
          <w:rFonts w:eastAsia="Yu Mincho"/>
          <w:lang w:val="en-SG" w:eastAsia="ja-JP"/>
        </w:rPr>
      </w:pPr>
      <w:proofErr w:type="spellStart"/>
      <w:r w:rsidRPr="0003073C">
        <w:rPr>
          <w:rFonts w:eastAsia="Yu Mincho"/>
          <w:lang w:val="en-SG" w:eastAsia="ja-JP"/>
        </w:rPr>
        <w:t>SeJong</w:t>
      </w:r>
      <w:proofErr w:type="spellEnd"/>
      <w:r w:rsidRPr="0003073C">
        <w:rPr>
          <w:rFonts w:eastAsia="Yu Mincho"/>
          <w:lang w:val="en-SG" w:eastAsia="ja-JP"/>
        </w:rPr>
        <w:t xml:space="preserve"> General Hospital: </w:t>
      </w:r>
      <w:r w:rsidRPr="0003073C">
        <w:rPr>
          <w:rFonts w:eastAsia="Yu Mincho"/>
          <w:b/>
          <w:lang w:val="en-SG" w:eastAsia="ja-JP"/>
        </w:rPr>
        <w:t>Sang-</w:t>
      </w:r>
      <w:proofErr w:type="spellStart"/>
      <w:r w:rsidRPr="0003073C">
        <w:rPr>
          <w:rFonts w:eastAsia="Yu Mincho"/>
          <w:b/>
          <w:lang w:val="en-SG" w:eastAsia="ja-JP"/>
        </w:rPr>
        <w:t>Weon</w:t>
      </w:r>
      <w:proofErr w:type="spellEnd"/>
      <w:r w:rsidRPr="0003073C">
        <w:rPr>
          <w:rFonts w:eastAsia="Yu Mincho"/>
          <w:b/>
          <w:lang w:val="en-SG" w:eastAsia="ja-JP"/>
        </w:rPr>
        <w:t xml:space="preserve"> Park</w:t>
      </w:r>
      <w:r w:rsidRPr="0003073C">
        <w:rPr>
          <w:rFonts w:eastAsia="Yu Mincho"/>
          <w:lang w:val="en-SG" w:eastAsia="ja-JP"/>
        </w:rPr>
        <w:t xml:space="preserve"> (Country PI), Suk </w:t>
      </w:r>
      <w:proofErr w:type="spellStart"/>
      <w:r w:rsidRPr="0003073C">
        <w:rPr>
          <w:rFonts w:eastAsia="Yu Mincho"/>
          <w:lang w:val="en-SG" w:eastAsia="ja-JP"/>
        </w:rPr>
        <w:t>Keun</w:t>
      </w:r>
      <w:proofErr w:type="spellEnd"/>
      <w:r w:rsidRPr="0003073C">
        <w:rPr>
          <w:rFonts w:eastAsia="Yu Mincho"/>
          <w:lang w:val="en-SG" w:eastAsia="ja-JP"/>
        </w:rPr>
        <w:t xml:space="preserve"> Hong, </w:t>
      </w:r>
      <w:proofErr w:type="spellStart"/>
      <w:r w:rsidRPr="0003073C">
        <w:rPr>
          <w:rFonts w:eastAsia="Yu Mincho"/>
          <w:lang w:val="en-SG" w:eastAsia="ja-JP"/>
        </w:rPr>
        <w:t>SookJin</w:t>
      </w:r>
      <w:proofErr w:type="spellEnd"/>
      <w:r w:rsidRPr="0003073C">
        <w:rPr>
          <w:rFonts w:eastAsia="Yu Mincho"/>
          <w:lang w:val="en-SG" w:eastAsia="ja-JP"/>
        </w:rPr>
        <w:t xml:space="preserve"> Lee, Lim Dal Soo, Dong-</w:t>
      </w:r>
      <w:proofErr w:type="spellStart"/>
      <w:r w:rsidRPr="0003073C">
        <w:rPr>
          <w:rFonts w:eastAsia="Yu Mincho"/>
          <w:lang w:val="en-SG" w:eastAsia="ja-JP"/>
        </w:rPr>
        <w:t>Hyeok</w:t>
      </w:r>
      <w:proofErr w:type="spellEnd"/>
      <w:r w:rsidRPr="0003073C">
        <w:rPr>
          <w:rFonts w:eastAsia="Yu Mincho"/>
          <w:lang w:val="en-SG" w:eastAsia="ja-JP"/>
        </w:rPr>
        <w:t xml:space="preserve"> Kim. Korea University </w:t>
      </w:r>
      <w:proofErr w:type="spellStart"/>
      <w:r w:rsidRPr="0003073C">
        <w:rPr>
          <w:rFonts w:eastAsia="Yu Mincho"/>
          <w:lang w:val="en-SG" w:eastAsia="ja-JP"/>
        </w:rPr>
        <w:t>Anam</w:t>
      </w:r>
      <w:proofErr w:type="spellEnd"/>
      <w:r w:rsidRPr="0003073C">
        <w:rPr>
          <w:rFonts w:eastAsia="Yu Mincho"/>
          <w:lang w:val="en-SG" w:eastAsia="ja-JP"/>
        </w:rPr>
        <w:t xml:space="preserve"> Hospital: </w:t>
      </w:r>
      <w:proofErr w:type="spellStart"/>
      <w:r w:rsidRPr="0003073C">
        <w:rPr>
          <w:rFonts w:eastAsia="Yu Mincho"/>
          <w:lang w:val="en-SG" w:eastAsia="ja-JP"/>
        </w:rPr>
        <w:t>Jaemin</w:t>
      </w:r>
      <w:proofErr w:type="spellEnd"/>
      <w:r w:rsidRPr="0003073C">
        <w:rPr>
          <w:rFonts w:eastAsia="Yu Mincho"/>
          <w:lang w:val="en-SG" w:eastAsia="ja-JP"/>
        </w:rPr>
        <w:t xml:space="preserve"> Shim, </w:t>
      </w:r>
      <w:proofErr w:type="spellStart"/>
      <w:r w:rsidRPr="0003073C">
        <w:rPr>
          <w:rFonts w:eastAsia="Yu Mincho"/>
          <w:lang w:val="en-SG" w:eastAsia="ja-JP"/>
        </w:rPr>
        <w:t>Seong-Mi</w:t>
      </w:r>
      <w:proofErr w:type="spellEnd"/>
      <w:r w:rsidRPr="0003073C">
        <w:rPr>
          <w:rFonts w:eastAsia="Yu Mincho"/>
          <w:lang w:val="en-SG" w:eastAsia="ja-JP"/>
        </w:rPr>
        <w:t xml:space="preserve"> Park, </w:t>
      </w:r>
      <w:proofErr w:type="spellStart"/>
      <w:r w:rsidRPr="0003073C">
        <w:rPr>
          <w:rFonts w:eastAsia="Yu Mincho"/>
          <w:lang w:val="en-SG" w:eastAsia="ja-JP"/>
        </w:rPr>
        <w:t>Seung</w:t>
      </w:r>
      <w:proofErr w:type="spellEnd"/>
      <w:r w:rsidRPr="0003073C">
        <w:rPr>
          <w:rFonts w:eastAsia="Yu Mincho"/>
          <w:lang w:val="en-SG" w:eastAsia="ja-JP"/>
        </w:rPr>
        <w:t xml:space="preserve">-Young </w:t>
      </w:r>
      <w:proofErr w:type="spellStart"/>
      <w:r w:rsidRPr="0003073C">
        <w:rPr>
          <w:rFonts w:eastAsia="Yu Mincho"/>
          <w:lang w:val="en-SG" w:eastAsia="ja-JP"/>
        </w:rPr>
        <w:t>Roh</w:t>
      </w:r>
      <w:proofErr w:type="spellEnd"/>
      <w:r w:rsidRPr="0003073C">
        <w:rPr>
          <w:rFonts w:eastAsia="Yu Mincho"/>
          <w:lang w:val="en-SG" w:eastAsia="ja-JP"/>
        </w:rPr>
        <w:t xml:space="preserve">, Young </w:t>
      </w:r>
      <w:proofErr w:type="spellStart"/>
      <w:r w:rsidRPr="0003073C">
        <w:rPr>
          <w:rFonts w:eastAsia="Yu Mincho"/>
          <w:lang w:val="en-SG" w:eastAsia="ja-JP"/>
        </w:rPr>
        <w:t>Hoon</w:t>
      </w:r>
      <w:proofErr w:type="spellEnd"/>
      <w:r w:rsidRPr="0003073C">
        <w:rPr>
          <w:rFonts w:eastAsia="Yu Mincho"/>
          <w:lang w:val="en-SG" w:eastAsia="ja-JP"/>
        </w:rPr>
        <w:t xml:space="preserve"> Kim, Mina Kim, Jong-Il Choi. Korea University </w:t>
      </w:r>
      <w:proofErr w:type="spellStart"/>
      <w:r w:rsidRPr="0003073C">
        <w:rPr>
          <w:rFonts w:eastAsia="Yu Mincho"/>
          <w:lang w:val="en-SG" w:eastAsia="ja-JP"/>
        </w:rPr>
        <w:t>Guro</w:t>
      </w:r>
      <w:proofErr w:type="spellEnd"/>
      <w:r w:rsidRPr="0003073C">
        <w:rPr>
          <w:rFonts w:eastAsia="Yu Mincho"/>
          <w:lang w:val="en-SG" w:eastAsia="ja-JP"/>
        </w:rPr>
        <w:t xml:space="preserve"> Hospital: </w:t>
      </w:r>
      <w:proofErr w:type="spellStart"/>
      <w:r w:rsidRPr="0003073C">
        <w:rPr>
          <w:rFonts w:eastAsia="Yu Mincho"/>
          <w:lang w:val="en-SG" w:eastAsia="ja-JP"/>
        </w:rPr>
        <w:t>Jin</w:t>
      </w:r>
      <w:proofErr w:type="spellEnd"/>
      <w:r w:rsidRPr="0003073C">
        <w:rPr>
          <w:rFonts w:eastAsia="Yu Mincho"/>
          <w:lang w:val="en-SG" w:eastAsia="ja-JP"/>
        </w:rPr>
        <w:t xml:space="preserve"> Oh Na, </w:t>
      </w:r>
      <w:proofErr w:type="spellStart"/>
      <w:r w:rsidRPr="0003073C">
        <w:rPr>
          <w:rFonts w:eastAsia="Yu Mincho"/>
          <w:lang w:val="en-SG" w:eastAsia="ja-JP"/>
        </w:rPr>
        <w:t>Seung</w:t>
      </w:r>
      <w:proofErr w:type="spellEnd"/>
      <w:r w:rsidRPr="0003073C">
        <w:rPr>
          <w:rFonts w:eastAsia="Yu Mincho"/>
          <w:lang w:val="en-SG" w:eastAsia="ja-JP"/>
        </w:rPr>
        <w:t xml:space="preserve"> </w:t>
      </w:r>
      <w:proofErr w:type="spellStart"/>
      <w:r w:rsidRPr="0003073C">
        <w:rPr>
          <w:rFonts w:eastAsia="Yu Mincho"/>
          <w:lang w:val="en-SG" w:eastAsia="ja-JP"/>
        </w:rPr>
        <w:t>Woon</w:t>
      </w:r>
      <w:proofErr w:type="spellEnd"/>
      <w:r w:rsidRPr="0003073C">
        <w:rPr>
          <w:rFonts w:eastAsia="Yu Mincho"/>
          <w:lang w:val="en-SG" w:eastAsia="ja-JP"/>
        </w:rPr>
        <w:t xml:space="preserve"> </w:t>
      </w:r>
      <w:proofErr w:type="spellStart"/>
      <w:r w:rsidRPr="0003073C">
        <w:rPr>
          <w:rFonts w:eastAsia="Yu Mincho"/>
          <w:lang w:val="en-SG" w:eastAsia="ja-JP"/>
        </w:rPr>
        <w:t>Rha</w:t>
      </w:r>
      <w:proofErr w:type="spellEnd"/>
      <w:r w:rsidRPr="0003073C">
        <w:rPr>
          <w:rFonts w:eastAsia="Yu Mincho"/>
          <w:lang w:val="en-SG" w:eastAsia="ja-JP"/>
        </w:rPr>
        <w:t xml:space="preserve">, Hong </w:t>
      </w:r>
      <w:proofErr w:type="spellStart"/>
      <w:r w:rsidRPr="0003073C">
        <w:rPr>
          <w:rFonts w:eastAsia="Yu Mincho"/>
          <w:lang w:val="en-SG" w:eastAsia="ja-JP"/>
        </w:rPr>
        <w:t>Seog</w:t>
      </w:r>
      <w:proofErr w:type="spellEnd"/>
      <w:r w:rsidRPr="0003073C">
        <w:rPr>
          <w:rFonts w:eastAsia="Yu Mincho"/>
          <w:lang w:val="en-SG" w:eastAsia="ja-JP"/>
        </w:rPr>
        <w:t xml:space="preserve"> </w:t>
      </w:r>
      <w:proofErr w:type="spellStart"/>
      <w:r w:rsidRPr="0003073C">
        <w:rPr>
          <w:rFonts w:eastAsia="Yu Mincho"/>
          <w:lang w:val="en-SG" w:eastAsia="ja-JP"/>
        </w:rPr>
        <w:t>Seo</w:t>
      </w:r>
      <w:proofErr w:type="spellEnd"/>
      <w:r w:rsidRPr="0003073C">
        <w:rPr>
          <w:rFonts w:eastAsia="Yu Mincho"/>
          <w:lang w:val="en-SG" w:eastAsia="ja-JP"/>
        </w:rPr>
        <w:t xml:space="preserve">, Dong </w:t>
      </w:r>
      <w:proofErr w:type="spellStart"/>
      <w:r w:rsidRPr="0003073C">
        <w:rPr>
          <w:rFonts w:eastAsia="Yu Mincho"/>
          <w:lang w:val="en-SG" w:eastAsia="ja-JP"/>
        </w:rPr>
        <w:t>Joo</w:t>
      </w:r>
      <w:proofErr w:type="spellEnd"/>
      <w:r w:rsidRPr="0003073C">
        <w:rPr>
          <w:rFonts w:eastAsia="Yu Mincho"/>
          <w:lang w:val="en-SG" w:eastAsia="ja-JP"/>
        </w:rPr>
        <w:t xml:space="preserve"> Oh, Chang </w:t>
      </w:r>
      <w:proofErr w:type="spellStart"/>
      <w:r w:rsidRPr="0003073C">
        <w:rPr>
          <w:rFonts w:eastAsia="Yu Mincho"/>
          <w:lang w:val="en-SG" w:eastAsia="ja-JP"/>
        </w:rPr>
        <w:t>Gyu</w:t>
      </w:r>
      <w:proofErr w:type="spellEnd"/>
      <w:r w:rsidRPr="0003073C">
        <w:rPr>
          <w:rFonts w:eastAsia="Yu Mincho"/>
          <w:lang w:val="en-SG" w:eastAsia="ja-JP"/>
        </w:rPr>
        <w:t xml:space="preserve"> Park, </w:t>
      </w:r>
      <w:proofErr w:type="spellStart"/>
      <w:r w:rsidRPr="0003073C">
        <w:rPr>
          <w:rFonts w:eastAsia="Yu Mincho"/>
          <w:lang w:val="en-SG" w:eastAsia="ja-JP"/>
        </w:rPr>
        <w:t>Eung</w:t>
      </w:r>
      <w:proofErr w:type="spellEnd"/>
      <w:r w:rsidRPr="0003073C">
        <w:rPr>
          <w:rFonts w:eastAsia="Yu Mincho"/>
          <w:lang w:val="en-SG" w:eastAsia="ja-JP"/>
        </w:rPr>
        <w:t xml:space="preserve"> </w:t>
      </w:r>
      <w:proofErr w:type="spellStart"/>
      <w:r w:rsidRPr="0003073C">
        <w:rPr>
          <w:rFonts w:eastAsia="Yu Mincho"/>
          <w:lang w:val="en-SG" w:eastAsia="ja-JP"/>
        </w:rPr>
        <w:t>Ju</w:t>
      </w:r>
      <w:proofErr w:type="spellEnd"/>
      <w:r w:rsidRPr="0003073C">
        <w:rPr>
          <w:rFonts w:eastAsia="Yu Mincho"/>
          <w:lang w:val="en-SG" w:eastAsia="ja-JP"/>
        </w:rPr>
        <w:t xml:space="preserve"> Kim, </w:t>
      </w:r>
      <w:proofErr w:type="spellStart"/>
      <w:r w:rsidRPr="0003073C">
        <w:rPr>
          <w:rFonts w:eastAsia="Yu Mincho"/>
          <w:lang w:val="en-SG" w:eastAsia="ja-JP"/>
        </w:rPr>
        <w:t>Sunki</w:t>
      </w:r>
      <w:proofErr w:type="spellEnd"/>
      <w:r w:rsidRPr="0003073C">
        <w:rPr>
          <w:rFonts w:eastAsia="Yu Mincho"/>
          <w:lang w:val="en-SG" w:eastAsia="ja-JP"/>
        </w:rPr>
        <w:t xml:space="preserve"> Lee, </w:t>
      </w:r>
    </w:p>
    <w:p w14:paraId="744A0596" w14:textId="77777777" w:rsidR="00F778E5" w:rsidRPr="0003073C" w:rsidRDefault="00F778E5" w:rsidP="007419B4">
      <w:pPr>
        <w:rPr>
          <w:rFonts w:eastAsia="Calibri"/>
          <w:lang w:val="en-SG" w:eastAsia="en-SG"/>
        </w:rPr>
      </w:pPr>
      <w:r w:rsidRPr="0003073C">
        <w:rPr>
          <w:rFonts w:eastAsia="Calibri"/>
          <w:lang w:val="en-SG" w:eastAsia="en-SG"/>
        </w:rPr>
        <w:t xml:space="preserve">Severance Hospital, </w:t>
      </w:r>
      <w:proofErr w:type="spellStart"/>
      <w:r w:rsidRPr="0003073C">
        <w:rPr>
          <w:rFonts w:eastAsia="Calibri"/>
          <w:lang w:val="en-SG" w:eastAsia="en-SG"/>
        </w:rPr>
        <w:t>Yonsei</w:t>
      </w:r>
      <w:proofErr w:type="spellEnd"/>
      <w:r w:rsidRPr="0003073C">
        <w:rPr>
          <w:rFonts w:eastAsia="Calibri"/>
          <w:lang w:val="en-SG" w:eastAsia="en-SG"/>
        </w:rPr>
        <w:t xml:space="preserve"> University Health System: </w:t>
      </w:r>
      <w:proofErr w:type="spellStart"/>
      <w:r w:rsidRPr="0003073C">
        <w:rPr>
          <w:rFonts w:eastAsia="Calibri"/>
          <w:lang w:val="en-SG" w:eastAsia="en-SG"/>
        </w:rPr>
        <w:t>Boyoung</w:t>
      </w:r>
      <w:proofErr w:type="spellEnd"/>
      <w:r w:rsidRPr="0003073C">
        <w:rPr>
          <w:rFonts w:eastAsia="Calibri"/>
          <w:lang w:val="en-SG" w:eastAsia="en-SG"/>
        </w:rPr>
        <w:t xml:space="preserve"> </w:t>
      </w:r>
      <w:proofErr w:type="spellStart"/>
      <w:r w:rsidRPr="0003073C">
        <w:rPr>
          <w:rFonts w:eastAsia="Calibri"/>
          <w:lang w:val="en-SG" w:eastAsia="en-SG"/>
        </w:rPr>
        <w:t>Joung</w:t>
      </w:r>
      <w:proofErr w:type="spellEnd"/>
      <w:r w:rsidRPr="0003073C">
        <w:rPr>
          <w:rFonts w:eastAsia="Calibri"/>
          <w:lang w:val="en-SG" w:eastAsia="en-SG"/>
        </w:rPr>
        <w:t xml:space="preserve">, Jae-Sun </w:t>
      </w:r>
      <w:proofErr w:type="spellStart"/>
      <w:r w:rsidRPr="0003073C">
        <w:rPr>
          <w:rFonts w:eastAsia="Calibri"/>
          <w:lang w:val="en-SG" w:eastAsia="en-SG"/>
        </w:rPr>
        <w:t>Uhm</w:t>
      </w:r>
      <w:proofErr w:type="spellEnd"/>
      <w:r w:rsidRPr="0003073C">
        <w:rPr>
          <w:rFonts w:eastAsia="Calibri"/>
          <w:lang w:val="en-SG" w:eastAsia="en-SG"/>
        </w:rPr>
        <w:t xml:space="preserve">, Moon </w:t>
      </w:r>
      <w:proofErr w:type="spellStart"/>
      <w:r w:rsidRPr="0003073C">
        <w:rPr>
          <w:rFonts w:eastAsia="Calibri"/>
          <w:lang w:val="en-SG" w:eastAsia="en-SG"/>
        </w:rPr>
        <w:t>Hyoung</w:t>
      </w:r>
      <w:proofErr w:type="spellEnd"/>
      <w:r w:rsidRPr="0003073C">
        <w:rPr>
          <w:rFonts w:eastAsia="Calibri"/>
          <w:lang w:val="en-SG" w:eastAsia="en-SG"/>
        </w:rPr>
        <w:t xml:space="preserve"> Lee, In-</w:t>
      </w:r>
      <w:proofErr w:type="spellStart"/>
      <w:r w:rsidRPr="0003073C">
        <w:rPr>
          <w:rFonts w:eastAsia="Calibri"/>
          <w:lang w:val="en-SG" w:eastAsia="en-SG"/>
        </w:rPr>
        <w:t>Jeong</w:t>
      </w:r>
      <w:proofErr w:type="spellEnd"/>
      <w:r w:rsidRPr="0003073C">
        <w:rPr>
          <w:rFonts w:eastAsia="Calibri"/>
          <w:lang w:val="en-SG" w:eastAsia="en-SG"/>
        </w:rPr>
        <w:t xml:space="preserve"> Cho, Hui-Nam Park. </w:t>
      </w:r>
      <w:proofErr w:type="spellStart"/>
      <w:r w:rsidRPr="0003073C">
        <w:rPr>
          <w:rFonts w:eastAsia="Calibri"/>
          <w:lang w:val="en-SG" w:eastAsia="en-SG"/>
        </w:rPr>
        <w:t>Chonnam</w:t>
      </w:r>
      <w:proofErr w:type="spellEnd"/>
      <w:r w:rsidRPr="0003073C">
        <w:rPr>
          <w:rFonts w:eastAsia="Calibri"/>
          <w:lang w:val="en-SG" w:eastAsia="en-SG"/>
        </w:rPr>
        <w:t xml:space="preserve"> National University Hospital: </w:t>
      </w:r>
      <w:proofErr w:type="spellStart"/>
      <w:r w:rsidRPr="0003073C">
        <w:rPr>
          <w:rFonts w:eastAsia="Calibri"/>
          <w:lang w:val="en-SG" w:eastAsia="en-SG"/>
        </w:rPr>
        <w:t>Hyung-Wook</w:t>
      </w:r>
      <w:proofErr w:type="spellEnd"/>
      <w:r w:rsidRPr="0003073C">
        <w:rPr>
          <w:rFonts w:eastAsia="Calibri"/>
          <w:lang w:val="en-SG" w:eastAsia="en-SG"/>
        </w:rPr>
        <w:t xml:space="preserve"> Park, </w:t>
      </w:r>
      <w:proofErr w:type="spellStart"/>
      <w:r w:rsidRPr="0003073C">
        <w:rPr>
          <w:rFonts w:eastAsia="Calibri"/>
          <w:lang w:val="en-SG" w:eastAsia="en-SG"/>
        </w:rPr>
        <w:t>Jeong-Gwan</w:t>
      </w:r>
      <w:proofErr w:type="spellEnd"/>
      <w:r w:rsidRPr="0003073C">
        <w:rPr>
          <w:rFonts w:eastAsia="Calibri"/>
          <w:lang w:val="en-SG" w:eastAsia="en-SG"/>
        </w:rPr>
        <w:t xml:space="preserve"> Cho, </w:t>
      </w:r>
      <w:proofErr w:type="spellStart"/>
      <w:r w:rsidRPr="0003073C">
        <w:rPr>
          <w:rFonts w:eastAsia="Calibri"/>
          <w:lang w:val="en-SG" w:eastAsia="en-SG"/>
        </w:rPr>
        <w:t>Namsik</w:t>
      </w:r>
      <w:proofErr w:type="spellEnd"/>
      <w:r w:rsidRPr="0003073C">
        <w:rPr>
          <w:rFonts w:eastAsia="Calibri"/>
          <w:lang w:val="en-SG" w:eastAsia="en-SG"/>
        </w:rPr>
        <w:t xml:space="preserve"> Yoon, </w:t>
      </w:r>
      <w:proofErr w:type="spellStart"/>
      <w:r w:rsidRPr="0003073C">
        <w:rPr>
          <w:rFonts w:eastAsia="Calibri"/>
          <w:lang w:val="en-SG" w:eastAsia="en-SG"/>
        </w:rPr>
        <w:t>KiHong</w:t>
      </w:r>
      <w:proofErr w:type="spellEnd"/>
      <w:r w:rsidRPr="0003073C">
        <w:rPr>
          <w:rFonts w:eastAsia="Calibri"/>
          <w:lang w:val="en-SG" w:eastAsia="en-SG"/>
        </w:rPr>
        <w:t xml:space="preserve"> Lee, </w:t>
      </w:r>
      <w:proofErr w:type="spellStart"/>
      <w:r w:rsidRPr="0003073C">
        <w:rPr>
          <w:rFonts w:eastAsia="Calibri"/>
          <w:lang w:val="en-SG" w:eastAsia="en-SG"/>
        </w:rPr>
        <w:t>Kye</w:t>
      </w:r>
      <w:proofErr w:type="spellEnd"/>
      <w:r w:rsidRPr="0003073C">
        <w:rPr>
          <w:rFonts w:eastAsia="Calibri"/>
          <w:lang w:val="en-SG" w:eastAsia="en-SG"/>
        </w:rPr>
        <w:t xml:space="preserve"> Hun Kim. Korea University </w:t>
      </w:r>
      <w:proofErr w:type="spellStart"/>
      <w:r w:rsidRPr="0003073C">
        <w:rPr>
          <w:rFonts w:eastAsia="Calibri"/>
          <w:lang w:val="en-SG" w:eastAsia="en-SG"/>
        </w:rPr>
        <w:t>Ansan</w:t>
      </w:r>
      <w:proofErr w:type="spellEnd"/>
      <w:r w:rsidRPr="0003073C">
        <w:rPr>
          <w:rFonts w:eastAsia="Calibri"/>
          <w:lang w:val="en-SG" w:eastAsia="en-SG"/>
        </w:rPr>
        <w:t xml:space="preserve"> Hospital: </w:t>
      </w:r>
      <w:proofErr w:type="spellStart"/>
      <w:r w:rsidRPr="0003073C">
        <w:rPr>
          <w:rFonts w:eastAsia="Calibri"/>
          <w:lang w:val="en-SG" w:eastAsia="en-SG"/>
        </w:rPr>
        <w:t>Seong</w:t>
      </w:r>
      <w:proofErr w:type="spellEnd"/>
      <w:r w:rsidRPr="0003073C">
        <w:rPr>
          <w:rFonts w:eastAsia="Calibri"/>
          <w:lang w:val="en-SG" w:eastAsia="en-SG"/>
        </w:rPr>
        <w:t xml:space="preserve"> Hwan Kim. </w:t>
      </w:r>
    </w:p>
    <w:p w14:paraId="56C54553" w14:textId="77777777" w:rsidR="00F778E5" w:rsidRPr="0003073C" w:rsidRDefault="00F778E5" w:rsidP="007419B4">
      <w:pPr>
        <w:rPr>
          <w:rFonts w:eastAsia="Calibri"/>
          <w:lang w:val="en-SG" w:eastAsia="en-SG"/>
        </w:rPr>
      </w:pPr>
    </w:p>
    <w:p w14:paraId="6901687A" w14:textId="77777777" w:rsidR="00F778E5" w:rsidRPr="0003073C" w:rsidRDefault="00F778E5" w:rsidP="007419B4">
      <w:pPr>
        <w:rPr>
          <w:rFonts w:eastAsia="Calibri"/>
          <w:lang w:val="en-SG" w:eastAsia="en-SG"/>
        </w:rPr>
      </w:pPr>
      <w:r w:rsidRPr="0003073C">
        <w:rPr>
          <w:rFonts w:eastAsia="Calibri"/>
          <w:lang w:val="en-SG" w:eastAsia="en-SG"/>
        </w:rPr>
        <w:t>Malaysia</w:t>
      </w:r>
    </w:p>
    <w:p w14:paraId="7611FCAA" w14:textId="77777777" w:rsidR="00F778E5" w:rsidRPr="0003073C" w:rsidRDefault="00F778E5" w:rsidP="007419B4">
      <w:pPr>
        <w:rPr>
          <w:rFonts w:eastAsia="Calibri"/>
          <w:lang w:val="en-SG" w:eastAsia="en-SG"/>
        </w:rPr>
      </w:pPr>
      <w:r w:rsidRPr="0003073C">
        <w:rPr>
          <w:rFonts w:eastAsia="Calibri"/>
          <w:lang w:val="en-SG" w:eastAsia="en-SG"/>
        </w:rPr>
        <w:t xml:space="preserve">Hospital Queen Elizabeth II: </w:t>
      </w:r>
      <w:proofErr w:type="spellStart"/>
      <w:r w:rsidRPr="0003073C">
        <w:rPr>
          <w:rFonts w:eastAsia="Calibri"/>
          <w:b/>
          <w:lang w:val="en-SG" w:eastAsia="en-SG"/>
        </w:rPr>
        <w:t>Houng</w:t>
      </w:r>
      <w:proofErr w:type="spellEnd"/>
      <w:r w:rsidRPr="0003073C">
        <w:rPr>
          <w:rFonts w:eastAsia="Calibri"/>
          <w:b/>
          <w:lang w:val="en-SG" w:eastAsia="en-SG"/>
        </w:rPr>
        <w:t xml:space="preserve"> Bang </w:t>
      </w:r>
      <w:proofErr w:type="spellStart"/>
      <w:r w:rsidRPr="0003073C">
        <w:rPr>
          <w:rFonts w:eastAsia="Calibri"/>
          <w:b/>
          <w:lang w:val="en-SG" w:eastAsia="en-SG"/>
        </w:rPr>
        <w:t>Liew</w:t>
      </w:r>
      <w:proofErr w:type="spellEnd"/>
      <w:r w:rsidRPr="0003073C">
        <w:rPr>
          <w:rFonts w:eastAsia="Calibri"/>
          <w:lang w:val="en-SG" w:eastAsia="en-SG"/>
        </w:rPr>
        <w:t xml:space="preserve"> (Country PI), </w:t>
      </w:r>
      <w:proofErr w:type="spellStart"/>
      <w:r w:rsidRPr="0003073C">
        <w:rPr>
          <w:rFonts w:eastAsia="Calibri"/>
          <w:lang w:val="en-SG" w:eastAsia="en-SG"/>
        </w:rPr>
        <w:t>Sahrin</w:t>
      </w:r>
      <w:proofErr w:type="spellEnd"/>
      <w:r w:rsidRPr="0003073C">
        <w:rPr>
          <w:rFonts w:eastAsia="Calibri"/>
          <w:lang w:val="en-SG" w:eastAsia="en-SG"/>
        </w:rPr>
        <w:t xml:space="preserve"> </w:t>
      </w:r>
      <w:proofErr w:type="spellStart"/>
      <w:r w:rsidRPr="0003073C">
        <w:rPr>
          <w:rFonts w:eastAsia="Calibri"/>
          <w:lang w:val="en-SG" w:eastAsia="en-SG"/>
        </w:rPr>
        <w:t>Saharudin</w:t>
      </w:r>
      <w:proofErr w:type="spellEnd"/>
      <w:r w:rsidRPr="0003073C">
        <w:rPr>
          <w:rFonts w:eastAsia="Calibri"/>
          <w:lang w:val="en-SG" w:eastAsia="en-SG"/>
        </w:rPr>
        <w:t xml:space="preserve">, Boon Cong </w:t>
      </w:r>
      <w:proofErr w:type="spellStart"/>
      <w:r w:rsidRPr="0003073C">
        <w:rPr>
          <w:rFonts w:eastAsia="Calibri"/>
          <w:lang w:val="en-SG" w:eastAsia="en-SG"/>
        </w:rPr>
        <w:t>Beh</w:t>
      </w:r>
      <w:proofErr w:type="spellEnd"/>
      <w:r w:rsidRPr="0003073C">
        <w:rPr>
          <w:rFonts w:eastAsia="Calibri"/>
          <w:lang w:val="en-SG" w:eastAsia="en-SG"/>
        </w:rPr>
        <w:t xml:space="preserve">, Yu Wei Lee, Chia How Yen, </w:t>
      </w:r>
      <w:proofErr w:type="spellStart"/>
      <w:r w:rsidRPr="0003073C">
        <w:rPr>
          <w:rFonts w:eastAsia="Calibri"/>
          <w:lang w:val="en-SG" w:eastAsia="en-SG"/>
        </w:rPr>
        <w:t>Mohd</w:t>
      </w:r>
      <w:proofErr w:type="spellEnd"/>
      <w:r w:rsidRPr="0003073C">
        <w:rPr>
          <w:rFonts w:eastAsia="Calibri"/>
          <w:lang w:val="en-SG" w:eastAsia="en-SG"/>
        </w:rPr>
        <w:t xml:space="preserve"> </w:t>
      </w:r>
      <w:proofErr w:type="spellStart"/>
      <w:r w:rsidRPr="0003073C">
        <w:rPr>
          <w:rFonts w:eastAsia="Calibri"/>
          <w:lang w:val="en-SG" w:eastAsia="en-SG"/>
        </w:rPr>
        <w:t>Khairi</w:t>
      </w:r>
      <w:proofErr w:type="spellEnd"/>
      <w:r w:rsidRPr="0003073C">
        <w:rPr>
          <w:rFonts w:eastAsia="Calibri"/>
          <w:lang w:val="en-SG" w:eastAsia="en-SG"/>
        </w:rPr>
        <w:t xml:space="preserve"> Othman, Amie-Anne Augustine, </w:t>
      </w:r>
      <w:proofErr w:type="spellStart"/>
      <w:r w:rsidRPr="0003073C">
        <w:rPr>
          <w:rFonts w:eastAsia="Calibri"/>
          <w:lang w:val="en-SG" w:eastAsia="en-SG"/>
        </w:rPr>
        <w:t>Mohd</w:t>
      </w:r>
      <w:proofErr w:type="spellEnd"/>
      <w:r w:rsidRPr="0003073C">
        <w:rPr>
          <w:rFonts w:eastAsia="Calibri"/>
          <w:lang w:val="en-SG" w:eastAsia="en-SG"/>
        </w:rPr>
        <w:t xml:space="preserve"> </w:t>
      </w:r>
      <w:proofErr w:type="spellStart"/>
      <w:r w:rsidRPr="0003073C">
        <w:rPr>
          <w:rFonts w:eastAsia="Calibri"/>
          <w:lang w:val="en-SG" w:eastAsia="en-SG"/>
        </w:rPr>
        <w:t>Hariz</w:t>
      </w:r>
      <w:proofErr w:type="spellEnd"/>
      <w:r w:rsidRPr="0003073C">
        <w:rPr>
          <w:rFonts w:eastAsia="Calibri"/>
          <w:lang w:val="en-SG" w:eastAsia="en-SG"/>
        </w:rPr>
        <w:t xml:space="preserve"> </w:t>
      </w:r>
      <w:proofErr w:type="spellStart"/>
      <w:r w:rsidRPr="0003073C">
        <w:rPr>
          <w:rFonts w:eastAsia="Calibri"/>
          <w:lang w:val="en-SG" w:eastAsia="en-SG"/>
        </w:rPr>
        <w:lastRenderedPageBreak/>
        <w:t>Mohd</w:t>
      </w:r>
      <w:proofErr w:type="spellEnd"/>
      <w:r w:rsidRPr="0003073C">
        <w:rPr>
          <w:rFonts w:eastAsia="Calibri"/>
          <w:lang w:val="en-SG" w:eastAsia="en-SG"/>
        </w:rPr>
        <w:t xml:space="preserve"> </w:t>
      </w:r>
      <w:proofErr w:type="spellStart"/>
      <w:r w:rsidRPr="0003073C">
        <w:rPr>
          <w:rFonts w:eastAsia="Calibri"/>
          <w:lang w:val="en-SG" w:eastAsia="en-SG"/>
        </w:rPr>
        <w:t>Asnawi</w:t>
      </w:r>
      <w:proofErr w:type="spellEnd"/>
      <w:r w:rsidRPr="0003073C">
        <w:rPr>
          <w:rFonts w:eastAsia="Calibri"/>
          <w:lang w:val="en-SG" w:eastAsia="en-SG"/>
        </w:rPr>
        <w:t xml:space="preserve">, Roberto Angelo </w:t>
      </w:r>
      <w:proofErr w:type="spellStart"/>
      <w:r w:rsidRPr="0003073C">
        <w:rPr>
          <w:rFonts w:eastAsia="Calibri"/>
          <w:lang w:val="en-SG" w:eastAsia="en-SG"/>
        </w:rPr>
        <w:t>Mojolou</w:t>
      </w:r>
      <w:proofErr w:type="spellEnd"/>
      <w:r w:rsidRPr="0003073C">
        <w:rPr>
          <w:rFonts w:eastAsia="Calibri"/>
          <w:lang w:val="en-SG" w:eastAsia="en-SG"/>
        </w:rPr>
        <w:t xml:space="preserve">, You </w:t>
      </w:r>
      <w:proofErr w:type="spellStart"/>
      <w:r w:rsidRPr="0003073C">
        <w:rPr>
          <w:rFonts w:eastAsia="Calibri"/>
          <w:lang w:val="en-SG" w:eastAsia="en-SG"/>
        </w:rPr>
        <w:t>Zhuan</w:t>
      </w:r>
      <w:proofErr w:type="spellEnd"/>
      <w:r w:rsidRPr="0003073C">
        <w:rPr>
          <w:rFonts w:eastAsia="Calibri"/>
          <w:lang w:val="en-SG" w:eastAsia="en-SG"/>
        </w:rPr>
        <w:t xml:space="preserve"> Tan, Aida </w:t>
      </w:r>
      <w:proofErr w:type="spellStart"/>
      <w:r w:rsidRPr="0003073C">
        <w:rPr>
          <w:rFonts w:eastAsia="Calibri"/>
          <w:lang w:val="en-SG" w:eastAsia="en-SG"/>
        </w:rPr>
        <w:t>Nurbaini</w:t>
      </w:r>
      <w:proofErr w:type="spellEnd"/>
      <w:r w:rsidRPr="0003073C">
        <w:rPr>
          <w:rFonts w:eastAsia="Calibri"/>
          <w:lang w:val="en-SG" w:eastAsia="en-SG"/>
        </w:rPr>
        <w:t xml:space="preserve"> </w:t>
      </w:r>
      <w:proofErr w:type="spellStart"/>
      <w:r w:rsidRPr="0003073C">
        <w:rPr>
          <w:rFonts w:eastAsia="Calibri"/>
          <w:lang w:val="en-SG" w:eastAsia="en-SG"/>
        </w:rPr>
        <w:t>Arbain</w:t>
      </w:r>
      <w:proofErr w:type="spellEnd"/>
      <w:r w:rsidRPr="0003073C">
        <w:rPr>
          <w:rFonts w:eastAsia="Calibri"/>
          <w:lang w:val="en-SG" w:eastAsia="en-SG"/>
        </w:rPr>
        <w:t xml:space="preserve">, </w:t>
      </w:r>
      <w:proofErr w:type="spellStart"/>
      <w:r w:rsidRPr="0003073C">
        <w:rPr>
          <w:rFonts w:eastAsia="Calibri"/>
          <w:lang w:val="en-SG" w:eastAsia="en-SG"/>
        </w:rPr>
        <w:t>Chii</w:t>
      </w:r>
      <w:proofErr w:type="spellEnd"/>
      <w:r w:rsidRPr="0003073C">
        <w:rPr>
          <w:rFonts w:eastAsia="Calibri"/>
          <w:lang w:val="en-SG" w:eastAsia="en-SG"/>
        </w:rPr>
        <w:t xml:space="preserve"> </w:t>
      </w:r>
      <w:proofErr w:type="spellStart"/>
      <w:r w:rsidRPr="0003073C">
        <w:rPr>
          <w:rFonts w:eastAsia="Calibri"/>
          <w:lang w:val="en-SG" w:eastAsia="en-SG"/>
        </w:rPr>
        <w:t>Koh</w:t>
      </w:r>
      <w:proofErr w:type="spellEnd"/>
      <w:r w:rsidRPr="0003073C">
        <w:rPr>
          <w:rFonts w:eastAsia="Calibri"/>
          <w:lang w:val="en-SG" w:eastAsia="en-SG"/>
        </w:rPr>
        <w:t xml:space="preserve"> Wong. </w:t>
      </w:r>
      <w:proofErr w:type="spellStart"/>
      <w:r w:rsidRPr="0003073C">
        <w:rPr>
          <w:rFonts w:eastAsia="Calibri"/>
          <w:lang w:val="en-SG" w:eastAsia="en-SG"/>
        </w:rPr>
        <w:t>Institut</w:t>
      </w:r>
      <w:proofErr w:type="spellEnd"/>
      <w:r w:rsidRPr="0003073C">
        <w:rPr>
          <w:rFonts w:eastAsia="Calibri"/>
          <w:lang w:val="en-SG" w:eastAsia="en-SG"/>
        </w:rPr>
        <w:t xml:space="preserve"> </w:t>
      </w:r>
      <w:proofErr w:type="spellStart"/>
      <w:r w:rsidRPr="0003073C">
        <w:rPr>
          <w:rFonts w:eastAsia="Calibri"/>
          <w:lang w:val="en-SG" w:eastAsia="en-SG"/>
        </w:rPr>
        <w:t>Jantung</w:t>
      </w:r>
      <w:proofErr w:type="spellEnd"/>
      <w:r w:rsidRPr="0003073C">
        <w:rPr>
          <w:rFonts w:eastAsia="Calibri"/>
          <w:lang w:val="en-SG" w:eastAsia="en-SG"/>
        </w:rPr>
        <w:t xml:space="preserve"> Negara: </w:t>
      </w:r>
      <w:proofErr w:type="spellStart"/>
      <w:r w:rsidRPr="0003073C">
        <w:rPr>
          <w:rFonts w:eastAsia="Calibri"/>
          <w:lang w:val="en-SG" w:eastAsia="en-SG"/>
        </w:rPr>
        <w:t>Razali</w:t>
      </w:r>
      <w:proofErr w:type="spellEnd"/>
      <w:r w:rsidRPr="0003073C">
        <w:rPr>
          <w:rFonts w:eastAsia="Calibri"/>
          <w:lang w:val="en-SG" w:eastAsia="en-SG"/>
        </w:rPr>
        <w:t xml:space="preserve"> Omar, </w:t>
      </w:r>
      <w:proofErr w:type="spellStart"/>
      <w:r w:rsidRPr="0003073C">
        <w:rPr>
          <w:rFonts w:eastAsia="Calibri"/>
          <w:lang w:val="en-SG" w:eastAsia="en-SG"/>
        </w:rPr>
        <w:t>Azmee</w:t>
      </w:r>
      <w:proofErr w:type="spellEnd"/>
      <w:r w:rsidRPr="0003073C">
        <w:rPr>
          <w:rFonts w:eastAsia="Calibri"/>
          <w:lang w:val="en-SG" w:eastAsia="en-SG"/>
        </w:rPr>
        <w:t xml:space="preserve"> </w:t>
      </w:r>
      <w:proofErr w:type="spellStart"/>
      <w:r w:rsidRPr="0003073C">
        <w:rPr>
          <w:rFonts w:eastAsia="Calibri"/>
          <w:lang w:val="en-SG" w:eastAsia="en-SG"/>
        </w:rPr>
        <w:t>Mohd</w:t>
      </w:r>
      <w:proofErr w:type="spellEnd"/>
      <w:r w:rsidRPr="0003073C">
        <w:rPr>
          <w:rFonts w:eastAsia="Calibri"/>
          <w:lang w:val="en-SG" w:eastAsia="en-SG"/>
        </w:rPr>
        <w:t xml:space="preserve"> Ghazi, </w:t>
      </w:r>
      <w:proofErr w:type="spellStart"/>
      <w:r w:rsidRPr="0003073C">
        <w:rPr>
          <w:rFonts w:eastAsia="Calibri"/>
          <w:lang w:val="en-SG" w:eastAsia="en-SG"/>
        </w:rPr>
        <w:t>Surinder</w:t>
      </w:r>
      <w:proofErr w:type="spellEnd"/>
      <w:r w:rsidRPr="0003073C">
        <w:rPr>
          <w:rFonts w:eastAsia="Calibri"/>
          <w:lang w:val="en-SG" w:eastAsia="en-SG"/>
        </w:rPr>
        <w:t xml:space="preserve"> Kaur </w:t>
      </w:r>
      <w:proofErr w:type="spellStart"/>
      <w:r w:rsidRPr="0003073C">
        <w:rPr>
          <w:rFonts w:eastAsia="Calibri"/>
          <w:lang w:val="en-SG" w:eastAsia="en-SG"/>
        </w:rPr>
        <w:t>Khelae</w:t>
      </w:r>
      <w:proofErr w:type="spellEnd"/>
      <w:r w:rsidRPr="0003073C">
        <w:rPr>
          <w:rFonts w:eastAsia="Calibri"/>
          <w:lang w:val="en-SG" w:eastAsia="en-SG"/>
        </w:rPr>
        <w:t xml:space="preserve">, David S.P. Chew, </w:t>
      </w:r>
      <w:proofErr w:type="spellStart"/>
      <w:r w:rsidRPr="0003073C">
        <w:rPr>
          <w:rFonts w:eastAsia="Calibri"/>
          <w:lang w:val="en-SG" w:eastAsia="en-SG"/>
        </w:rPr>
        <w:t>Lok</w:t>
      </w:r>
      <w:proofErr w:type="spellEnd"/>
      <w:r w:rsidRPr="0003073C">
        <w:rPr>
          <w:rFonts w:eastAsia="Calibri"/>
          <w:lang w:val="en-SG" w:eastAsia="en-SG"/>
        </w:rPr>
        <w:t xml:space="preserve"> Bin Yap, </w:t>
      </w:r>
      <w:proofErr w:type="spellStart"/>
      <w:r w:rsidRPr="0003073C">
        <w:rPr>
          <w:rFonts w:eastAsia="Calibri"/>
          <w:lang w:val="en-SG" w:eastAsia="en-SG"/>
        </w:rPr>
        <w:t>Azlan</w:t>
      </w:r>
      <w:proofErr w:type="spellEnd"/>
      <w:r w:rsidRPr="0003073C">
        <w:rPr>
          <w:rFonts w:eastAsia="Calibri"/>
          <w:lang w:val="en-SG" w:eastAsia="en-SG"/>
        </w:rPr>
        <w:t xml:space="preserve"> </w:t>
      </w:r>
      <w:proofErr w:type="spellStart"/>
      <w:r w:rsidRPr="0003073C">
        <w:rPr>
          <w:rFonts w:eastAsia="Calibri"/>
          <w:lang w:val="en-SG" w:eastAsia="en-SG"/>
        </w:rPr>
        <w:t>Hussin</w:t>
      </w:r>
      <w:proofErr w:type="spellEnd"/>
      <w:r w:rsidRPr="0003073C">
        <w:rPr>
          <w:rFonts w:eastAsia="Calibri"/>
          <w:lang w:val="en-SG" w:eastAsia="en-SG"/>
        </w:rPr>
        <w:t xml:space="preserve">, </w:t>
      </w:r>
      <w:proofErr w:type="spellStart"/>
      <w:r w:rsidRPr="0003073C">
        <w:rPr>
          <w:rFonts w:eastAsia="Calibri"/>
          <w:lang w:val="en-SG" w:eastAsia="en-SG"/>
        </w:rPr>
        <w:t>Zulkeflee</w:t>
      </w:r>
      <w:proofErr w:type="spellEnd"/>
      <w:r w:rsidRPr="0003073C">
        <w:rPr>
          <w:rFonts w:eastAsia="Calibri"/>
          <w:lang w:val="en-SG" w:eastAsia="en-SG"/>
        </w:rPr>
        <w:t xml:space="preserve"> Muhammad, </w:t>
      </w:r>
      <w:proofErr w:type="spellStart"/>
      <w:r w:rsidRPr="0003073C">
        <w:rPr>
          <w:rFonts w:eastAsia="Calibri"/>
          <w:lang w:val="en-SG" w:eastAsia="en-SG"/>
        </w:rPr>
        <w:t>Mohd</w:t>
      </w:r>
      <w:proofErr w:type="spellEnd"/>
      <w:r w:rsidRPr="0003073C">
        <w:rPr>
          <w:rFonts w:eastAsia="Calibri"/>
          <w:lang w:val="en-SG" w:eastAsia="en-SG"/>
        </w:rPr>
        <w:t xml:space="preserve">. Ghazi </w:t>
      </w:r>
      <w:proofErr w:type="spellStart"/>
      <w:r w:rsidRPr="0003073C">
        <w:rPr>
          <w:rFonts w:eastAsia="Calibri"/>
          <w:lang w:val="en-SG" w:eastAsia="en-SG"/>
        </w:rPr>
        <w:t>Azmee</w:t>
      </w:r>
      <w:proofErr w:type="spellEnd"/>
      <w:r w:rsidRPr="0003073C">
        <w:rPr>
          <w:rFonts w:eastAsia="Calibri"/>
          <w:lang w:val="en-SG" w:eastAsia="en-SG"/>
        </w:rPr>
        <w:t xml:space="preserve">. University Malaya Medical Centre: Imran Zainal </w:t>
      </w:r>
      <w:proofErr w:type="spellStart"/>
      <w:r w:rsidRPr="0003073C">
        <w:rPr>
          <w:rFonts w:eastAsia="Calibri"/>
          <w:lang w:val="en-SG" w:eastAsia="en-SG"/>
        </w:rPr>
        <w:t>Abidin</w:t>
      </w:r>
      <w:proofErr w:type="spellEnd"/>
      <w:r w:rsidRPr="0003073C">
        <w:rPr>
          <w:rFonts w:eastAsia="Calibri"/>
          <w:lang w:val="en-SG" w:eastAsia="en-SG"/>
        </w:rPr>
        <w:t xml:space="preserve">, Ahmad </w:t>
      </w:r>
      <w:proofErr w:type="spellStart"/>
      <w:r w:rsidRPr="0003073C">
        <w:rPr>
          <w:rFonts w:eastAsia="Calibri"/>
          <w:lang w:val="en-SG" w:eastAsia="en-SG"/>
        </w:rPr>
        <w:t>Syadi</w:t>
      </w:r>
      <w:proofErr w:type="spellEnd"/>
      <w:r w:rsidRPr="0003073C">
        <w:rPr>
          <w:rFonts w:eastAsia="Calibri"/>
          <w:lang w:val="en-SG" w:eastAsia="en-SG"/>
        </w:rPr>
        <w:t xml:space="preserve"> Bin Mahmood </w:t>
      </w:r>
      <w:proofErr w:type="spellStart"/>
      <w:r w:rsidRPr="0003073C">
        <w:rPr>
          <w:rFonts w:eastAsia="Calibri"/>
          <w:lang w:val="en-SG" w:eastAsia="en-SG"/>
        </w:rPr>
        <w:t>Zhudi</w:t>
      </w:r>
      <w:proofErr w:type="spellEnd"/>
      <w:r w:rsidRPr="0003073C">
        <w:rPr>
          <w:rFonts w:eastAsia="Calibri"/>
          <w:lang w:val="en-SG" w:eastAsia="en-SG"/>
        </w:rPr>
        <w:t xml:space="preserve">, Nor </w:t>
      </w:r>
      <w:proofErr w:type="spellStart"/>
      <w:r w:rsidRPr="0003073C">
        <w:rPr>
          <w:rFonts w:eastAsia="Calibri"/>
          <w:lang w:val="en-SG" w:eastAsia="en-SG"/>
        </w:rPr>
        <w:t>Ashikin</w:t>
      </w:r>
      <w:proofErr w:type="spellEnd"/>
      <w:r w:rsidRPr="0003073C">
        <w:rPr>
          <w:rFonts w:eastAsia="Calibri"/>
          <w:lang w:val="en-SG" w:eastAsia="en-SG"/>
        </w:rPr>
        <w:t xml:space="preserve"> </w:t>
      </w:r>
      <w:proofErr w:type="spellStart"/>
      <w:r w:rsidRPr="0003073C">
        <w:rPr>
          <w:rFonts w:eastAsia="Calibri"/>
          <w:lang w:val="en-SG" w:eastAsia="en-SG"/>
        </w:rPr>
        <w:t>Md</w:t>
      </w:r>
      <w:proofErr w:type="spellEnd"/>
      <w:r w:rsidRPr="0003073C">
        <w:rPr>
          <w:rFonts w:eastAsia="Calibri"/>
          <w:lang w:val="en-SG" w:eastAsia="en-SG"/>
        </w:rPr>
        <w:t xml:space="preserve"> Sari, </w:t>
      </w:r>
      <w:proofErr w:type="spellStart"/>
      <w:r w:rsidRPr="0003073C">
        <w:rPr>
          <w:rFonts w:eastAsia="Calibri"/>
          <w:lang w:val="en-SG" w:eastAsia="en-SG"/>
        </w:rPr>
        <w:t>Ganiga</w:t>
      </w:r>
      <w:proofErr w:type="spellEnd"/>
      <w:r w:rsidRPr="0003073C">
        <w:rPr>
          <w:rFonts w:eastAsia="Calibri"/>
          <w:lang w:val="en-SG" w:eastAsia="en-SG"/>
        </w:rPr>
        <w:t xml:space="preserve"> </w:t>
      </w:r>
      <w:proofErr w:type="spellStart"/>
      <w:r w:rsidRPr="0003073C">
        <w:rPr>
          <w:rFonts w:eastAsia="Calibri"/>
          <w:lang w:val="en-SG" w:eastAsia="en-SG"/>
        </w:rPr>
        <w:t>Srinivasaiah</w:t>
      </w:r>
      <w:proofErr w:type="spellEnd"/>
      <w:r w:rsidRPr="0003073C">
        <w:rPr>
          <w:rFonts w:eastAsia="Calibri"/>
          <w:lang w:val="en-SG" w:eastAsia="en-SG"/>
        </w:rPr>
        <w:t xml:space="preserve"> Sridhar, Ahmad </w:t>
      </w:r>
      <w:proofErr w:type="spellStart"/>
      <w:r w:rsidRPr="0003073C">
        <w:rPr>
          <w:rFonts w:eastAsia="Calibri"/>
          <w:lang w:val="en-SG" w:eastAsia="en-SG"/>
        </w:rPr>
        <w:t>Syadi</w:t>
      </w:r>
      <w:proofErr w:type="spellEnd"/>
      <w:r w:rsidRPr="0003073C">
        <w:rPr>
          <w:rFonts w:eastAsia="Calibri"/>
          <w:lang w:val="en-SG" w:eastAsia="en-SG"/>
        </w:rPr>
        <w:t xml:space="preserve"> Mahmood </w:t>
      </w:r>
      <w:proofErr w:type="spellStart"/>
      <w:r w:rsidRPr="0003073C">
        <w:rPr>
          <w:rFonts w:eastAsia="Calibri"/>
          <w:lang w:val="en-SG" w:eastAsia="en-SG"/>
        </w:rPr>
        <w:t>Zuhdi</w:t>
      </w:r>
      <w:proofErr w:type="spellEnd"/>
      <w:r w:rsidRPr="0003073C">
        <w:rPr>
          <w:rFonts w:eastAsia="Calibri"/>
          <w:lang w:val="en-SG" w:eastAsia="en-SG"/>
        </w:rPr>
        <w:t xml:space="preserve">. Muhammad </w:t>
      </w:r>
      <w:proofErr w:type="spellStart"/>
      <w:r w:rsidRPr="0003073C">
        <w:rPr>
          <w:rFonts w:eastAsia="Calibri"/>
          <w:lang w:val="en-SG" w:eastAsia="en-SG"/>
        </w:rPr>
        <w:t>Dzafir</w:t>
      </w:r>
      <w:proofErr w:type="spellEnd"/>
      <w:r w:rsidRPr="0003073C">
        <w:rPr>
          <w:rFonts w:eastAsia="Calibri"/>
          <w:lang w:val="en-SG" w:eastAsia="en-SG"/>
        </w:rPr>
        <w:t xml:space="preserve"> Ismail. Sarawak General Hospital Heart Centre: </w:t>
      </w:r>
      <w:proofErr w:type="spellStart"/>
      <w:r w:rsidRPr="0003073C">
        <w:rPr>
          <w:rFonts w:eastAsia="Calibri"/>
          <w:lang w:val="en-SG" w:eastAsia="en-SG"/>
        </w:rPr>
        <w:t>Tiong</w:t>
      </w:r>
      <w:proofErr w:type="spellEnd"/>
      <w:r w:rsidRPr="0003073C">
        <w:rPr>
          <w:rFonts w:eastAsia="Calibri"/>
          <w:lang w:val="en-SG" w:eastAsia="en-SG"/>
        </w:rPr>
        <w:t xml:space="preserve"> </w:t>
      </w:r>
      <w:proofErr w:type="spellStart"/>
      <w:r w:rsidRPr="0003073C">
        <w:rPr>
          <w:rFonts w:eastAsia="Calibri"/>
          <w:lang w:val="en-SG" w:eastAsia="en-SG"/>
        </w:rPr>
        <w:t>Kiam</w:t>
      </w:r>
      <w:proofErr w:type="spellEnd"/>
      <w:r w:rsidRPr="0003073C">
        <w:rPr>
          <w:rFonts w:eastAsia="Calibri"/>
          <w:lang w:val="en-SG" w:eastAsia="en-SG"/>
        </w:rPr>
        <w:t xml:space="preserve"> Ong, Yee Ling Cham, Ning </w:t>
      </w:r>
      <w:proofErr w:type="spellStart"/>
      <w:r w:rsidRPr="0003073C">
        <w:rPr>
          <w:rFonts w:eastAsia="Calibri"/>
          <w:lang w:val="en-SG" w:eastAsia="en-SG"/>
        </w:rPr>
        <w:t>Zan</w:t>
      </w:r>
      <w:proofErr w:type="spellEnd"/>
      <w:r w:rsidRPr="0003073C">
        <w:rPr>
          <w:rFonts w:eastAsia="Calibri"/>
          <w:lang w:val="en-SG" w:eastAsia="en-SG"/>
        </w:rPr>
        <w:t xml:space="preserve"> </w:t>
      </w:r>
      <w:proofErr w:type="spellStart"/>
      <w:r w:rsidRPr="0003073C">
        <w:rPr>
          <w:rFonts w:eastAsia="Calibri"/>
          <w:lang w:val="en-SG" w:eastAsia="en-SG"/>
        </w:rPr>
        <w:t>Khiew</w:t>
      </w:r>
      <w:proofErr w:type="spellEnd"/>
      <w:r w:rsidRPr="0003073C">
        <w:rPr>
          <w:rFonts w:eastAsia="Calibri"/>
          <w:lang w:val="en-SG" w:eastAsia="en-SG"/>
        </w:rPr>
        <w:t xml:space="preserve">, </w:t>
      </w:r>
      <w:proofErr w:type="spellStart"/>
      <w:r w:rsidRPr="0003073C">
        <w:rPr>
          <w:rFonts w:eastAsia="Calibri"/>
          <w:lang w:val="en-SG" w:eastAsia="en-SG"/>
        </w:rPr>
        <w:t>Asri</w:t>
      </w:r>
      <w:proofErr w:type="spellEnd"/>
      <w:r w:rsidRPr="0003073C">
        <w:rPr>
          <w:rFonts w:eastAsia="Calibri"/>
          <w:lang w:val="en-SG" w:eastAsia="en-SG"/>
        </w:rPr>
        <w:t xml:space="preserve"> Bin Said, Alan Yean Yip Fong, Nor </w:t>
      </w:r>
      <w:proofErr w:type="spellStart"/>
      <w:r w:rsidRPr="0003073C">
        <w:rPr>
          <w:rFonts w:eastAsia="Calibri"/>
          <w:lang w:val="en-SG" w:eastAsia="en-SG"/>
        </w:rPr>
        <w:t>Hanim</w:t>
      </w:r>
      <w:proofErr w:type="spellEnd"/>
      <w:r w:rsidRPr="0003073C">
        <w:rPr>
          <w:rFonts w:eastAsia="Calibri"/>
          <w:lang w:val="en-SG" w:eastAsia="en-SG"/>
        </w:rPr>
        <w:t xml:space="preserve"> </w:t>
      </w:r>
      <w:proofErr w:type="spellStart"/>
      <w:r w:rsidRPr="0003073C">
        <w:rPr>
          <w:rFonts w:eastAsia="Calibri"/>
          <w:lang w:val="en-SG" w:eastAsia="en-SG"/>
        </w:rPr>
        <w:t>Mohd</w:t>
      </w:r>
      <w:proofErr w:type="spellEnd"/>
      <w:r w:rsidRPr="0003073C">
        <w:rPr>
          <w:rFonts w:eastAsia="Calibri"/>
          <w:lang w:val="en-SG" w:eastAsia="en-SG"/>
        </w:rPr>
        <w:t xml:space="preserve"> Amin, </w:t>
      </w:r>
      <w:proofErr w:type="spellStart"/>
      <w:r w:rsidRPr="0003073C">
        <w:rPr>
          <w:rFonts w:eastAsia="Calibri"/>
          <w:lang w:val="en-SG" w:eastAsia="en-SG"/>
        </w:rPr>
        <w:t>Keong</w:t>
      </w:r>
      <w:proofErr w:type="spellEnd"/>
      <w:r w:rsidRPr="0003073C">
        <w:rPr>
          <w:rFonts w:eastAsia="Calibri"/>
          <w:lang w:val="en-SG" w:eastAsia="en-SG"/>
        </w:rPr>
        <w:t xml:space="preserve"> Chua Seng, Sian Kong Tan, </w:t>
      </w:r>
      <w:proofErr w:type="spellStart"/>
      <w:r w:rsidRPr="0003073C">
        <w:rPr>
          <w:rFonts w:eastAsia="Calibri"/>
          <w:lang w:val="en-SG" w:eastAsia="en-SG"/>
        </w:rPr>
        <w:t>Kuan</w:t>
      </w:r>
      <w:proofErr w:type="spellEnd"/>
      <w:r w:rsidRPr="0003073C">
        <w:rPr>
          <w:rFonts w:eastAsia="Calibri"/>
          <w:lang w:val="en-SG" w:eastAsia="en-SG"/>
        </w:rPr>
        <w:t xml:space="preserve"> Leong Yew. </w:t>
      </w:r>
    </w:p>
    <w:p w14:paraId="2B16F8A0" w14:textId="77777777" w:rsidR="00F778E5" w:rsidRPr="0003073C" w:rsidRDefault="00F778E5" w:rsidP="007419B4">
      <w:pPr>
        <w:rPr>
          <w:rFonts w:eastAsia="Calibri"/>
          <w:lang w:val="en-SG" w:eastAsia="en-SG"/>
        </w:rPr>
      </w:pPr>
    </w:p>
    <w:p w14:paraId="2B4CD723" w14:textId="77777777" w:rsidR="00F778E5" w:rsidRPr="0003073C" w:rsidRDefault="00F778E5" w:rsidP="007419B4">
      <w:pPr>
        <w:rPr>
          <w:rFonts w:eastAsia="Calibri"/>
          <w:lang w:val="en-SG" w:eastAsia="en-SG"/>
        </w:rPr>
      </w:pPr>
      <w:r w:rsidRPr="0003073C">
        <w:rPr>
          <w:rFonts w:eastAsia="Calibri"/>
          <w:lang w:val="en-SG" w:eastAsia="en-SG"/>
        </w:rPr>
        <w:t>Philippines</w:t>
      </w:r>
    </w:p>
    <w:p w14:paraId="3DE6185B" w14:textId="77777777" w:rsidR="00F778E5" w:rsidRPr="0003073C" w:rsidRDefault="00F778E5" w:rsidP="007419B4">
      <w:pPr>
        <w:rPr>
          <w:rFonts w:eastAsia="Calibri"/>
          <w:lang w:val="en-SG" w:eastAsia="en-SG"/>
        </w:rPr>
      </w:pPr>
      <w:r w:rsidRPr="0003073C">
        <w:rPr>
          <w:rFonts w:eastAsia="Calibri"/>
          <w:lang w:val="en-SG" w:eastAsia="en-SG"/>
        </w:rPr>
        <w:t xml:space="preserve">Manila Doctors Hospital: </w:t>
      </w:r>
      <w:r w:rsidRPr="0003073C">
        <w:rPr>
          <w:rFonts w:eastAsia="Calibri"/>
          <w:b/>
          <w:lang w:val="en-SG" w:eastAsia="en-SG"/>
        </w:rPr>
        <w:t>Eugenio Reyes</w:t>
      </w:r>
      <w:r w:rsidRPr="0003073C">
        <w:rPr>
          <w:rFonts w:eastAsia="Calibri"/>
          <w:lang w:val="en-SG" w:eastAsia="en-SG"/>
        </w:rPr>
        <w:t xml:space="preserve"> (Country PI), Jones Santos, Allan Lim. Makati Medical </w:t>
      </w:r>
      <w:proofErr w:type="spellStart"/>
      <w:r w:rsidRPr="0003073C">
        <w:rPr>
          <w:rFonts w:eastAsia="Calibri"/>
          <w:lang w:val="en-SG" w:eastAsia="en-SG"/>
        </w:rPr>
        <w:t>Center</w:t>
      </w:r>
      <w:proofErr w:type="spellEnd"/>
      <w:r w:rsidRPr="0003073C">
        <w:rPr>
          <w:rFonts w:eastAsia="Calibri"/>
          <w:lang w:val="en-SG" w:eastAsia="en-SG"/>
        </w:rPr>
        <w:t xml:space="preserve">: Raul </w:t>
      </w:r>
      <w:proofErr w:type="spellStart"/>
      <w:r w:rsidRPr="0003073C">
        <w:rPr>
          <w:rFonts w:eastAsia="Calibri"/>
          <w:lang w:val="en-SG" w:eastAsia="en-SG"/>
        </w:rPr>
        <w:t>Lapitan</w:t>
      </w:r>
      <w:proofErr w:type="spellEnd"/>
      <w:r w:rsidRPr="0003073C">
        <w:rPr>
          <w:rFonts w:eastAsia="Calibri"/>
          <w:lang w:val="en-SG" w:eastAsia="en-SG"/>
        </w:rPr>
        <w:t xml:space="preserve">, Ryan </w:t>
      </w:r>
      <w:proofErr w:type="spellStart"/>
      <w:r w:rsidRPr="0003073C">
        <w:rPr>
          <w:rFonts w:eastAsia="Calibri"/>
          <w:lang w:val="en-SG" w:eastAsia="en-SG"/>
        </w:rPr>
        <w:t>Andal</w:t>
      </w:r>
      <w:proofErr w:type="spellEnd"/>
      <w:r w:rsidRPr="0003073C">
        <w:rPr>
          <w:rFonts w:eastAsia="Calibri"/>
          <w:lang w:val="en-SG" w:eastAsia="en-SG"/>
        </w:rPr>
        <w:t xml:space="preserve">, Philippine Heart </w:t>
      </w:r>
      <w:proofErr w:type="spellStart"/>
      <w:r w:rsidRPr="0003073C">
        <w:rPr>
          <w:rFonts w:eastAsia="Calibri"/>
          <w:lang w:val="en-SG" w:eastAsia="en-SG"/>
        </w:rPr>
        <w:t>Center</w:t>
      </w:r>
      <w:proofErr w:type="spellEnd"/>
      <w:r w:rsidRPr="0003073C">
        <w:rPr>
          <w:rFonts w:eastAsia="Calibri"/>
          <w:lang w:val="en-SG" w:eastAsia="en-SG"/>
        </w:rPr>
        <w:t xml:space="preserve">: Eleanor Lopez. </w:t>
      </w:r>
    </w:p>
    <w:p w14:paraId="3F412F34" w14:textId="77777777" w:rsidR="00F778E5" w:rsidRPr="0003073C" w:rsidRDefault="00F778E5" w:rsidP="007419B4">
      <w:pPr>
        <w:rPr>
          <w:rFonts w:eastAsia="Calibri"/>
          <w:lang w:val="en-SG" w:eastAsia="en-SG"/>
        </w:rPr>
      </w:pPr>
    </w:p>
    <w:p w14:paraId="42BCB70E" w14:textId="77777777" w:rsidR="00F778E5" w:rsidRPr="0003073C" w:rsidRDefault="00F778E5" w:rsidP="007419B4">
      <w:pPr>
        <w:rPr>
          <w:rFonts w:eastAsia="Calibri"/>
          <w:lang w:val="en-SG" w:eastAsia="en-SG"/>
        </w:rPr>
      </w:pPr>
      <w:r w:rsidRPr="0003073C">
        <w:rPr>
          <w:rFonts w:eastAsia="Calibri"/>
          <w:lang w:val="en-SG" w:eastAsia="en-SG"/>
        </w:rPr>
        <w:t>Singapore</w:t>
      </w:r>
    </w:p>
    <w:p w14:paraId="5CC773C5" w14:textId="3FBB2FB1" w:rsidR="00F778E5" w:rsidRPr="0003073C" w:rsidRDefault="00F778E5" w:rsidP="007419B4">
      <w:pPr>
        <w:rPr>
          <w:rFonts w:eastAsia="Calibri"/>
          <w:lang w:val="en-SG" w:eastAsia="en-SG"/>
        </w:rPr>
      </w:pPr>
      <w:r w:rsidRPr="0003073C">
        <w:rPr>
          <w:rFonts w:eastAsia="Calibri"/>
          <w:lang w:val="en-SG" w:eastAsia="en-SG"/>
        </w:rPr>
        <w:t xml:space="preserve">National Heart Centre Singapore: </w:t>
      </w:r>
      <w:r w:rsidRPr="0003073C">
        <w:rPr>
          <w:rFonts w:eastAsia="Calibri"/>
          <w:b/>
          <w:lang w:val="en-SG" w:eastAsia="en-SG"/>
        </w:rPr>
        <w:t>Carolyn S.P. Lam</w:t>
      </w:r>
      <w:r w:rsidRPr="0003073C">
        <w:rPr>
          <w:rFonts w:eastAsia="Calibri"/>
          <w:lang w:val="en-SG" w:eastAsia="en-SG"/>
        </w:rPr>
        <w:t xml:space="preserve"> (Country PI), </w:t>
      </w:r>
      <w:r w:rsidR="00476A30" w:rsidRPr="0003073C">
        <w:rPr>
          <w:rFonts w:eastAsia="Yu Mincho"/>
          <w:lang w:val="en-US" w:eastAsia="ja-JP"/>
        </w:rPr>
        <w:t xml:space="preserve">A. Mark Richards, </w:t>
      </w:r>
      <w:proofErr w:type="spellStart"/>
      <w:r w:rsidRPr="0003073C">
        <w:rPr>
          <w:rFonts w:eastAsia="Calibri"/>
          <w:lang w:val="en-SG" w:eastAsia="en-SG"/>
        </w:rPr>
        <w:t>Kheng</w:t>
      </w:r>
      <w:proofErr w:type="spellEnd"/>
      <w:r w:rsidRPr="0003073C">
        <w:rPr>
          <w:rFonts w:eastAsia="Calibri"/>
          <w:lang w:val="en-SG" w:eastAsia="en-SG"/>
        </w:rPr>
        <w:t xml:space="preserve"> </w:t>
      </w:r>
      <w:proofErr w:type="spellStart"/>
      <w:r w:rsidRPr="0003073C">
        <w:rPr>
          <w:rFonts w:eastAsia="Calibri"/>
          <w:lang w:val="en-SG" w:eastAsia="en-SG"/>
        </w:rPr>
        <w:t>Leng</w:t>
      </w:r>
      <w:proofErr w:type="spellEnd"/>
      <w:r w:rsidRPr="0003073C">
        <w:rPr>
          <w:rFonts w:eastAsia="Calibri"/>
          <w:lang w:val="en-SG" w:eastAsia="en-SG"/>
        </w:rPr>
        <w:t xml:space="preserve"> David Sim, Boon Yew Tan, </w:t>
      </w:r>
      <w:proofErr w:type="spellStart"/>
      <w:r w:rsidRPr="0003073C">
        <w:rPr>
          <w:rFonts w:eastAsia="Calibri"/>
          <w:lang w:val="en-SG" w:eastAsia="en-SG"/>
        </w:rPr>
        <w:t>Choon</w:t>
      </w:r>
      <w:proofErr w:type="spellEnd"/>
      <w:r w:rsidRPr="0003073C">
        <w:rPr>
          <w:rFonts w:eastAsia="Calibri"/>
          <w:lang w:val="en-SG" w:eastAsia="en-SG"/>
        </w:rPr>
        <w:t xml:space="preserve"> Pin Lim, Louis L.Y. </w:t>
      </w:r>
      <w:proofErr w:type="spellStart"/>
      <w:r w:rsidRPr="0003073C">
        <w:rPr>
          <w:rFonts w:eastAsia="Calibri"/>
          <w:lang w:val="en-SG" w:eastAsia="en-SG"/>
        </w:rPr>
        <w:t>Teo</w:t>
      </w:r>
      <w:proofErr w:type="spellEnd"/>
      <w:r w:rsidRPr="0003073C">
        <w:rPr>
          <w:rFonts w:eastAsia="Calibri"/>
          <w:lang w:val="en-SG" w:eastAsia="en-SG"/>
        </w:rPr>
        <w:t xml:space="preserve">, Laura L.H. Chan. National University Heart Centre: </w:t>
      </w:r>
      <w:proofErr w:type="spellStart"/>
      <w:r w:rsidRPr="0003073C">
        <w:rPr>
          <w:rFonts w:eastAsia="Calibri"/>
          <w:lang w:val="en-SG" w:eastAsia="en-SG"/>
        </w:rPr>
        <w:t>Lieng</w:t>
      </w:r>
      <w:proofErr w:type="spellEnd"/>
      <w:r w:rsidRPr="0003073C">
        <w:rPr>
          <w:rFonts w:eastAsia="Calibri"/>
          <w:lang w:val="en-SG" w:eastAsia="en-SG"/>
        </w:rPr>
        <w:t xml:space="preserve"> </w:t>
      </w:r>
      <w:proofErr w:type="spellStart"/>
      <w:r w:rsidRPr="0003073C">
        <w:rPr>
          <w:rFonts w:eastAsia="Calibri"/>
          <w:lang w:val="en-SG" w:eastAsia="en-SG"/>
        </w:rPr>
        <w:t>Hsi</w:t>
      </w:r>
      <w:proofErr w:type="spellEnd"/>
      <w:r w:rsidRPr="0003073C">
        <w:rPr>
          <w:rFonts w:eastAsia="Calibri"/>
          <w:lang w:val="en-SG" w:eastAsia="en-SG"/>
        </w:rPr>
        <w:t xml:space="preserve"> Ling, Ping Chai, </w:t>
      </w:r>
      <w:proofErr w:type="spellStart"/>
      <w:r w:rsidRPr="0003073C">
        <w:rPr>
          <w:rFonts w:eastAsia="Calibri"/>
          <w:lang w:val="en-SG" w:eastAsia="en-SG"/>
        </w:rPr>
        <w:t>Ching</w:t>
      </w:r>
      <w:proofErr w:type="spellEnd"/>
      <w:r w:rsidRPr="0003073C">
        <w:rPr>
          <w:rFonts w:eastAsia="Calibri"/>
          <w:lang w:val="en-SG" w:eastAsia="en-SG"/>
        </w:rPr>
        <w:t xml:space="preserve"> </w:t>
      </w:r>
      <w:proofErr w:type="spellStart"/>
      <w:r w:rsidRPr="0003073C">
        <w:rPr>
          <w:rFonts w:eastAsia="Calibri"/>
          <w:lang w:val="en-SG" w:eastAsia="en-SG"/>
        </w:rPr>
        <w:t>Chiew</w:t>
      </w:r>
      <w:proofErr w:type="spellEnd"/>
      <w:r w:rsidRPr="0003073C">
        <w:rPr>
          <w:rFonts w:eastAsia="Calibri"/>
          <w:lang w:val="en-SG" w:eastAsia="en-SG"/>
        </w:rPr>
        <w:t xml:space="preserve"> Raymond Wong, Kian </w:t>
      </w:r>
      <w:proofErr w:type="spellStart"/>
      <w:r w:rsidRPr="0003073C">
        <w:rPr>
          <w:rFonts w:eastAsia="Calibri"/>
          <w:lang w:val="en-SG" w:eastAsia="en-SG"/>
        </w:rPr>
        <w:t>Keong</w:t>
      </w:r>
      <w:proofErr w:type="spellEnd"/>
      <w:r w:rsidRPr="0003073C">
        <w:rPr>
          <w:rFonts w:eastAsia="Calibri"/>
          <w:lang w:val="en-SG" w:eastAsia="en-SG"/>
        </w:rPr>
        <w:t xml:space="preserve"> </w:t>
      </w:r>
      <w:proofErr w:type="spellStart"/>
      <w:r w:rsidRPr="0003073C">
        <w:rPr>
          <w:rFonts w:eastAsia="Calibri"/>
          <w:lang w:val="en-SG" w:eastAsia="en-SG"/>
        </w:rPr>
        <w:t>Poh</w:t>
      </w:r>
      <w:proofErr w:type="spellEnd"/>
      <w:r w:rsidRPr="0003073C">
        <w:rPr>
          <w:rFonts w:eastAsia="Calibri"/>
          <w:lang w:val="en-SG" w:eastAsia="en-SG"/>
        </w:rPr>
        <w:t xml:space="preserve">, Tan </w:t>
      </w:r>
      <w:proofErr w:type="spellStart"/>
      <w:r w:rsidRPr="0003073C">
        <w:rPr>
          <w:rFonts w:eastAsia="Calibri"/>
          <w:lang w:val="en-SG" w:eastAsia="en-SG"/>
        </w:rPr>
        <w:t>Tock</w:t>
      </w:r>
      <w:proofErr w:type="spellEnd"/>
      <w:r w:rsidRPr="0003073C">
        <w:rPr>
          <w:rFonts w:eastAsia="Calibri"/>
          <w:lang w:val="en-SG" w:eastAsia="en-SG"/>
        </w:rPr>
        <w:t xml:space="preserve"> Seng Hospital: </w:t>
      </w:r>
      <w:proofErr w:type="spellStart"/>
      <w:r w:rsidRPr="0003073C">
        <w:rPr>
          <w:rFonts w:eastAsia="Calibri"/>
          <w:lang w:val="en-SG" w:eastAsia="en-SG"/>
        </w:rPr>
        <w:t>Poh</w:t>
      </w:r>
      <w:proofErr w:type="spellEnd"/>
      <w:r w:rsidRPr="0003073C">
        <w:rPr>
          <w:rFonts w:eastAsia="Calibri"/>
          <w:lang w:val="en-SG" w:eastAsia="en-SG"/>
        </w:rPr>
        <w:t xml:space="preserve"> </w:t>
      </w:r>
      <w:proofErr w:type="spellStart"/>
      <w:r w:rsidRPr="0003073C">
        <w:rPr>
          <w:rFonts w:eastAsia="Calibri"/>
          <w:lang w:val="en-SG" w:eastAsia="en-SG"/>
        </w:rPr>
        <w:t>Shuan</w:t>
      </w:r>
      <w:proofErr w:type="spellEnd"/>
      <w:r w:rsidRPr="0003073C">
        <w:rPr>
          <w:rFonts w:eastAsia="Calibri"/>
          <w:lang w:val="en-SG" w:eastAsia="en-SG"/>
        </w:rPr>
        <w:t xml:space="preserve"> Daniel Yeo, Evelyn M. Lee, </w:t>
      </w:r>
      <w:proofErr w:type="spellStart"/>
      <w:r w:rsidRPr="0003073C">
        <w:rPr>
          <w:rFonts w:eastAsia="Calibri"/>
          <w:lang w:val="en-SG" w:eastAsia="en-SG"/>
        </w:rPr>
        <w:t>Seet</w:t>
      </w:r>
      <w:proofErr w:type="spellEnd"/>
      <w:r w:rsidRPr="0003073C">
        <w:rPr>
          <w:rFonts w:eastAsia="Calibri"/>
          <w:lang w:val="en-SG" w:eastAsia="en-SG"/>
        </w:rPr>
        <w:t xml:space="preserve"> Yong </w:t>
      </w:r>
      <w:proofErr w:type="spellStart"/>
      <w:r w:rsidRPr="0003073C">
        <w:rPr>
          <w:rFonts w:eastAsia="Calibri"/>
          <w:lang w:val="en-SG" w:eastAsia="en-SG"/>
        </w:rPr>
        <w:t>Loh</w:t>
      </w:r>
      <w:proofErr w:type="spellEnd"/>
      <w:r w:rsidRPr="0003073C">
        <w:rPr>
          <w:rFonts w:eastAsia="Calibri"/>
          <w:lang w:val="en-SG" w:eastAsia="en-SG"/>
        </w:rPr>
        <w:t xml:space="preserve">, Min </w:t>
      </w:r>
      <w:proofErr w:type="spellStart"/>
      <w:r w:rsidRPr="0003073C">
        <w:rPr>
          <w:rFonts w:eastAsia="Calibri"/>
          <w:lang w:val="en-SG" w:eastAsia="en-SG"/>
        </w:rPr>
        <w:t>Er</w:t>
      </w:r>
      <w:proofErr w:type="spellEnd"/>
      <w:r w:rsidRPr="0003073C">
        <w:rPr>
          <w:rFonts w:eastAsia="Calibri"/>
          <w:lang w:val="en-SG" w:eastAsia="en-SG"/>
        </w:rPr>
        <w:t xml:space="preserve"> </w:t>
      </w:r>
      <w:proofErr w:type="spellStart"/>
      <w:r w:rsidRPr="0003073C">
        <w:rPr>
          <w:rFonts w:eastAsia="Calibri"/>
          <w:lang w:val="en-SG" w:eastAsia="en-SG"/>
        </w:rPr>
        <w:t>Ching</w:t>
      </w:r>
      <w:proofErr w:type="spellEnd"/>
      <w:r w:rsidRPr="0003073C">
        <w:rPr>
          <w:rFonts w:eastAsia="Calibri"/>
          <w:lang w:val="en-SG" w:eastAsia="en-SG"/>
        </w:rPr>
        <w:t xml:space="preserve">, Deanna Z.L. </w:t>
      </w:r>
      <w:proofErr w:type="spellStart"/>
      <w:r w:rsidRPr="0003073C">
        <w:rPr>
          <w:rFonts w:eastAsia="Calibri"/>
          <w:lang w:val="en-SG" w:eastAsia="en-SG"/>
        </w:rPr>
        <w:t>Khoo</w:t>
      </w:r>
      <w:proofErr w:type="spellEnd"/>
      <w:r w:rsidRPr="0003073C">
        <w:rPr>
          <w:rFonts w:eastAsia="Calibri"/>
          <w:lang w:val="en-SG" w:eastAsia="en-SG"/>
        </w:rPr>
        <w:t xml:space="preserve">, Min Sen Yew, </w:t>
      </w:r>
      <w:proofErr w:type="spellStart"/>
      <w:r w:rsidRPr="0003073C">
        <w:rPr>
          <w:rFonts w:eastAsia="Calibri"/>
          <w:lang w:val="en-SG" w:eastAsia="en-SG"/>
        </w:rPr>
        <w:t>Wenjie</w:t>
      </w:r>
      <w:proofErr w:type="spellEnd"/>
      <w:r w:rsidRPr="0003073C">
        <w:rPr>
          <w:rFonts w:eastAsia="Calibri"/>
          <w:lang w:val="en-SG" w:eastAsia="en-SG"/>
        </w:rPr>
        <w:t xml:space="preserve"> Huang. Changi General Hospital-Parent: </w:t>
      </w:r>
      <w:proofErr w:type="spellStart"/>
      <w:r w:rsidRPr="0003073C">
        <w:rPr>
          <w:rFonts w:eastAsia="Calibri"/>
          <w:lang w:val="en-SG" w:eastAsia="en-SG"/>
        </w:rPr>
        <w:t>Kui</w:t>
      </w:r>
      <w:proofErr w:type="spellEnd"/>
      <w:r w:rsidRPr="0003073C">
        <w:rPr>
          <w:rFonts w:eastAsia="Calibri"/>
          <w:lang w:val="en-SG" w:eastAsia="en-SG"/>
        </w:rPr>
        <w:t xml:space="preserve"> </w:t>
      </w:r>
      <w:proofErr w:type="spellStart"/>
      <w:r w:rsidRPr="0003073C">
        <w:rPr>
          <w:rFonts w:eastAsia="Calibri"/>
          <w:lang w:val="en-SG" w:eastAsia="en-SG"/>
        </w:rPr>
        <w:t>Toh</w:t>
      </w:r>
      <w:proofErr w:type="spellEnd"/>
      <w:r w:rsidRPr="0003073C">
        <w:rPr>
          <w:rFonts w:eastAsia="Calibri"/>
          <w:lang w:val="en-SG" w:eastAsia="en-SG"/>
        </w:rPr>
        <w:t xml:space="preserve"> Gerard Leong, </w:t>
      </w:r>
      <w:proofErr w:type="spellStart"/>
      <w:r w:rsidRPr="0003073C">
        <w:rPr>
          <w:rFonts w:eastAsia="Calibri"/>
          <w:lang w:val="en-SG" w:eastAsia="en-SG"/>
        </w:rPr>
        <w:t>Jia</w:t>
      </w:r>
      <w:proofErr w:type="spellEnd"/>
      <w:r w:rsidRPr="0003073C">
        <w:rPr>
          <w:rFonts w:eastAsia="Calibri"/>
          <w:lang w:val="en-SG" w:eastAsia="en-SG"/>
        </w:rPr>
        <w:t xml:space="preserve"> </w:t>
      </w:r>
      <w:proofErr w:type="spellStart"/>
      <w:r w:rsidRPr="0003073C">
        <w:rPr>
          <w:rFonts w:eastAsia="Calibri"/>
          <w:lang w:val="en-SG" w:eastAsia="en-SG"/>
        </w:rPr>
        <w:t>Hao</w:t>
      </w:r>
      <w:proofErr w:type="spellEnd"/>
      <w:r w:rsidRPr="0003073C">
        <w:rPr>
          <w:rFonts w:eastAsia="Calibri"/>
          <w:lang w:val="en-SG" w:eastAsia="en-SG"/>
        </w:rPr>
        <w:t xml:space="preserve"> Jason See, </w:t>
      </w:r>
      <w:proofErr w:type="spellStart"/>
      <w:r w:rsidRPr="0003073C">
        <w:rPr>
          <w:rFonts w:eastAsia="Calibri"/>
          <w:lang w:val="en-SG" w:eastAsia="en-SG"/>
        </w:rPr>
        <w:t>Yaozong</w:t>
      </w:r>
      <w:proofErr w:type="spellEnd"/>
      <w:r w:rsidRPr="0003073C">
        <w:rPr>
          <w:rFonts w:eastAsia="Calibri"/>
          <w:lang w:val="en-SG" w:eastAsia="en-SG"/>
        </w:rPr>
        <w:t xml:space="preserve"> </w:t>
      </w:r>
      <w:proofErr w:type="spellStart"/>
      <w:r w:rsidRPr="0003073C">
        <w:rPr>
          <w:rFonts w:eastAsia="Calibri"/>
          <w:lang w:val="en-SG" w:eastAsia="en-SG"/>
        </w:rPr>
        <w:t>Benji</w:t>
      </w:r>
      <w:proofErr w:type="spellEnd"/>
      <w:r w:rsidRPr="0003073C">
        <w:rPr>
          <w:rFonts w:eastAsia="Calibri"/>
          <w:lang w:val="en-SG" w:eastAsia="en-SG"/>
        </w:rPr>
        <w:t xml:space="preserve"> Lim, </w:t>
      </w:r>
      <w:proofErr w:type="spellStart"/>
      <w:r w:rsidRPr="0003073C">
        <w:rPr>
          <w:rFonts w:eastAsia="Calibri"/>
          <w:lang w:val="en-SG" w:eastAsia="en-SG"/>
        </w:rPr>
        <w:t>Svenszeat</w:t>
      </w:r>
      <w:proofErr w:type="spellEnd"/>
      <w:r w:rsidRPr="0003073C">
        <w:rPr>
          <w:rFonts w:eastAsia="Calibri"/>
          <w:lang w:val="en-SG" w:eastAsia="en-SG"/>
        </w:rPr>
        <w:t xml:space="preserve"> Tan, Colin Yeo, Siang Chew Chai. Singapore General Hospital-Parent: </w:t>
      </w:r>
      <w:proofErr w:type="spellStart"/>
      <w:r w:rsidRPr="0003073C">
        <w:rPr>
          <w:rFonts w:eastAsia="Calibri"/>
          <w:lang w:val="en-SG" w:eastAsia="en-SG"/>
        </w:rPr>
        <w:t>Fazlur</w:t>
      </w:r>
      <w:proofErr w:type="spellEnd"/>
      <w:r w:rsidRPr="0003073C">
        <w:rPr>
          <w:rFonts w:eastAsia="Calibri"/>
          <w:lang w:val="en-SG" w:eastAsia="en-SG"/>
        </w:rPr>
        <w:t xml:space="preserve"> </w:t>
      </w:r>
      <w:proofErr w:type="spellStart"/>
      <w:r w:rsidRPr="0003073C">
        <w:rPr>
          <w:rFonts w:eastAsia="Calibri"/>
          <w:lang w:val="en-SG" w:eastAsia="en-SG"/>
        </w:rPr>
        <w:t>Rehman</w:t>
      </w:r>
      <w:proofErr w:type="spellEnd"/>
      <w:r w:rsidRPr="0003073C">
        <w:rPr>
          <w:rFonts w:eastAsia="Calibri"/>
          <w:lang w:val="en-SG" w:eastAsia="en-SG"/>
        </w:rPr>
        <w:t xml:space="preserve"> </w:t>
      </w:r>
      <w:proofErr w:type="spellStart"/>
      <w:r w:rsidRPr="0003073C">
        <w:rPr>
          <w:rFonts w:eastAsia="Calibri"/>
          <w:lang w:val="en-SG" w:eastAsia="en-SG"/>
        </w:rPr>
        <w:t>Jaufeerally</w:t>
      </w:r>
      <w:proofErr w:type="spellEnd"/>
      <w:r w:rsidRPr="0003073C">
        <w:rPr>
          <w:rFonts w:eastAsia="Calibri"/>
          <w:lang w:val="en-SG" w:eastAsia="en-SG"/>
        </w:rPr>
        <w:t xml:space="preserve">, </w:t>
      </w:r>
      <w:proofErr w:type="spellStart"/>
      <w:r w:rsidRPr="0003073C">
        <w:rPr>
          <w:rFonts w:eastAsia="Calibri"/>
          <w:lang w:val="en-SG" w:eastAsia="en-SG"/>
        </w:rPr>
        <w:t>Haresh</w:t>
      </w:r>
      <w:proofErr w:type="spellEnd"/>
      <w:r w:rsidRPr="0003073C">
        <w:rPr>
          <w:rFonts w:eastAsia="Calibri"/>
          <w:lang w:val="en-SG" w:eastAsia="en-SG"/>
        </w:rPr>
        <w:t xml:space="preserve"> </w:t>
      </w:r>
      <w:proofErr w:type="spellStart"/>
      <w:r w:rsidRPr="0003073C">
        <w:rPr>
          <w:rFonts w:eastAsia="Calibri"/>
          <w:lang w:val="en-SG" w:eastAsia="en-SG"/>
        </w:rPr>
        <w:t>Tulsidas</w:t>
      </w:r>
      <w:proofErr w:type="spellEnd"/>
      <w:r w:rsidRPr="0003073C">
        <w:rPr>
          <w:rFonts w:eastAsia="Calibri"/>
          <w:lang w:val="en-SG" w:eastAsia="en-SG"/>
        </w:rPr>
        <w:t xml:space="preserve">, Than Aung. </w:t>
      </w:r>
      <w:proofErr w:type="spellStart"/>
      <w:r w:rsidRPr="0003073C">
        <w:rPr>
          <w:rFonts w:eastAsia="Calibri"/>
          <w:lang w:val="en-SG" w:eastAsia="en-SG"/>
        </w:rPr>
        <w:t>Khoo</w:t>
      </w:r>
      <w:proofErr w:type="spellEnd"/>
      <w:r w:rsidRPr="0003073C">
        <w:rPr>
          <w:rFonts w:eastAsia="Calibri"/>
          <w:lang w:val="en-SG" w:eastAsia="en-SG"/>
        </w:rPr>
        <w:t xml:space="preserve"> Teck </w:t>
      </w:r>
      <w:proofErr w:type="spellStart"/>
      <w:r w:rsidRPr="0003073C">
        <w:rPr>
          <w:rFonts w:eastAsia="Calibri"/>
          <w:lang w:val="en-SG" w:eastAsia="en-SG"/>
        </w:rPr>
        <w:t>Puat</w:t>
      </w:r>
      <w:proofErr w:type="spellEnd"/>
      <w:r w:rsidRPr="0003073C">
        <w:rPr>
          <w:rFonts w:eastAsia="Calibri"/>
          <w:lang w:val="en-SG" w:eastAsia="en-SG"/>
        </w:rPr>
        <w:t xml:space="preserve"> Hospital: </w:t>
      </w:r>
      <w:proofErr w:type="spellStart"/>
      <w:r w:rsidRPr="0003073C">
        <w:rPr>
          <w:rFonts w:eastAsia="Calibri"/>
          <w:lang w:val="en-SG" w:eastAsia="en-SG"/>
        </w:rPr>
        <w:t>Hean</w:t>
      </w:r>
      <w:proofErr w:type="spellEnd"/>
      <w:r w:rsidRPr="0003073C">
        <w:rPr>
          <w:rFonts w:eastAsia="Calibri"/>
          <w:lang w:val="en-SG" w:eastAsia="en-SG"/>
        </w:rPr>
        <w:t xml:space="preserve"> Yee Ong, Lee Fong Ling, </w:t>
      </w:r>
      <w:proofErr w:type="spellStart"/>
      <w:r w:rsidRPr="0003073C">
        <w:rPr>
          <w:rFonts w:eastAsia="Calibri"/>
          <w:lang w:val="en-SG" w:eastAsia="en-SG"/>
        </w:rPr>
        <w:t>Dinna</w:t>
      </w:r>
      <w:proofErr w:type="spellEnd"/>
      <w:r w:rsidRPr="0003073C">
        <w:rPr>
          <w:rFonts w:eastAsia="Calibri"/>
          <w:lang w:val="en-SG" w:eastAsia="en-SG"/>
        </w:rPr>
        <w:t xml:space="preserve"> </w:t>
      </w:r>
      <w:proofErr w:type="spellStart"/>
      <w:r w:rsidRPr="0003073C">
        <w:rPr>
          <w:rFonts w:eastAsia="Calibri"/>
          <w:lang w:val="en-SG" w:eastAsia="en-SG"/>
        </w:rPr>
        <w:t>Kar</w:t>
      </w:r>
      <w:proofErr w:type="spellEnd"/>
      <w:r w:rsidRPr="0003073C">
        <w:rPr>
          <w:rFonts w:eastAsia="Calibri"/>
          <w:lang w:val="en-SG" w:eastAsia="en-SG"/>
        </w:rPr>
        <w:t xml:space="preserve"> Nee Soon </w:t>
      </w:r>
    </w:p>
    <w:p w14:paraId="6AB124AE" w14:textId="77777777" w:rsidR="00F778E5" w:rsidRPr="0003073C" w:rsidRDefault="00F778E5" w:rsidP="007419B4">
      <w:pPr>
        <w:rPr>
          <w:rFonts w:eastAsia="Calibri"/>
          <w:lang w:val="en-SG" w:eastAsia="en-SG"/>
        </w:rPr>
      </w:pPr>
    </w:p>
    <w:p w14:paraId="28D9186E" w14:textId="77777777" w:rsidR="00F778E5" w:rsidRPr="0003073C" w:rsidRDefault="00F778E5" w:rsidP="007419B4">
      <w:pPr>
        <w:rPr>
          <w:rFonts w:eastAsia="Calibri"/>
          <w:lang w:val="en-SG" w:eastAsia="en-SG"/>
        </w:rPr>
      </w:pPr>
      <w:r w:rsidRPr="0003073C">
        <w:rPr>
          <w:rFonts w:eastAsia="Calibri"/>
          <w:lang w:val="en-SG" w:eastAsia="en-SG"/>
        </w:rPr>
        <w:t>Taiwan</w:t>
      </w:r>
    </w:p>
    <w:p w14:paraId="2B8AF90C" w14:textId="77777777" w:rsidR="00F778E5" w:rsidRPr="0003073C" w:rsidRDefault="00F778E5" w:rsidP="007419B4">
      <w:pPr>
        <w:rPr>
          <w:rFonts w:eastAsia="Calibri"/>
          <w:lang w:val="en-SG" w:eastAsia="en-SG"/>
        </w:rPr>
      </w:pPr>
      <w:r w:rsidRPr="0003073C">
        <w:rPr>
          <w:rFonts w:eastAsia="Calibri"/>
          <w:lang w:val="en-SG" w:eastAsia="en-SG"/>
        </w:rPr>
        <w:t xml:space="preserve">Mackay Memorial Hospital, Taipei, Taiwan: </w:t>
      </w:r>
      <w:r w:rsidRPr="0003073C">
        <w:rPr>
          <w:rFonts w:eastAsia="Calibri"/>
          <w:b/>
          <w:lang w:val="en-SG" w:eastAsia="en-SG"/>
        </w:rPr>
        <w:t>Chung-</w:t>
      </w:r>
      <w:proofErr w:type="spellStart"/>
      <w:r w:rsidRPr="0003073C">
        <w:rPr>
          <w:rFonts w:eastAsia="Calibri"/>
          <w:b/>
          <w:lang w:val="en-SG" w:eastAsia="en-SG"/>
        </w:rPr>
        <w:t>Lieh</w:t>
      </w:r>
      <w:proofErr w:type="spellEnd"/>
      <w:r w:rsidRPr="0003073C">
        <w:rPr>
          <w:rFonts w:eastAsia="Calibri"/>
          <w:b/>
          <w:lang w:val="en-SG" w:eastAsia="en-SG"/>
        </w:rPr>
        <w:t xml:space="preserve"> Hung</w:t>
      </w:r>
      <w:r w:rsidRPr="0003073C">
        <w:rPr>
          <w:rFonts w:eastAsia="Calibri"/>
          <w:lang w:val="en-SG" w:eastAsia="en-SG"/>
        </w:rPr>
        <w:t xml:space="preserve"> (Country PI), Hung-I </w:t>
      </w:r>
      <w:proofErr w:type="spellStart"/>
      <w:r w:rsidRPr="0003073C">
        <w:rPr>
          <w:rFonts w:eastAsia="Calibri"/>
          <w:lang w:val="en-SG" w:eastAsia="en-SG"/>
        </w:rPr>
        <w:t>Yeh</w:t>
      </w:r>
      <w:proofErr w:type="gramStart"/>
      <w:r w:rsidRPr="0003073C">
        <w:rPr>
          <w:rFonts w:eastAsia="Calibri"/>
          <w:lang w:val="en-SG" w:eastAsia="en-SG"/>
        </w:rPr>
        <w:t>,Jen</w:t>
      </w:r>
      <w:proofErr w:type="spellEnd"/>
      <w:proofErr w:type="gramEnd"/>
      <w:r w:rsidRPr="0003073C">
        <w:rPr>
          <w:rFonts w:eastAsia="Calibri"/>
          <w:lang w:val="en-SG" w:eastAsia="en-SG"/>
        </w:rPr>
        <w:t xml:space="preserve">-Yuan </w:t>
      </w:r>
      <w:proofErr w:type="spellStart"/>
      <w:r w:rsidRPr="0003073C">
        <w:rPr>
          <w:rFonts w:eastAsia="Calibri"/>
          <w:lang w:val="en-SG" w:eastAsia="en-SG"/>
        </w:rPr>
        <w:t>Kuo</w:t>
      </w:r>
      <w:proofErr w:type="spellEnd"/>
      <w:r w:rsidRPr="0003073C">
        <w:rPr>
          <w:rFonts w:eastAsia="Calibri"/>
          <w:lang w:val="en-SG" w:eastAsia="en-SG"/>
        </w:rPr>
        <w:t xml:space="preserve">, </w:t>
      </w:r>
      <w:proofErr w:type="spellStart"/>
      <w:r w:rsidRPr="0003073C">
        <w:rPr>
          <w:rFonts w:eastAsia="Calibri"/>
          <w:lang w:val="en-SG" w:eastAsia="en-SG"/>
        </w:rPr>
        <w:t>Chih-Hsuan</w:t>
      </w:r>
      <w:proofErr w:type="spellEnd"/>
      <w:r w:rsidRPr="0003073C">
        <w:rPr>
          <w:rFonts w:eastAsia="Calibri"/>
          <w:lang w:val="en-SG" w:eastAsia="en-SG"/>
        </w:rPr>
        <w:t xml:space="preserve"> Yen. National Taiwan University Hospital: </w:t>
      </w:r>
      <w:proofErr w:type="spellStart"/>
      <w:r w:rsidRPr="0003073C">
        <w:rPr>
          <w:rFonts w:eastAsia="Calibri"/>
          <w:lang w:val="en-SG" w:eastAsia="en-SG"/>
        </w:rPr>
        <w:t>Juey</w:t>
      </w:r>
      <w:proofErr w:type="spellEnd"/>
      <w:r w:rsidRPr="0003073C">
        <w:rPr>
          <w:rFonts w:eastAsia="Calibri"/>
          <w:lang w:val="en-SG" w:eastAsia="en-SG"/>
        </w:rPr>
        <w:t xml:space="preserve">-Jen Hwang, </w:t>
      </w:r>
      <w:proofErr w:type="spellStart"/>
      <w:r w:rsidRPr="0003073C">
        <w:rPr>
          <w:rFonts w:eastAsia="Calibri"/>
          <w:lang w:val="en-SG" w:eastAsia="en-SG"/>
        </w:rPr>
        <w:t>Kuo-Liong</w:t>
      </w:r>
      <w:proofErr w:type="spellEnd"/>
      <w:r w:rsidRPr="0003073C">
        <w:rPr>
          <w:rFonts w:eastAsia="Calibri"/>
          <w:lang w:val="en-SG" w:eastAsia="en-SG"/>
        </w:rPr>
        <w:t xml:space="preserve"> </w:t>
      </w:r>
      <w:proofErr w:type="spellStart"/>
      <w:r w:rsidRPr="0003073C">
        <w:rPr>
          <w:rFonts w:eastAsia="Calibri"/>
          <w:lang w:val="en-SG" w:eastAsia="en-SG"/>
        </w:rPr>
        <w:t>Chien</w:t>
      </w:r>
      <w:proofErr w:type="spellEnd"/>
      <w:r w:rsidRPr="0003073C">
        <w:rPr>
          <w:rFonts w:eastAsia="Calibri"/>
          <w:lang w:val="en-SG" w:eastAsia="en-SG"/>
        </w:rPr>
        <w:t xml:space="preserve">, Ta-Chen Su, </w:t>
      </w:r>
      <w:proofErr w:type="spellStart"/>
      <w:r w:rsidRPr="0003073C">
        <w:rPr>
          <w:rFonts w:eastAsia="Calibri"/>
          <w:lang w:val="en-SG" w:eastAsia="en-SG"/>
        </w:rPr>
        <w:t>Lian</w:t>
      </w:r>
      <w:proofErr w:type="spellEnd"/>
      <w:r w:rsidRPr="0003073C">
        <w:rPr>
          <w:rFonts w:eastAsia="Calibri"/>
          <w:lang w:val="en-SG" w:eastAsia="en-SG"/>
        </w:rPr>
        <w:t xml:space="preserve">-Yu Lin, </w:t>
      </w:r>
      <w:proofErr w:type="spellStart"/>
      <w:r w:rsidRPr="0003073C">
        <w:rPr>
          <w:rFonts w:eastAsia="Calibri"/>
          <w:lang w:val="en-SG" w:eastAsia="en-SG"/>
        </w:rPr>
        <w:t>Jyh</w:t>
      </w:r>
      <w:proofErr w:type="spellEnd"/>
      <w:r w:rsidRPr="0003073C">
        <w:rPr>
          <w:rFonts w:eastAsia="Calibri"/>
          <w:lang w:val="en-SG" w:eastAsia="en-SG"/>
        </w:rPr>
        <w:t xml:space="preserve">-Ming </w:t>
      </w:r>
      <w:proofErr w:type="spellStart"/>
      <w:r w:rsidRPr="0003073C">
        <w:rPr>
          <w:rFonts w:eastAsia="Calibri"/>
          <w:lang w:val="en-SG" w:eastAsia="en-SG"/>
        </w:rPr>
        <w:t>Juang</w:t>
      </w:r>
      <w:proofErr w:type="spellEnd"/>
      <w:r w:rsidRPr="0003073C">
        <w:rPr>
          <w:rFonts w:eastAsia="Calibri"/>
          <w:lang w:val="en-SG" w:eastAsia="en-SG"/>
        </w:rPr>
        <w:t xml:space="preserve">, Yen-Hung Lin, Fu-Tien Chiang, </w:t>
      </w:r>
      <w:proofErr w:type="spellStart"/>
      <w:r w:rsidRPr="0003073C">
        <w:rPr>
          <w:rFonts w:eastAsia="Calibri"/>
          <w:lang w:val="en-SG" w:eastAsia="en-SG"/>
        </w:rPr>
        <w:t>Jiunn</w:t>
      </w:r>
      <w:proofErr w:type="spellEnd"/>
      <w:r w:rsidRPr="0003073C">
        <w:rPr>
          <w:rFonts w:eastAsia="Calibri"/>
          <w:lang w:val="en-SG" w:eastAsia="en-SG"/>
        </w:rPr>
        <w:t>-Lee Lin, Yi-</w:t>
      </w:r>
      <w:proofErr w:type="spellStart"/>
      <w:r w:rsidRPr="0003073C">
        <w:rPr>
          <w:rFonts w:eastAsia="Calibri"/>
          <w:lang w:val="en-SG" w:eastAsia="en-SG"/>
        </w:rPr>
        <w:t>Lwun</w:t>
      </w:r>
      <w:proofErr w:type="spellEnd"/>
      <w:r w:rsidRPr="0003073C">
        <w:rPr>
          <w:rFonts w:eastAsia="Calibri"/>
          <w:lang w:val="en-SG" w:eastAsia="en-SG"/>
        </w:rPr>
        <w:t xml:space="preserve"> </w:t>
      </w:r>
      <w:proofErr w:type="spellStart"/>
      <w:r w:rsidRPr="0003073C">
        <w:rPr>
          <w:rFonts w:eastAsia="Calibri"/>
          <w:lang w:val="en-SG" w:eastAsia="en-SG"/>
        </w:rPr>
        <w:t>Ho</w:t>
      </w:r>
      <w:proofErr w:type="spellEnd"/>
      <w:r w:rsidRPr="0003073C">
        <w:rPr>
          <w:rFonts w:eastAsia="Calibri"/>
          <w:lang w:val="en-SG" w:eastAsia="en-SG"/>
        </w:rPr>
        <w:t xml:space="preserve">, </w:t>
      </w:r>
      <w:proofErr w:type="spellStart"/>
      <w:r w:rsidRPr="0003073C">
        <w:rPr>
          <w:rFonts w:eastAsia="Calibri"/>
          <w:lang w:val="en-SG" w:eastAsia="en-SG"/>
        </w:rPr>
        <w:t>Chii</w:t>
      </w:r>
      <w:proofErr w:type="spellEnd"/>
      <w:r w:rsidRPr="0003073C">
        <w:rPr>
          <w:rFonts w:eastAsia="Calibri"/>
          <w:lang w:val="en-SG" w:eastAsia="en-SG"/>
        </w:rPr>
        <w:t>-Ming Lee, Po-</w:t>
      </w:r>
      <w:proofErr w:type="spellStart"/>
      <w:r w:rsidRPr="0003073C">
        <w:rPr>
          <w:rFonts w:eastAsia="Calibri"/>
          <w:lang w:val="en-SG" w:eastAsia="en-SG"/>
        </w:rPr>
        <w:t>Chih</w:t>
      </w:r>
      <w:proofErr w:type="spellEnd"/>
      <w:r w:rsidRPr="0003073C">
        <w:rPr>
          <w:rFonts w:eastAsia="Calibri"/>
          <w:lang w:val="en-SG" w:eastAsia="en-SG"/>
        </w:rPr>
        <w:t xml:space="preserve"> Lin, Chi-Sheng Hung, Sheng-Nan Chang, </w:t>
      </w:r>
      <w:proofErr w:type="spellStart"/>
      <w:r w:rsidRPr="0003073C">
        <w:rPr>
          <w:rFonts w:eastAsia="Calibri"/>
          <w:lang w:val="en-SG" w:eastAsia="en-SG"/>
        </w:rPr>
        <w:t>Jou</w:t>
      </w:r>
      <w:proofErr w:type="spellEnd"/>
      <w:r w:rsidRPr="0003073C">
        <w:rPr>
          <w:rFonts w:eastAsia="Calibri"/>
          <w:lang w:val="en-SG" w:eastAsia="en-SG"/>
        </w:rPr>
        <w:t xml:space="preserve">-Wei Lin, </w:t>
      </w:r>
      <w:proofErr w:type="spellStart"/>
      <w:r w:rsidRPr="0003073C">
        <w:rPr>
          <w:rFonts w:eastAsia="Calibri"/>
          <w:lang w:val="en-SG" w:eastAsia="en-SG"/>
        </w:rPr>
        <w:t>Chih-Neng</w:t>
      </w:r>
      <w:proofErr w:type="spellEnd"/>
      <w:r w:rsidRPr="0003073C">
        <w:rPr>
          <w:rFonts w:eastAsia="Calibri"/>
          <w:lang w:val="en-SG" w:eastAsia="en-SG"/>
        </w:rPr>
        <w:t xml:space="preserve"> Hsu. Taipei Veterans General Hospital: Wen-Chung Yu, </w:t>
      </w:r>
      <w:proofErr w:type="spellStart"/>
      <w:r w:rsidRPr="0003073C">
        <w:rPr>
          <w:rFonts w:eastAsia="Calibri"/>
          <w:lang w:val="en-SG" w:eastAsia="en-SG"/>
        </w:rPr>
        <w:t>Tze</w:t>
      </w:r>
      <w:proofErr w:type="spellEnd"/>
      <w:r w:rsidRPr="0003073C">
        <w:rPr>
          <w:rFonts w:eastAsia="Calibri"/>
          <w:lang w:val="en-SG" w:eastAsia="en-SG"/>
        </w:rPr>
        <w:t xml:space="preserve">-Fan Chao, </w:t>
      </w:r>
      <w:proofErr w:type="gramStart"/>
      <w:r w:rsidRPr="0003073C">
        <w:rPr>
          <w:rFonts w:eastAsia="Calibri"/>
          <w:lang w:val="en-SG" w:eastAsia="en-SG"/>
        </w:rPr>
        <w:t>Shih</w:t>
      </w:r>
      <w:proofErr w:type="gramEnd"/>
      <w:r w:rsidRPr="0003073C">
        <w:rPr>
          <w:rFonts w:eastAsia="Calibri"/>
          <w:lang w:val="en-SG" w:eastAsia="en-SG"/>
        </w:rPr>
        <w:t xml:space="preserve">-Hsien Sung, Kang-Ling Wang, </w:t>
      </w:r>
      <w:proofErr w:type="spellStart"/>
      <w:r w:rsidRPr="0003073C">
        <w:rPr>
          <w:rFonts w:eastAsia="Calibri"/>
          <w:lang w:val="en-SG" w:eastAsia="en-SG"/>
        </w:rPr>
        <w:t>Hsin</w:t>
      </w:r>
      <w:proofErr w:type="spellEnd"/>
      <w:r w:rsidRPr="0003073C">
        <w:rPr>
          <w:rFonts w:eastAsia="Calibri"/>
          <w:lang w:val="en-SG" w:eastAsia="en-SG"/>
        </w:rPr>
        <w:t xml:space="preserve">-Bang </w:t>
      </w:r>
      <w:proofErr w:type="spellStart"/>
      <w:r w:rsidRPr="0003073C">
        <w:rPr>
          <w:rFonts w:eastAsia="Calibri"/>
          <w:lang w:val="en-SG" w:eastAsia="en-SG"/>
        </w:rPr>
        <w:t>Leu</w:t>
      </w:r>
      <w:proofErr w:type="spellEnd"/>
      <w:r w:rsidRPr="0003073C">
        <w:rPr>
          <w:rFonts w:eastAsia="Calibri"/>
          <w:lang w:val="en-SG" w:eastAsia="en-SG"/>
        </w:rPr>
        <w:t xml:space="preserve">, </w:t>
      </w:r>
      <w:proofErr w:type="spellStart"/>
      <w:r w:rsidRPr="0003073C">
        <w:rPr>
          <w:rFonts w:eastAsia="Calibri"/>
          <w:lang w:val="en-SG" w:eastAsia="en-SG"/>
        </w:rPr>
        <w:t>Yenn</w:t>
      </w:r>
      <w:proofErr w:type="spellEnd"/>
      <w:r w:rsidRPr="0003073C">
        <w:rPr>
          <w:rFonts w:eastAsia="Calibri"/>
          <w:lang w:val="en-SG" w:eastAsia="en-SG"/>
        </w:rPr>
        <w:t>-Jiang Lin, Shih-Lin Chang, Po-</w:t>
      </w:r>
      <w:proofErr w:type="spellStart"/>
      <w:r w:rsidRPr="0003073C">
        <w:rPr>
          <w:rFonts w:eastAsia="Calibri"/>
          <w:lang w:val="en-SG" w:eastAsia="en-SG"/>
        </w:rPr>
        <w:t>Hsun</w:t>
      </w:r>
      <w:proofErr w:type="spellEnd"/>
      <w:r w:rsidRPr="0003073C">
        <w:rPr>
          <w:rFonts w:eastAsia="Calibri"/>
          <w:lang w:val="en-SG" w:eastAsia="en-SG"/>
        </w:rPr>
        <w:t xml:space="preserve"> Huang, Li-Wei Lo, Cheng-Hsueh Wu. China Medical University Hospital: </w:t>
      </w:r>
      <w:proofErr w:type="spellStart"/>
      <w:r w:rsidRPr="0003073C">
        <w:rPr>
          <w:rFonts w:eastAsia="Calibri"/>
          <w:lang w:val="en-SG" w:eastAsia="en-SG"/>
        </w:rPr>
        <w:t>Hsin-Yueh</w:t>
      </w:r>
      <w:proofErr w:type="spellEnd"/>
      <w:r w:rsidRPr="0003073C">
        <w:rPr>
          <w:rFonts w:eastAsia="Calibri"/>
          <w:lang w:val="en-SG" w:eastAsia="en-SG"/>
        </w:rPr>
        <w:t xml:space="preserve"> Liang, Shih-Sheng Chang, Lien-Cheng Hsiao, Yu-Chen Wang, </w:t>
      </w:r>
      <w:proofErr w:type="spellStart"/>
      <w:r w:rsidRPr="0003073C">
        <w:rPr>
          <w:rFonts w:eastAsia="Calibri"/>
          <w:lang w:val="en-SG" w:eastAsia="en-SG"/>
        </w:rPr>
        <w:t>Chiung</w:t>
      </w:r>
      <w:proofErr w:type="spellEnd"/>
      <w:r w:rsidRPr="0003073C">
        <w:rPr>
          <w:rFonts w:eastAsia="Calibri"/>
          <w:lang w:val="en-SG" w:eastAsia="en-SG"/>
        </w:rPr>
        <w:t>-Ray Lu, Hung-Pin Wu, Yen-</w:t>
      </w:r>
      <w:proofErr w:type="spellStart"/>
      <w:r w:rsidRPr="0003073C">
        <w:rPr>
          <w:rFonts w:eastAsia="Calibri"/>
          <w:lang w:val="en-SG" w:eastAsia="en-SG"/>
        </w:rPr>
        <w:t>Nien</w:t>
      </w:r>
      <w:proofErr w:type="spellEnd"/>
      <w:r w:rsidRPr="0003073C">
        <w:rPr>
          <w:rFonts w:eastAsia="Calibri"/>
          <w:lang w:val="en-SG" w:eastAsia="en-SG"/>
        </w:rPr>
        <w:t xml:space="preserve"> Lin, </w:t>
      </w:r>
      <w:proofErr w:type="spellStart"/>
      <w:r w:rsidRPr="0003073C">
        <w:rPr>
          <w:rFonts w:eastAsia="Calibri"/>
          <w:lang w:val="en-SG" w:eastAsia="en-SG"/>
        </w:rPr>
        <w:t>Ke</w:t>
      </w:r>
      <w:proofErr w:type="spellEnd"/>
      <w:r w:rsidRPr="0003073C">
        <w:rPr>
          <w:rFonts w:eastAsia="Calibri"/>
          <w:lang w:val="en-SG" w:eastAsia="en-SG"/>
        </w:rPr>
        <w:t>-Wei Chen, Ping-Han Lo, Chung-</w:t>
      </w:r>
      <w:proofErr w:type="spellStart"/>
      <w:r w:rsidRPr="0003073C">
        <w:rPr>
          <w:rFonts w:eastAsia="Calibri"/>
          <w:lang w:val="en-SG" w:eastAsia="en-SG"/>
        </w:rPr>
        <w:t>Ho</w:t>
      </w:r>
      <w:proofErr w:type="spellEnd"/>
      <w:r w:rsidRPr="0003073C">
        <w:rPr>
          <w:rFonts w:eastAsia="Calibri"/>
          <w:lang w:val="en-SG" w:eastAsia="en-SG"/>
        </w:rPr>
        <w:t xml:space="preserve"> Hsu, Li-</w:t>
      </w:r>
      <w:proofErr w:type="spellStart"/>
      <w:r w:rsidRPr="0003073C">
        <w:rPr>
          <w:rFonts w:eastAsia="Calibri"/>
          <w:lang w:val="en-SG" w:eastAsia="en-SG"/>
        </w:rPr>
        <w:t>Chuan</w:t>
      </w:r>
      <w:proofErr w:type="spellEnd"/>
      <w:r w:rsidRPr="0003073C">
        <w:rPr>
          <w:rFonts w:eastAsia="Calibri"/>
          <w:lang w:val="en-SG" w:eastAsia="en-SG"/>
        </w:rPr>
        <w:t xml:space="preserve"> Hsieh.</w:t>
      </w:r>
    </w:p>
    <w:p w14:paraId="0D8106F9" w14:textId="77777777" w:rsidR="00F778E5" w:rsidRPr="0003073C" w:rsidRDefault="00F778E5" w:rsidP="007419B4">
      <w:pPr>
        <w:rPr>
          <w:rFonts w:eastAsia="Calibri"/>
          <w:lang w:val="en-SG" w:eastAsia="en-SG"/>
        </w:rPr>
      </w:pPr>
    </w:p>
    <w:p w14:paraId="29F5281E" w14:textId="77777777" w:rsidR="00F778E5" w:rsidRPr="0003073C" w:rsidRDefault="00F778E5" w:rsidP="007419B4">
      <w:pPr>
        <w:rPr>
          <w:rFonts w:eastAsia="Calibri"/>
          <w:lang w:val="en-SG" w:eastAsia="en-SG"/>
        </w:rPr>
      </w:pPr>
      <w:r w:rsidRPr="0003073C">
        <w:rPr>
          <w:rFonts w:eastAsia="Calibri"/>
          <w:lang w:val="en-SG" w:eastAsia="en-SG"/>
        </w:rPr>
        <w:t>Thailand</w:t>
      </w:r>
    </w:p>
    <w:p w14:paraId="3D10E070" w14:textId="77777777" w:rsidR="00F778E5" w:rsidRPr="0003073C" w:rsidRDefault="00F778E5" w:rsidP="007419B4">
      <w:pPr>
        <w:rPr>
          <w:rFonts w:eastAsia="Calibri"/>
          <w:lang w:val="en-SG" w:eastAsia="en-SG"/>
        </w:rPr>
      </w:pPr>
      <w:proofErr w:type="spellStart"/>
      <w:r w:rsidRPr="0003073C">
        <w:rPr>
          <w:rFonts w:eastAsia="Calibri"/>
          <w:lang w:val="en-SG" w:eastAsia="en-SG"/>
        </w:rPr>
        <w:t>Ramathibodi</w:t>
      </w:r>
      <w:proofErr w:type="spellEnd"/>
      <w:r w:rsidRPr="0003073C">
        <w:rPr>
          <w:rFonts w:eastAsia="Calibri"/>
          <w:lang w:val="en-SG" w:eastAsia="en-SG"/>
        </w:rPr>
        <w:t xml:space="preserve"> Hospital: </w:t>
      </w:r>
      <w:proofErr w:type="spellStart"/>
      <w:r w:rsidRPr="0003073C">
        <w:rPr>
          <w:rFonts w:eastAsia="Calibri"/>
          <w:b/>
          <w:lang w:val="en-SG" w:eastAsia="en-SG"/>
        </w:rPr>
        <w:t>Tachapong</w:t>
      </w:r>
      <w:proofErr w:type="spellEnd"/>
      <w:r w:rsidRPr="0003073C">
        <w:rPr>
          <w:rFonts w:eastAsia="Calibri"/>
          <w:b/>
          <w:lang w:val="en-SG" w:eastAsia="en-SG"/>
        </w:rPr>
        <w:t xml:space="preserve"> </w:t>
      </w:r>
      <w:proofErr w:type="spellStart"/>
      <w:r w:rsidRPr="0003073C">
        <w:rPr>
          <w:rFonts w:eastAsia="Calibri"/>
          <w:b/>
          <w:lang w:val="en-SG" w:eastAsia="en-SG"/>
        </w:rPr>
        <w:t>Ngarmukos</w:t>
      </w:r>
      <w:proofErr w:type="spellEnd"/>
      <w:r w:rsidRPr="0003073C">
        <w:rPr>
          <w:rFonts w:eastAsia="Calibri"/>
          <w:lang w:val="en-SG" w:eastAsia="en-SG"/>
        </w:rPr>
        <w:t xml:space="preserve"> (Country PI), Mann </w:t>
      </w:r>
      <w:proofErr w:type="spellStart"/>
      <w:r w:rsidRPr="0003073C">
        <w:rPr>
          <w:rFonts w:eastAsia="Calibri"/>
          <w:lang w:val="en-SG" w:eastAsia="en-SG"/>
        </w:rPr>
        <w:t>Chandavimol</w:t>
      </w:r>
      <w:proofErr w:type="spellEnd"/>
      <w:r w:rsidRPr="0003073C">
        <w:rPr>
          <w:rFonts w:eastAsia="Calibri"/>
          <w:lang w:val="en-SG" w:eastAsia="en-SG"/>
        </w:rPr>
        <w:t xml:space="preserve">, </w:t>
      </w:r>
      <w:proofErr w:type="spellStart"/>
      <w:r w:rsidRPr="0003073C">
        <w:rPr>
          <w:rFonts w:eastAsia="Calibri"/>
          <w:lang w:val="en-SG" w:eastAsia="en-SG"/>
        </w:rPr>
        <w:t>Teerapat</w:t>
      </w:r>
      <w:proofErr w:type="spellEnd"/>
      <w:r w:rsidRPr="0003073C">
        <w:rPr>
          <w:rFonts w:eastAsia="Calibri"/>
          <w:lang w:val="en-SG" w:eastAsia="en-SG"/>
        </w:rPr>
        <w:t xml:space="preserve"> </w:t>
      </w:r>
      <w:proofErr w:type="spellStart"/>
      <w:r w:rsidRPr="0003073C">
        <w:rPr>
          <w:rFonts w:eastAsia="Calibri"/>
          <w:lang w:val="en-SG" w:eastAsia="en-SG"/>
        </w:rPr>
        <w:t>Yingchoncharoen</w:t>
      </w:r>
      <w:proofErr w:type="spellEnd"/>
      <w:r w:rsidRPr="0003073C">
        <w:rPr>
          <w:rFonts w:eastAsia="Calibri"/>
          <w:lang w:val="en-SG" w:eastAsia="en-SG"/>
        </w:rPr>
        <w:t xml:space="preserve">, </w:t>
      </w:r>
      <w:proofErr w:type="spellStart"/>
      <w:r w:rsidRPr="0003073C">
        <w:rPr>
          <w:rFonts w:eastAsia="Calibri"/>
          <w:lang w:val="en-SG" w:eastAsia="en-SG"/>
        </w:rPr>
        <w:t>Prasart</w:t>
      </w:r>
      <w:proofErr w:type="spellEnd"/>
      <w:r w:rsidRPr="0003073C">
        <w:rPr>
          <w:rFonts w:eastAsia="Calibri"/>
          <w:lang w:val="en-SG" w:eastAsia="en-SG"/>
        </w:rPr>
        <w:t xml:space="preserve"> </w:t>
      </w:r>
      <w:proofErr w:type="spellStart"/>
      <w:r w:rsidRPr="0003073C">
        <w:rPr>
          <w:rFonts w:eastAsia="Calibri"/>
          <w:lang w:val="en-SG" w:eastAsia="en-SG"/>
        </w:rPr>
        <w:t>Laothavorn</w:t>
      </w:r>
      <w:proofErr w:type="spellEnd"/>
      <w:r w:rsidRPr="0003073C">
        <w:rPr>
          <w:rFonts w:eastAsia="Calibri"/>
          <w:lang w:val="en-SG" w:eastAsia="en-SG"/>
        </w:rPr>
        <w:t xml:space="preserve">. </w:t>
      </w:r>
      <w:proofErr w:type="spellStart"/>
      <w:r w:rsidRPr="0003073C">
        <w:rPr>
          <w:rFonts w:eastAsia="Calibri"/>
          <w:lang w:val="en-SG" w:eastAsia="en-SG"/>
        </w:rPr>
        <w:t>Phramongkutklao</w:t>
      </w:r>
      <w:proofErr w:type="spellEnd"/>
      <w:r w:rsidRPr="0003073C">
        <w:rPr>
          <w:rFonts w:eastAsia="Calibri"/>
          <w:lang w:val="en-SG" w:eastAsia="en-SG"/>
        </w:rPr>
        <w:t xml:space="preserve"> </w:t>
      </w:r>
      <w:proofErr w:type="spellStart"/>
      <w:r w:rsidRPr="0003073C">
        <w:rPr>
          <w:rFonts w:eastAsia="Calibri"/>
          <w:lang w:val="en-SG" w:eastAsia="en-SG"/>
        </w:rPr>
        <w:t>Hospital</w:t>
      </w:r>
      <w:proofErr w:type="gramStart"/>
      <w:r w:rsidRPr="0003073C">
        <w:rPr>
          <w:rFonts w:eastAsia="Calibri"/>
          <w:lang w:val="en-SG" w:eastAsia="en-SG"/>
        </w:rPr>
        <w:t>:Waraporn</w:t>
      </w:r>
      <w:proofErr w:type="spellEnd"/>
      <w:proofErr w:type="gramEnd"/>
      <w:r w:rsidRPr="0003073C">
        <w:rPr>
          <w:rFonts w:eastAsia="Calibri"/>
          <w:lang w:val="en-SG" w:eastAsia="en-SG"/>
        </w:rPr>
        <w:t xml:space="preserve"> </w:t>
      </w:r>
      <w:proofErr w:type="spellStart"/>
      <w:r w:rsidRPr="0003073C">
        <w:rPr>
          <w:rFonts w:eastAsia="Calibri"/>
          <w:lang w:val="en-SG" w:eastAsia="en-SG"/>
        </w:rPr>
        <w:t>Tiyanon</w:t>
      </w:r>
      <w:proofErr w:type="spellEnd"/>
      <w:r w:rsidRPr="0003073C">
        <w:rPr>
          <w:rFonts w:eastAsia="Calibri"/>
          <w:lang w:val="en-SG" w:eastAsia="en-SG"/>
        </w:rPr>
        <w:t xml:space="preserve">. </w:t>
      </w:r>
      <w:proofErr w:type="spellStart"/>
      <w:r w:rsidRPr="0003073C">
        <w:rPr>
          <w:rFonts w:eastAsia="Calibri"/>
          <w:lang w:val="en-SG" w:eastAsia="en-SG"/>
        </w:rPr>
        <w:t>Maharaj</w:t>
      </w:r>
      <w:proofErr w:type="spellEnd"/>
      <w:r w:rsidRPr="0003073C">
        <w:rPr>
          <w:rFonts w:eastAsia="Calibri"/>
          <w:lang w:val="en-SG" w:eastAsia="en-SG"/>
        </w:rPr>
        <w:t xml:space="preserve"> </w:t>
      </w:r>
      <w:proofErr w:type="spellStart"/>
      <w:r w:rsidRPr="0003073C">
        <w:rPr>
          <w:rFonts w:eastAsia="Calibri"/>
          <w:lang w:val="en-SG" w:eastAsia="en-SG"/>
        </w:rPr>
        <w:t>Nakorn</w:t>
      </w:r>
      <w:proofErr w:type="spellEnd"/>
      <w:r w:rsidRPr="0003073C">
        <w:rPr>
          <w:rFonts w:eastAsia="Calibri"/>
          <w:lang w:val="en-SG" w:eastAsia="en-SG"/>
        </w:rPr>
        <w:t xml:space="preserve"> Chiang Mai Hospital: </w:t>
      </w:r>
      <w:proofErr w:type="spellStart"/>
      <w:r w:rsidRPr="0003073C">
        <w:rPr>
          <w:rFonts w:eastAsia="Calibri"/>
          <w:lang w:val="en-SG" w:eastAsia="en-SG"/>
        </w:rPr>
        <w:t>Wanwarang</w:t>
      </w:r>
      <w:proofErr w:type="spellEnd"/>
      <w:r w:rsidRPr="0003073C">
        <w:rPr>
          <w:rFonts w:eastAsia="Calibri"/>
          <w:lang w:val="en-SG" w:eastAsia="en-SG"/>
        </w:rPr>
        <w:t xml:space="preserve"> </w:t>
      </w:r>
      <w:proofErr w:type="spellStart"/>
      <w:r w:rsidRPr="0003073C">
        <w:rPr>
          <w:rFonts w:eastAsia="Calibri"/>
          <w:lang w:val="en-SG" w:eastAsia="en-SG"/>
        </w:rPr>
        <w:t>Wongcharoen</w:t>
      </w:r>
      <w:proofErr w:type="spellEnd"/>
      <w:r w:rsidRPr="0003073C">
        <w:rPr>
          <w:rFonts w:eastAsia="Calibri"/>
          <w:lang w:val="en-SG" w:eastAsia="en-SG"/>
        </w:rPr>
        <w:t xml:space="preserve">, </w:t>
      </w:r>
      <w:proofErr w:type="spellStart"/>
      <w:r w:rsidRPr="0003073C">
        <w:rPr>
          <w:rFonts w:eastAsia="Calibri"/>
          <w:lang w:val="en-SG" w:eastAsia="en-SG"/>
        </w:rPr>
        <w:t>Arintaya</w:t>
      </w:r>
      <w:proofErr w:type="spellEnd"/>
      <w:r w:rsidRPr="0003073C">
        <w:rPr>
          <w:rFonts w:eastAsia="Calibri"/>
          <w:lang w:val="en-SG" w:eastAsia="en-SG"/>
        </w:rPr>
        <w:t xml:space="preserve"> </w:t>
      </w:r>
      <w:proofErr w:type="spellStart"/>
      <w:r w:rsidRPr="0003073C">
        <w:rPr>
          <w:rFonts w:eastAsia="Calibri"/>
          <w:lang w:val="en-SG" w:eastAsia="en-SG"/>
        </w:rPr>
        <w:t>Phrommintikul</w:t>
      </w:r>
      <w:proofErr w:type="spellEnd"/>
      <w:r w:rsidRPr="0003073C">
        <w:rPr>
          <w:rFonts w:eastAsia="Calibri"/>
          <w:lang w:val="en-SG" w:eastAsia="en-SG"/>
        </w:rPr>
        <w:t>.</w:t>
      </w:r>
    </w:p>
    <w:p w14:paraId="4B7F04D9" w14:textId="77777777" w:rsidR="00F778E5" w:rsidRPr="0003073C" w:rsidRDefault="00F778E5" w:rsidP="007419B4">
      <w:pPr>
        <w:rPr>
          <w:rFonts w:eastAsia="Yu Mincho"/>
          <w:sz w:val="20"/>
          <w:lang w:val="en-GB" w:eastAsia="zh-CN"/>
        </w:rPr>
      </w:pPr>
    </w:p>
    <w:p w14:paraId="1A9B9BB2" w14:textId="77777777" w:rsidR="00F778E5" w:rsidRPr="0003073C" w:rsidRDefault="00F778E5" w:rsidP="007419B4">
      <w:pPr>
        <w:widowControl w:val="0"/>
        <w:autoSpaceDE w:val="0"/>
        <w:autoSpaceDN w:val="0"/>
        <w:adjustRightInd w:val="0"/>
        <w:spacing w:line="480" w:lineRule="auto"/>
        <w:ind w:hanging="640"/>
        <w:rPr>
          <w:b/>
          <w:bCs/>
          <w:lang w:val="en-US"/>
        </w:rPr>
        <w:sectPr w:rsidR="00F778E5" w:rsidRPr="0003073C" w:rsidSect="00A13DAE">
          <w:pgSz w:w="11906" w:h="16840"/>
          <w:pgMar w:top="1559" w:right="822" w:bottom="2603" w:left="1678" w:header="709" w:footer="709" w:gutter="0"/>
          <w:lnNumType w:countBy="1"/>
          <w:cols w:space="708"/>
          <w:docGrid w:linePitch="326"/>
        </w:sectPr>
      </w:pPr>
    </w:p>
    <w:p w14:paraId="2A488A7F" w14:textId="4F72291A" w:rsidR="008502C5" w:rsidRPr="0003073C" w:rsidRDefault="008502C5" w:rsidP="007419B4">
      <w:pPr>
        <w:widowControl w:val="0"/>
        <w:autoSpaceDE w:val="0"/>
        <w:autoSpaceDN w:val="0"/>
        <w:adjustRightInd w:val="0"/>
        <w:spacing w:line="480" w:lineRule="auto"/>
        <w:ind w:hanging="640"/>
        <w:rPr>
          <w:b/>
          <w:bCs/>
          <w:lang w:val="en-US"/>
        </w:rPr>
      </w:pPr>
      <w:r w:rsidRPr="0003073C">
        <w:rPr>
          <w:b/>
          <w:bCs/>
          <w:lang w:val="en-US"/>
        </w:rPr>
        <w:lastRenderedPageBreak/>
        <w:t>References</w:t>
      </w:r>
    </w:p>
    <w:p w14:paraId="057DEE53" w14:textId="7BFE8731" w:rsidR="0019034B" w:rsidRPr="0003073C" w:rsidRDefault="008502C5" w:rsidP="0019034B">
      <w:pPr>
        <w:widowControl w:val="0"/>
        <w:autoSpaceDE w:val="0"/>
        <w:autoSpaceDN w:val="0"/>
        <w:adjustRightInd w:val="0"/>
        <w:spacing w:line="480" w:lineRule="auto"/>
        <w:ind w:left="640" w:hanging="640"/>
        <w:rPr>
          <w:noProof/>
          <w:lang w:val="en-US"/>
        </w:rPr>
      </w:pPr>
      <w:r w:rsidRPr="0003073C">
        <w:rPr>
          <w:lang w:val="en-US"/>
        </w:rPr>
        <w:fldChar w:fldCharType="begin" w:fldLock="1"/>
      </w:r>
      <w:r w:rsidRPr="0003073C">
        <w:rPr>
          <w:lang w:val="en-US"/>
        </w:rPr>
        <w:instrText xml:space="preserve">ADDIN Mendeley Bibliography CSL_BIBLIOGRAPHY </w:instrText>
      </w:r>
      <w:r w:rsidRPr="0003073C">
        <w:rPr>
          <w:lang w:val="en-US"/>
        </w:rPr>
        <w:fldChar w:fldCharType="separate"/>
      </w:r>
      <w:r w:rsidR="0019034B" w:rsidRPr="0003073C">
        <w:rPr>
          <w:noProof/>
          <w:lang w:val="en-US"/>
        </w:rPr>
        <w:t xml:space="preserve">1. </w:t>
      </w:r>
      <w:r w:rsidR="0019034B" w:rsidRPr="0003073C">
        <w:rPr>
          <w:noProof/>
          <w:lang w:val="en-US"/>
        </w:rPr>
        <w:tab/>
        <w:t xml:space="preserve">Ponikowski P, Voors AA, Anker SD, Bueno H, Cleland JGF, Coats AJS, Falk V, González-Juanatey JR, Harjola V-P, Jankowska EA, Jessup M, Linde C, Nihoyannopoulos P, Parissis JT, Pieske B, Riley JP, Rosano GMC, Ruilope LM, Ruschitzka F, Rutten FH, Meer P van der, Authors/Task Force Members, Document Reviewers. 2016 ESC Guidelines for the diagnosis and treatment of acute and chronic heart failure: The Task Force for the diagnosis and treatment of acute and chronic heart failure of the European Society of Cardiology (ESC). Developed with the special contribution. </w:t>
      </w:r>
      <w:r w:rsidR="0019034B" w:rsidRPr="0003073C">
        <w:rPr>
          <w:i/>
          <w:iCs/>
          <w:noProof/>
          <w:lang w:val="en-US"/>
        </w:rPr>
        <w:t>Eur J Heart Fail</w:t>
      </w:r>
      <w:r w:rsidR="0019034B" w:rsidRPr="0003073C">
        <w:rPr>
          <w:noProof/>
          <w:lang w:val="en-US"/>
        </w:rPr>
        <w:t xml:space="preserve"> 2016;</w:t>
      </w:r>
      <w:r w:rsidR="0019034B" w:rsidRPr="0003073C">
        <w:rPr>
          <w:b/>
          <w:bCs/>
          <w:noProof/>
          <w:lang w:val="en-US"/>
        </w:rPr>
        <w:t>18</w:t>
      </w:r>
      <w:r w:rsidR="0019034B" w:rsidRPr="0003073C">
        <w:rPr>
          <w:noProof/>
          <w:lang w:val="en-US"/>
        </w:rPr>
        <w:t xml:space="preserve">:891–975. </w:t>
      </w:r>
    </w:p>
    <w:p w14:paraId="4B2C8B8B"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 </w:t>
      </w:r>
      <w:r w:rsidRPr="0003073C">
        <w:rPr>
          <w:noProof/>
          <w:lang w:val="en-US"/>
        </w:rPr>
        <w:tab/>
        <w:t xml:space="preserve">Yancy CW, Jessup M, Bozkurt B, Butler J, Casey DE, Colvin MM, Drazner MH, Filippatos GS, Fonarow GC, Givertz MM, Hollenberg SM, Lindenfeld J, Masoudi FA, McBride PE, Peterson PN, Stevenson LW, Westlake C. 2017 ACC/AHA/HFSA Focused Update of the 2013 ACCF/AHA Guideline for the Management of Heart Failure: A Report of the American College of Cardiology/American Heart Association Task Force on Clinical Practice Guidelines and the Heart Failure Society of Amer. </w:t>
      </w:r>
      <w:r w:rsidRPr="0003073C">
        <w:rPr>
          <w:i/>
          <w:iCs/>
          <w:noProof/>
          <w:lang w:val="en-US"/>
        </w:rPr>
        <w:t>Circulation</w:t>
      </w:r>
      <w:r w:rsidRPr="0003073C">
        <w:rPr>
          <w:noProof/>
          <w:lang w:val="en-US"/>
        </w:rPr>
        <w:t xml:space="preserve"> 2017;</w:t>
      </w:r>
      <w:r w:rsidRPr="0003073C">
        <w:rPr>
          <w:b/>
          <w:bCs/>
          <w:noProof/>
          <w:lang w:val="en-US"/>
        </w:rPr>
        <w:t>136</w:t>
      </w:r>
      <w:r w:rsidRPr="0003073C">
        <w:rPr>
          <w:noProof/>
          <w:lang w:val="en-US"/>
        </w:rPr>
        <w:t xml:space="preserve">:252–289. </w:t>
      </w:r>
    </w:p>
    <w:p w14:paraId="06F21F7A"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 </w:t>
      </w:r>
      <w:r w:rsidRPr="0003073C">
        <w:rPr>
          <w:noProof/>
          <w:lang w:val="en-US"/>
        </w:rPr>
        <w:tab/>
        <w:t xml:space="preserve">The SOLVD Investigators. Effect of enalapril on survival in patients with reduced left ventricular ejection fractions and congestive heart failure. </w:t>
      </w:r>
      <w:r w:rsidRPr="0003073C">
        <w:rPr>
          <w:i/>
          <w:iCs/>
          <w:noProof/>
          <w:lang w:val="en-US"/>
        </w:rPr>
        <w:t>N Engl J Med</w:t>
      </w:r>
      <w:r w:rsidRPr="0003073C">
        <w:rPr>
          <w:noProof/>
          <w:lang w:val="en-US"/>
        </w:rPr>
        <w:t xml:space="preserve"> 1991;</w:t>
      </w:r>
      <w:r w:rsidRPr="0003073C">
        <w:rPr>
          <w:b/>
          <w:bCs/>
          <w:noProof/>
          <w:lang w:val="en-US"/>
        </w:rPr>
        <w:t>325</w:t>
      </w:r>
      <w:r w:rsidRPr="0003073C">
        <w:rPr>
          <w:noProof/>
          <w:lang w:val="en-US"/>
        </w:rPr>
        <w:t xml:space="preserve">:293–302. </w:t>
      </w:r>
    </w:p>
    <w:p w14:paraId="11AE45D8"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 </w:t>
      </w:r>
      <w:r w:rsidRPr="0003073C">
        <w:rPr>
          <w:noProof/>
          <w:lang w:val="en-US"/>
        </w:rPr>
        <w:tab/>
        <w:t xml:space="preserve">Garg R, Yusuf S. Overview of randomized trials of angiotensin-converting enzyme inhibitors on mortality and morbidity in patients with heart failure. Collaborative Group on ACE Inhibitor Trials. </w:t>
      </w:r>
      <w:r w:rsidRPr="0003073C">
        <w:rPr>
          <w:i/>
          <w:iCs/>
          <w:noProof/>
          <w:lang w:val="en-US"/>
        </w:rPr>
        <w:t>JAMA</w:t>
      </w:r>
      <w:r w:rsidRPr="0003073C">
        <w:rPr>
          <w:noProof/>
          <w:lang w:val="en-US"/>
        </w:rPr>
        <w:t xml:space="preserve"> 1995;</w:t>
      </w:r>
      <w:r w:rsidRPr="0003073C">
        <w:rPr>
          <w:b/>
          <w:bCs/>
          <w:noProof/>
          <w:lang w:val="en-US"/>
        </w:rPr>
        <w:t>273</w:t>
      </w:r>
      <w:r w:rsidRPr="0003073C">
        <w:rPr>
          <w:noProof/>
          <w:lang w:val="en-US"/>
        </w:rPr>
        <w:t xml:space="preserve">:1450–1456. </w:t>
      </w:r>
    </w:p>
    <w:p w14:paraId="65BA1D9F"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5. </w:t>
      </w:r>
      <w:r w:rsidRPr="0003073C">
        <w:rPr>
          <w:noProof/>
          <w:lang w:val="en-US"/>
        </w:rPr>
        <w:tab/>
        <w:t xml:space="preserve">Cohn JN, Johnson G, Ziesche S, Cobb F, Francis G, Tristani F, Smith R, Dunkman WB, </w:t>
      </w:r>
      <w:r w:rsidRPr="0003073C">
        <w:rPr>
          <w:noProof/>
          <w:lang w:val="en-US"/>
        </w:rPr>
        <w:lastRenderedPageBreak/>
        <w:t xml:space="preserve">Loeb H, Wong M. A comparison of enalapril with hydralazine-isosorbide dinitrate in the treatment of chronic congestive heart failure. </w:t>
      </w:r>
      <w:r w:rsidRPr="0003073C">
        <w:rPr>
          <w:i/>
          <w:iCs/>
          <w:noProof/>
          <w:lang w:val="en-US"/>
        </w:rPr>
        <w:t>N Engl J Med</w:t>
      </w:r>
      <w:r w:rsidRPr="0003073C">
        <w:rPr>
          <w:noProof/>
          <w:lang w:val="en-US"/>
        </w:rPr>
        <w:t xml:space="preserve"> 1991;</w:t>
      </w:r>
      <w:r w:rsidRPr="0003073C">
        <w:rPr>
          <w:b/>
          <w:bCs/>
          <w:noProof/>
          <w:lang w:val="en-US"/>
        </w:rPr>
        <w:t>325</w:t>
      </w:r>
      <w:r w:rsidRPr="0003073C">
        <w:rPr>
          <w:noProof/>
          <w:lang w:val="en-US"/>
        </w:rPr>
        <w:t xml:space="preserve">:303–310. </w:t>
      </w:r>
    </w:p>
    <w:p w14:paraId="300F58C5"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6. </w:t>
      </w:r>
      <w:r w:rsidRPr="0003073C">
        <w:rPr>
          <w:noProof/>
          <w:lang w:val="en-US"/>
        </w:rPr>
        <w:tab/>
        <w:t xml:space="preserve">Packer M, Bristow MR, Cohn JN, Colucci WS, Fowler MB, Gilbert EM, Shusterman NH. The effect of carvedilol on morbidity and mortality in patients with chronic heart failure. U.S. Carvedilol Heart Failure Study Group. </w:t>
      </w:r>
      <w:r w:rsidRPr="0003073C">
        <w:rPr>
          <w:i/>
          <w:iCs/>
          <w:noProof/>
          <w:lang w:val="en-US"/>
        </w:rPr>
        <w:t>N Engl J Med</w:t>
      </w:r>
      <w:r w:rsidRPr="0003073C">
        <w:rPr>
          <w:noProof/>
          <w:lang w:val="en-US"/>
        </w:rPr>
        <w:t xml:space="preserve"> 1996;</w:t>
      </w:r>
      <w:r w:rsidRPr="0003073C">
        <w:rPr>
          <w:b/>
          <w:bCs/>
          <w:noProof/>
          <w:lang w:val="en-US"/>
        </w:rPr>
        <w:t>334</w:t>
      </w:r>
      <w:r w:rsidRPr="0003073C">
        <w:rPr>
          <w:noProof/>
          <w:lang w:val="en-US"/>
        </w:rPr>
        <w:t xml:space="preserve">:1349–1355. </w:t>
      </w:r>
    </w:p>
    <w:p w14:paraId="57CD48A5"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7. </w:t>
      </w:r>
      <w:r w:rsidRPr="0003073C">
        <w:rPr>
          <w:noProof/>
          <w:lang w:val="en-US"/>
        </w:rPr>
        <w:tab/>
        <w:t xml:space="preserve">Hjalmarson A, Goldstein S, Fagerberg B, Wedel H, Waagstein F, Kjekshus J, Wikstrand J, Allaf D El, Vítovec J, Aldershvile J, Halinen M, Dietz R, Neuhaus KL, Jánosi A, Thorgeirsson G, Dunselman PH, Gullestad L, Kuch J, Herlitz J, Rickenbacher P, Ball S, Gottlieb S, Deedwania P. Effects of controlled-release metoprolol on total mortality, hospitalizations, and well-being in patients with heart failure: the Metoprolol CR/XL Randomized Intervention Trial in congestive heart failure (MERIT-HF). MERIT-HF Study Group. </w:t>
      </w:r>
      <w:r w:rsidRPr="0003073C">
        <w:rPr>
          <w:i/>
          <w:iCs/>
          <w:noProof/>
          <w:lang w:val="en-US"/>
        </w:rPr>
        <w:t>JAMA</w:t>
      </w:r>
      <w:r w:rsidRPr="0003073C">
        <w:rPr>
          <w:noProof/>
          <w:lang w:val="en-US"/>
        </w:rPr>
        <w:t xml:space="preserve"> 2000;</w:t>
      </w:r>
      <w:r w:rsidRPr="0003073C">
        <w:rPr>
          <w:b/>
          <w:bCs/>
          <w:noProof/>
          <w:lang w:val="en-US"/>
        </w:rPr>
        <w:t>283</w:t>
      </w:r>
      <w:r w:rsidRPr="0003073C">
        <w:rPr>
          <w:noProof/>
          <w:lang w:val="en-US"/>
        </w:rPr>
        <w:t xml:space="preserve">:1295–1302. </w:t>
      </w:r>
    </w:p>
    <w:p w14:paraId="7968BBED"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8. </w:t>
      </w:r>
      <w:r w:rsidRPr="0003073C">
        <w:rPr>
          <w:noProof/>
          <w:lang w:val="en-US"/>
        </w:rPr>
        <w:tab/>
        <w:t xml:space="preserve">Packer M, Coats AJS, Fowler MB, Katus HA, Krum H, Mohacsi P, Rouleau JL, Tendera M, Castaigne A, Roecker EB, Schultz MK, DeMets DL, Carvedilol Prospective Randomized Cumulative Survival Study Group. Effect of carvedilol on survival in severe chronic heart failure. </w:t>
      </w:r>
      <w:r w:rsidRPr="0003073C">
        <w:rPr>
          <w:i/>
          <w:iCs/>
          <w:noProof/>
          <w:lang w:val="en-US"/>
        </w:rPr>
        <w:t>N Engl J Med</w:t>
      </w:r>
      <w:r w:rsidRPr="0003073C">
        <w:rPr>
          <w:noProof/>
          <w:lang w:val="en-US"/>
        </w:rPr>
        <w:t xml:space="preserve"> 2001;</w:t>
      </w:r>
      <w:r w:rsidRPr="0003073C">
        <w:rPr>
          <w:b/>
          <w:bCs/>
          <w:noProof/>
          <w:lang w:val="en-US"/>
        </w:rPr>
        <w:t>344</w:t>
      </w:r>
      <w:r w:rsidRPr="0003073C">
        <w:rPr>
          <w:noProof/>
          <w:lang w:val="en-US"/>
        </w:rPr>
        <w:t xml:space="preserve">:1651–1658. </w:t>
      </w:r>
    </w:p>
    <w:p w14:paraId="41FE7912"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9. </w:t>
      </w:r>
      <w:r w:rsidRPr="0003073C">
        <w:rPr>
          <w:noProof/>
          <w:lang w:val="en-US"/>
        </w:rPr>
        <w:tab/>
        <w:t xml:space="preserve">Poole-Wilson P a, Swedberg K, Cleland JGF, Lenarda A Di, Hanrath P, Komajda M, Lubsen J, Lutiger B, Metra M, Remme WJ, Torp-Pedersen C, Scherhag A, Skene A, Carvedilol Or Metoprolol European Trial Investigators. Comparison of carvedilol and metoprolol on clinical outcomes in patients with chronic heart failure in the Carvedilol Or Metoprolol European Trial (COMET): randomised controlled trial. </w:t>
      </w:r>
      <w:r w:rsidRPr="0003073C">
        <w:rPr>
          <w:i/>
          <w:iCs/>
          <w:noProof/>
          <w:lang w:val="en-US"/>
        </w:rPr>
        <w:t>Lancet (London, England)</w:t>
      </w:r>
      <w:r w:rsidRPr="0003073C">
        <w:rPr>
          <w:noProof/>
          <w:lang w:val="en-US"/>
        </w:rPr>
        <w:t xml:space="preserve"> 2003;</w:t>
      </w:r>
      <w:r w:rsidRPr="0003073C">
        <w:rPr>
          <w:b/>
          <w:bCs/>
          <w:noProof/>
          <w:lang w:val="en-US"/>
        </w:rPr>
        <w:t>362</w:t>
      </w:r>
      <w:r w:rsidRPr="0003073C">
        <w:rPr>
          <w:noProof/>
          <w:lang w:val="en-US"/>
        </w:rPr>
        <w:t xml:space="preserve">:7–13. </w:t>
      </w:r>
    </w:p>
    <w:p w14:paraId="5A7778AF"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10. </w:t>
      </w:r>
      <w:r w:rsidRPr="0003073C">
        <w:rPr>
          <w:noProof/>
          <w:lang w:val="en-US"/>
        </w:rPr>
        <w:tab/>
        <w:t xml:space="preserve">CIBIS-II Investigators and Committees. The Cardiac Insufficiency Bisoprolol Study II </w:t>
      </w:r>
      <w:r w:rsidRPr="0003073C">
        <w:rPr>
          <w:noProof/>
          <w:lang w:val="en-US"/>
        </w:rPr>
        <w:lastRenderedPageBreak/>
        <w:t xml:space="preserve">(CIBIS-II): a randomised trial. </w:t>
      </w:r>
      <w:r w:rsidRPr="0003073C">
        <w:rPr>
          <w:i/>
          <w:iCs/>
          <w:noProof/>
          <w:lang w:val="en-US"/>
        </w:rPr>
        <w:t>Lancet (London, England)</w:t>
      </w:r>
      <w:r w:rsidRPr="0003073C">
        <w:rPr>
          <w:noProof/>
          <w:lang w:val="en-US"/>
        </w:rPr>
        <w:t xml:space="preserve"> 1999;</w:t>
      </w:r>
      <w:r w:rsidRPr="0003073C">
        <w:rPr>
          <w:b/>
          <w:bCs/>
          <w:noProof/>
          <w:lang w:val="en-US"/>
        </w:rPr>
        <w:t>353</w:t>
      </w:r>
      <w:r w:rsidRPr="0003073C">
        <w:rPr>
          <w:noProof/>
          <w:lang w:val="en-US"/>
        </w:rPr>
        <w:t xml:space="preserve">:9–13. </w:t>
      </w:r>
    </w:p>
    <w:p w14:paraId="345DC6EA"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11. </w:t>
      </w:r>
      <w:r w:rsidRPr="0003073C">
        <w:rPr>
          <w:noProof/>
          <w:lang w:val="en-US"/>
        </w:rPr>
        <w:tab/>
        <w:t xml:space="preserve">Flather MD, Shibata MC, Coats AJS, Veldhuisen DJ Van, Parkhomenko A, Borbola J, Cohen-Solal A, Dumitrascu D, Ferrari R, Lechat P, Soler-Soler J, Tavazzi L, Spinarova L, Toman J, Böhm M, Anker SD, Thompson SG, Poole-Wilson PA, SENIORS Investigators. Randomized trial to determine the effect of nebivolol on mortality and cardiovascular hospital admission in elderly patients with heart failure (SENIORS). </w:t>
      </w:r>
      <w:r w:rsidRPr="0003073C">
        <w:rPr>
          <w:i/>
          <w:iCs/>
          <w:noProof/>
          <w:lang w:val="en-US"/>
        </w:rPr>
        <w:t>Eur Heart J</w:t>
      </w:r>
      <w:r w:rsidRPr="0003073C">
        <w:rPr>
          <w:noProof/>
          <w:lang w:val="en-US"/>
        </w:rPr>
        <w:t xml:space="preserve"> 2005;</w:t>
      </w:r>
      <w:r w:rsidRPr="0003073C">
        <w:rPr>
          <w:b/>
          <w:bCs/>
          <w:noProof/>
          <w:lang w:val="en-US"/>
        </w:rPr>
        <w:t>26</w:t>
      </w:r>
      <w:r w:rsidRPr="0003073C">
        <w:rPr>
          <w:noProof/>
          <w:lang w:val="en-US"/>
        </w:rPr>
        <w:t xml:space="preserve">:215–225. </w:t>
      </w:r>
    </w:p>
    <w:p w14:paraId="0CA4C3B8"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12. </w:t>
      </w:r>
      <w:r w:rsidRPr="0003073C">
        <w:rPr>
          <w:noProof/>
          <w:lang w:val="en-US"/>
        </w:rPr>
        <w:tab/>
        <w:t xml:space="preserve">The CONSENSUS Trial Study Group. Effects of enalapril on mortality in severe congestive heart failure. Results of the Cooperative North Scandinavian Enalapril Survival Study (CONSENSUS). </w:t>
      </w:r>
      <w:r w:rsidRPr="0003073C">
        <w:rPr>
          <w:i/>
          <w:iCs/>
          <w:noProof/>
          <w:lang w:val="en-US"/>
        </w:rPr>
        <w:t>N Engl J Med</w:t>
      </w:r>
      <w:r w:rsidRPr="0003073C">
        <w:rPr>
          <w:noProof/>
          <w:lang w:val="en-US"/>
        </w:rPr>
        <w:t xml:space="preserve"> 1987;</w:t>
      </w:r>
      <w:r w:rsidRPr="0003073C">
        <w:rPr>
          <w:b/>
          <w:bCs/>
          <w:noProof/>
          <w:lang w:val="en-US"/>
        </w:rPr>
        <w:t>316</w:t>
      </w:r>
      <w:r w:rsidRPr="0003073C">
        <w:rPr>
          <w:noProof/>
          <w:lang w:val="en-US"/>
        </w:rPr>
        <w:t xml:space="preserve">:1429–1435. </w:t>
      </w:r>
    </w:p>
    <w:p w14:paraId="27F532FA"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13. </w:t>
      </w:r>
      <w:r w:rsidRPr="0003073C">
        <w:rPr>
          <w:noProof/>
          <w:lang w:val="en-US"/>
        </w:rPr>
        <w:tab/>
        <w:t xml:space="preserve">The SOLVD Investigators. Effect of enalapril on mortality and the development of heart failure in asymptomatic patients with reduced left ventricular ejection fractions. </w:t>
      </w:r>
      <w:r w:rsidRPr="0003073C">
        <w:rPr>
          <w:i/>
          <w:iCs/>
          <w:noProof/>
          <w:lang w:val="en-US"/>
        </w:rPr>
        <w:t>N Engl J Med</w:t>
      </w:r>
      <w:r w:rsidRPr="0003073C">
        <w:rPr>
          <w:noProof/>
          <w:lang w:val="en-US"/>
        </w:rPr>
        <w:t xml:space="preserve"> 1992;</w:t>
      </w:r>
      <w:r w:rsidRPr="0003073C">
        <w:rPr>
          <w:b/>
          <w:bCs/>
          <w:noProof/>
          <w:lang w:val="en-US"/>
        </w:rPr>
        <w:t>327</w:t>
      </w:r>
      <w:r w:rsidRPr="0003073C">
        <w:rPr>
          <w:noProof/>
          <w:lang w:val="en-US"/>
        </w:rPr>
        <w:t xml:space="preserve">:685–691. </w:t>
      </w:r>
    </w:p>
    <w:p w14:paraId="04B15F17"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14. </w:t>
      </w:r>
      <w:r w:rsidRPr="0003073C">
        <w:rPr>
          <w:noProof/>
          <w:lang w:val="en-US"/>
        </w:rPr>
        <w:tab/>
        <w:t xml:space="preserve">Packer M, Poole-Wilson P a., Armstrong PW, Cleland JG, Horowitz JD, Massie BM, Rydén L, Thygesen K, Uretsky BF. Comparative effects of low and high doses of the angiotensin-converting enzyme inhibitor, lisinopril, on morbidity and mortality in chronic heart failure. ATLAS Study Group. </w:t>
      </w:r>
      <w:r w:rsidRPr="0003073C">
        <w:rPr>
          <w:i/>
          <w:iCs/>
          <w:noProof/>
          <w:lang w:val="en-US"/>
        </w:rPr>
        <w:t>Circulation</w:t>
      </w:r>
      <w:r w:rsidRPr="0003073C">
        <w:rPr>
          <w:noProof/>
          <w:lang w:val="en-US"/>
        </w:rPr>
        <w:t xml:space="preserve"> 1999;</w:t>
      </w:r>
      <w:r w:rsidRPr="0003073C">
        <w:rPr>
          <w:b/>
          <w:bCs/>
          <w:noProof/>
          <w:lang w:val="en-US"/>
        </w:rPr>
        <w:t>100</w:t>
      </w:r>
      <w:r w:rsidRPr="0003073C">
        <w:rPr>
          <w:noProof/>
          <w:lang w:val="en-US"/>
        </w:rPr>
        <w:t xml:space="preserve">:2312–2318. </w:t>
      </w:r>
    </w:p>
    <w:p w14:paraId="2399A6A9"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15. </w:t>
      </w:r>
      <w:r w:rsidRPr="0003073C">
        <w:rPr>
          <w:noProof/>
          <w:lang w:val="en-US"/>
        </w:rPr>
        <w:tab/>
        <w:t xml:space="preserve">Bristow MR, Gilbert EM, Abraham WT, Adams KF, Fowler MB, Hershberger RE, Kubo SH, Narahara KA, Ingersoll H, Krueger S, Young S, Shusterman N. Carvedilol produces dose-related improvements in left ventricular function and survival in subjects with chronic heart failure. MOCHA Investigators. </w:t>
      </w:r>
      <w:r w:rsidRPr="0003073C">
        <w:rPr>
          <w:i/>
          <w:iCs/>
          <w:noProof/>
          <w:lang w:val="en-US"/>
        </w:rPr>
        <w:t>Circulation</w:t>
      </w:r>
      <w:r w:rsidRPr="0003073C">
        <w:rPr>
          <w:noProof/>
          <w:lang w:val="en-US"/>
        </w:rPr>
        <w:t xml:space="preserve"> 1996;</w:t>
      </w:r>
      <w:r w:rsidRPr="0003073C">
        <w:rPr>
          <w:b/>
          <w:bCs/>
          <w:noProof/>
          <w:lang w:val="en-US"/>
        </w:rPr>
        <w:t>94</w:t>
      </w:r>
      <w:r w:rsidRPr="0003073C">
        <w:rPr>
          <w:noProof/>
          <w:lang w:val="en-US"/>
        </w:rPr>
        <w:t xml:space="preserve">:2807–2816. </w:t>
      </w:r>
    </w:p>
    <w:p w14:paraId="589B68CD"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16. </w:t>
      </w:r>
      <w:r w:rsidRPr="0003073C">
        <w:rPr>
          <w:noProof/>
          <w:lang w:val="en-US"/>
        </w:rPr>
        <w:tab/>
        <w:t xml:space="preserve">Konstam MA, Neaton JD, Dickstein K, Drexler H, Komajda M, Martinez FA, Riegger GAJ, Malbecq W, Smith RD, Guptha S, Poole-Wilson PA, HEAAL Investigators. Effects </w:t>
      </w:r>
      <w:r w:rsidRPr="0003073C">
        <w:rPr>
          <w:noProof/>
          <w:lang w:val="en-US"/>
        </w:rPr>
        <w:lastRenderedPageBreak/>
        <w:t xml:space="preserve">of high-dose versus low-dose losartan on clinical outcomes in patients with heart failure (HEAAL study): a randomised, double-blind trial. </w:t>
      </w:r>
      <w:r w:rsidRPr="0003073C">
        <w:rPr>
          <w:i/>
          <w:iCs/>
          <w:noProof/>
          <w:lang w:val="en-US"/>
        </w:rPr>
        <w:t>Lancet (London, England)</w:t>
      </w:r>
      <w:r w:rsidRPr="0003073C">
        <w:rPr>
          <w:noProof/>
          <w:lang w:val="en-US"/>
        </w:rPr>
        <w:t xml:space="preserve"> Elsevier Ltd; 2009;</w:t>
      </w:r>
      <w:r w:rsidRPr="0003073C">
        <w:rPr>
          <w:b/>
          <w:bCs/>
          <w:noProof/>
          <w:lang w:val="en-US"/>
        </w:rPr>
        <w:t>374</w:t>
      </w:r>
      <w:r w:rsidRPr="0003073C">
        <w:rPr>
          <w:noProof/>
          <w:lang w:val="en-US"/>
        </w:rPr>
        <w:t xml:space="preserve">:1840–1848. </w:t>
      </w:r>
    </w:p>
    <w:p w14:paraId="5D105E48"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17. </w:t>
      </w:r>
      <w:r w:rsidRPr="0003073C">
        <w:rPr>
          <w:noProof/>
          <w:lang w:val="en-US"/>
        </w:rPr>
        <w:tab/>
        <w:t xml:space="preserve">Cleland JGF. Contemporary management of heart failure in clinical practice. </w:t>
      </w:r>
      <w:r w:rsidRPr="0003073C">
        <w:rPr>
          <w:i/>
          <w:iCs/>
          <w:noProof/>
          <w:lang w:val="en-US"/>
        </w:rPr>
        <w:t>Heart</w:t>
      </w:r>
      <w:r w:rsidRPr="0003073C">
        <w:rPr>
          <w:noProof/>
          <w:lang w:val="en-US"/>
        </w:rPr>
        <w:t xml:space="preserve"> 2002;</w:t>
      </w:r>
      <w:r w:rsidRPr="0003073C">
        <w:rPr>
          <w:b/>
          <w:bCs/>
          <w:noProof/>
          <w:lang w:val="en-US"/>
        </w:rPr>
        <w:t>88 Suppl 2</w:t>
      </w:r>
      <w:r w:rsidRPr="0003073C">
        <w:rPr>
          <w:noProof/>
          <w:lang w:val="en-US"/>
        </w:rPr>
        <w:t xml:space="preserve">:ii5-8. </w:t>
      </w:r>
    </w:p>
    <w:p w14:paraId="57FDD9E1"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18. </w:t>
      </w:r>
      <w:r w:rsidRPr="0003073C">
        <w:rPr>
          <w:noProof/>
          <w:lang w:val="en-US"/>
        </w:rPr>
        <w:tab/>
        <w:t xml:space="preserve">Komajda M, Follath F, Swedberg K, Cleland J, Aguilar JC, Cohen-Solal A, Dietz R, Gavazzi A, Gilst WH Van, Hobbs R, Korewicki J, Madeira HC, Moiseyev VS, Preda I, Widimsky J, Freemantle N, Eastaugh J, Mason J, Study Group on Diagnosis of the Working Group on Heart Failure of the European Society of Cardiology. The EuroHeart Failure Survey programme--a survey on the quality of care among patients with heart failure in Europe. Part 2: treatment. </w:t>
      </w:r>
      <w:r w:rsidRPr="0003073C">
        <w:rPr>
          <w:i/>
          <w:iCs/>
          <w:noProof/>
          <w:lang w:val="en-US"/>
        </w:rPr>
        <w:t>Eur Heart J</w:t>
      </w:r>
      <w:r w:rsidRPr="0003073C">
        <w:rPr>
          <w:noProof/>
          <w:lang w:val="en-US"/>
        </w:rPr>
        <w:t xml:space="preserve"> 2003;</w:t>
      </w:r>
      <w:r w:rsidRPr="0003073C">
        <w:rPr>
          <w:b/>
          <w:bCs/>
          <w:noProof/>
          <w:lang w:val="en-US"/>
        </w:rPr>
        <w:t>24</w:t>
      </w:r>
      <w:r w:rsidRPr="0003073C">
        <w:rPr>
          <w:noProof/>
          <w:lang w:val="en-US"/>
        </w:rPr>
        <w:t xml:space="preserve">:464–474. </w:t>
      </w:r>
    </w:p>
    <w:p w14:paraId="409C71E4"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19. </w:t>
      </w:r>
      <w:r w:rsidRPr="0003073C">
        <w:rPr>
          <w:noProof/>
          <w:lang w:val="en-US"/>
        </w:rPr>
        <w:tab/>
        <w:t xml:space="preserve">Kalra PR, Morley C, Barnes S, Menown I, Kassianos G, Padmanabhan S, Gupta S, Lang CC. Discontinuation of beta-blockers in cardiovascular disease: UK primary care cohort study. </w:t>
      </w:r>
      <w:r w:rsidRPr="0003073C">
        <w:rPr>
          <w:i/>
          <w:iCs/>
          <w:noProof/>
          <w:lang w:val="en-US"/>
        </w:rPr>
        <w:t>Int J Cardiol</w:t>
      </w:r>
      <w:r w:rsidRPr="0003073C">
        <w:rPr>
          <w:noProof/>
          <w:lang w:val="en-US"/>
        </w:rPr>
        <w:t xml:space="preserve"> Elsevier Ireland Ltd; 2013;</w:t>
      </w:r>
      <w:r w:rsidRPr="0003073C">
        <w:rPr>
          <w:b/>
          <w:bCs/>
          <w:noProof/>
          <w:lang w:val="en-US"/>
        </w:rPr>
        <w:t>167</w:t>
      </w:r>
      <w:r w:rsidRPr="0003073C">
        <w:rPr>
          <w:noProof/>
          <w:lang w:val="en-US"/>
        </w:rPr>
        <w:t xml:space="preserve">:2695–2699. </w:t>
      </w:r>
    </w:p>
    <w:p w14:paraId="4CCA19E9"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20. </w:t>
      </w:r>
      <w:r w:rsidRPr="0003073C">
        <w:rPr>
          <w:noProof/>
          <w:lang w:val="en-US"/>
        </w:rPr>
        <w:tab/>
        <w:t xml:space="preserve">Teng T-HK, Tromp J, Tay WT, Anand I, Ouwerkerk W, Chopra V, Wander GS, Yap JJ, MacDonald MR, Xu CF, Chia YM, Shimizu W, ASIAN-HF investigators, Richards AM, Voors A, Lam CS. Prescribing patterns of evidence-based heart failure pharmacotherapy and outcomes in the ASIAN-HF registry: a cohort study. </w:t>
      </w:r>
      <w:r w:rsidRPr="0003073C">
        <w:rPr>
          <w:i/>
          <w:iCs/>
          <w:noProof/>
          <w:lang w:val="en-US"/>
        </w:rPr>
        <w:t>Lancet Glob Heal</w:t>
      </w:r>
      <w:r w:rsidRPr="0003073C">
        <w:rPr>
          <w:noProof/>
          <w:lang w:val="en-US"/>
        </w:rPr>
        <w:t xml:space="preserve"> The Author(s). Published by Elsevier Ltd. This is an open access article under the CC BY-NC-ND 4.0 license; 2018;</w:t>
      </w:r>
      <w:r w:rsidRPr="0003073C">
        <w:rPr>
          <w:b/>
          <w:bCs/>
          <w:noProof/>
          <w:lang w:val="en-US"/>
        </w:rPr>
        <w:t>6</w:t>
      </w:r>
      <w:r w:rsidRPr="0003073C">
        <w:rPr>
          <w:noProof/>
          <w:lang w:val="en-US"/>
        </w:rPr>
        <w:t xml:space="preserve">:e1008–e1018. </w:t>
      </w:r>
    </w:p>
    <w:p w14:paraId="0050D092"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rPr>
        <w:t xml:space="preserve">21. </w:t>
      </w:r>
      <w:r w:rsidRPr="0003073C">
        <w:rPr>
          <w:noProof/>
        </w:rPr>
        <w:tab/>
        <w:t xml:space="preserve">Ouwerkerk W, Voors AA, Anker SD, Cleland JG, Dickstein K, Filippatos G, Harst P Van Der, Hillege HL, Lang CC, Maaten JM Ter, Ng LL, Ponikowski P, Samani NJ, Veldhuisen DJ Van, Zannad F, Metra M, Zwinderman AH. </w:t>
      </w:r>
      <w:r w:rsidRPr="0003073C">
        <w:rPr>
          <w:noProof/>
          <w:lang w:val="en-US"/>
        </w:rPr>
        <w:t xml:space="preserve">Determinants and clinical outcome of </w:t>
      </w:r>
      <w:r w:rsidRPr="0003073C">
        <w:rPr>
          <w:noProof/>
          <w:lang w:val="en-US"/>
        </w:rPr>
        <w:lastRenderedPageBreak/>
        <w:t xml:space="preserve">uptitration of ACE-inhibitors and beta-blockers in patients with heart failure: A prospective European study. </w:t>
      </w:r>
      <w:r w:rsidRPr="0003073C">
        <w:rPr>
          <w:i/>
          <w:iCs/>
          <w:noProof/>
          <w:lang w:val="en-US"/>
        </w:rPr>
        <w:t>Eur Heart J</w:t>
      </w:r>
      <w:r w:rsidRPr="0003073C">
        <w:rPr>
          <w:noProof/>
          <w:lang w:val="en-US"/>
        </w:rPr>
        <w:t xml:space="preserve"> 2017;</w:t>
      </w:r>
      <w:r w:rsidRPr="0003073C">
        <w:rPr>
          <w:b/>
          <w:bCs/>
          <w:noProof/>
          <w:lang w:val="en-US"/>
        </w:rPr>
        <w:t>38</w:t>
      </w:r>
      <w:r w:rsidRPr="0003073C">
        <w:rPr>
          <w:noProof/>
          <w:lang w:val="en-US"/>
        </w:rPr>
        <w:t xml:space="preserve">:1883–1890. </w:t>
      </w:r>
    </w:p>
    <w:p w14:paraId="375E2B1C"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22. </w:t>
      </w:r>
      <w:r w:rsidRPr="0003073C">
        <w:rPr>
          <w:noProof/>
          <w:lang w:val="en-US"/>
        </w:rPr>
        <w:tab/>
        <w:t xml:space="preserve">DeVore AD, Thomas L, Albert NM, Butler J, Hernandez AF, Patterson JH, Spertus JA, Williams FB, Turner SJ, Chan WW, Duffy CI, McCague K, Mi X, Fonarow GC. Change the management of patients with heart failure: Rationale and design of the CHAMP-HF registry. </w:t>
      </w:r>
      <w:r w:rsidRPr="0003073C">
        <w:rPr>
          <w:i/>
          <w:iCs/>
          <w:noProof/>
          <w:lang w:val="en-US"/>
        </w:rPr>
        <w:t>Am Heart J</w:t>
      </w:r>
      <w:r w:rsidRPr="0003073C">
        <w:rPr>
          <w:noProof/>
          <w:lang w:val="en-US"/>
        </w:rPr>
        <w:t xml:space="preserve"> Elsevier Inc.; 2017;</w:t>
      </w:r>
      <w:r w:rsidRPr="0003073C">
        <w:rPr>
          <w:b/>
          <w:bCs/>
          <w:noProof/>
          <w:lang w:val="en-US"/>
        </w:rPr>
        <w:t>189</w:t>
      </w:r>
      <w:r w:rsidRPr="0003073C">
        <w:rPr>
          <w:noProof/>
          <w:lang w:val="en-US"/>
        </w:rPr>
        <w:t xml:space="preserve">:177–183. </w:t>
      </w:r>
    </w:p>
    <w:p w14:paraId="32A8A23F"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23. </w:t>
      </w:r>
      <w:r w:rsidRPr="0003073C">
        <w:rPr>
          <w:noProof/>
          <w:lang w:val="en-US"/>
        </w:rPr>
        <w:tab/>
        <w:t xml:space="preserve">Voors AA, Anker SD, Cleland JG, Dickstein K, Filippatos G, Harst P van der, Hillege HL, Lang CC, Maaten JM Ter, Ng L, Ponikowski P, Samani NJ, Veldhuisen DJ van, Zannad F, Zwinderman AH, Metra M. A systems BIOlogy Study to TAilored Treatment in Chronic Heart Failure: rationale, design, and baseline characteristics of BIOSTAT-CHF. </w:t>
      </w:r>
      <w:r w:rsidRPr="0003073C">
        <w:rPr>
          <w:i/>
          <w:iCs/>
          <w:noProof/>
          <w:lang w:val="en-US"/>
        </w:rPr>
        <w:t>Eur J Heart Fail</w:t>
      </w:r>
      <w:r w:rsidRPr="0003073C">
        <w:rPr>
          <w:noProof/>
          <w:lang w:val="en-US"/>
        </w:rPr>
        <w:t xml:space="preserve"> 2016;</w:t>
      </w:r>
      <w:r w:rsidRPr="0003073C">
        <w:rPr>
          <w:b/>
          <w:bCs/>
          <w:noProof/>
          <w:lang w:val="en-US"/>
        </w:rPr>
        <w:t>18</w:t>
      </w:r>
      <w:r w:rsidRPr="0003073C">
        <w:rPr>
          <w:noProof/>
          <w:lang w:val="en-US"/>
        </w:rPr>
        <w:t xml:space="preserve">:716–726. </w:t>
      </w:r>
    </w:p>
    <w:p w14:paraId="0A652148"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24. </w:t>
      </w:r>
      <w:r w:rsidRPr="0003073C">
        <w:rPr>
          <w:noProof/>
          <w:lang w:val="en-US"/>
        </w:rPr>
        <w:tab/>
        <w:t xml:space="preserve">Lam CSP, Teng THK, Tay WT, Anand I, Zhang S, Shimizu W, Narasimhan C, Park SW, Yu CM, Ngarmukos T, Omar R, Reyes EB, Siswanto AB, Hung CL, Ling LH, Yap J, MacDonald M, Richards AM. Regional and ethnic differences among patients with heart failure in Asia: The Asian sudden cardiac death in heart failure registry. </w:t>
      </w:r>
      <w:r w:rsidRPr="0003073C">
        <w:rPr>
          <w:i/>
          <w:iCs/>
          <w:noProof/>
          <w:lang w:val="en-US"/>
        </w:rPr>
        <w:t>Eur Heart J</w:t>
      </w:r>
      <w:r w:rsidRPr="0003073C">
        <w:rPr>
          <w:noProof/>
          <w:lang w:val="en-US"/>
        </w:rPr>
        <w:t xml:space="preserve"> 2016;</w:t>
      </w:r>
      <w:r w:rsidRPr="0003073C">
        <w:rPr>
          <w:b/>
          <w:bCs/>
          <w:noProof/>
          <w:lang w:val="en-US"/>
        </w:rPr>
        <w:t>37</w:t>
      </w:r>
      <w:r w:rsidRPr="0003073C">
        <w:rPr>
          <w:noProof/>
          <w:lang w:val="en-US"/>
        </w:rPr>
        <w:t xml:space="preserve">:3141–3153. </w:t>
      </w:r>
    </w:p>
    <w:p w14:paraId="64BA8B30"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25. </w:t>
      </w:r>
      <w:r w:rsidRPr="0003073C">
        <w:rPr>
          <w:noProof/>
          <w:lang w:val="en-US"/>
        </w:rPr>
        <w:tab/>
        <w:t xml:space="preserve">Lam CSP, Anand I, Zhang S, Shimizu W, Narasimhan C, Park SW, Yu CM, Ngarmukos T, Omar R, Reyes EB, Siswanto B, Ling LH, Richards AM. Asian Sudden Cardiac Death in Heart Failure (ASIAN-HF) registry. </w:t>
      </w:r>
      <w:r w:rsidRPr="0003073C">
        <w:rPr>
          <w:i/>
          <w:iCs/>
          <w:noProof/>
          <w:lang w:val="en-US"/>
        </w:rPr>
        <w:t>Eur J Heart Fail</w:t>
      </w:r>
      <w:r w:rsidRPr="0003073C">
        <w:rPr>
          <w:noProof/>
          <w:lang w:val="en-US"/>
        </w:rPr>
        <w:t xml:space="preserve"> 2013;</w:t>
      </w:r>
      <w:r w:rsidRPr="0003073C">
        <w:rPr>
          <w:b/>
          <w:bCs/>
          <w:noProof/>
          <w:lang w:val="en-US"/>
        </w:rPr>
        <w:t>15</w:t>
      </w:r>
      <w:r w:rsidRPr="0003073C">
        <w:rPr>
          <w:noProof/>
          <w:lang w:val="en-US"/>
        </w:rPr>
        <w:t xml:space="preserve">:928–936. </w:t>
      </w:r>
    </w:p>
    <w:p w14:paraId="637AADF1"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26. </w:t>
      </w:r>
      <w:r w:rsidRPr="0003073C">
        <w:rPr>
          <w:noProof/>
          <w:lang w:val="en-US"/>
        </w:rPr>
        <w:tab/>
        <w:t xml:space="preserve">Tromp J, Tay WT, Ouwerkerk W, Teng T-HK, Yap J, MacDonald MR, Leineweber K, McMurray JJ V., Zile MR, Anand IS, Lam CSP. Multimorbidity in patients with heart failure from 11 Asian regions: A prospective cohort study using the ASIAN-HF registry. Rahimi K, ed. </w:t>
      </w:r>
      <w:r w:rsidRPr="0003073C">
        <w:rPr>
          <w:i/>
          <w:iCs/>
          <w:noProof/>
          <w:lang w:val="en-US"/>
        </w:rPr>
        <w:t>PLOS Med</w:t>
      </w:r>
      <w:r w:rsidRPr="0003073C">
        <w:rPr>
          <w:noProof/>
          <w:lang w:val="en-US"/>
        </w:rPr>
        <w:t xml:space="preserve"> 2018;</w:t>
      </w:r>
      <w:r w:rsidRPr="0003073C">
        <w:rPr>
          <w:b/>
          <w:bCs/>
          <w:noProof/>
          <w:lang w:val="en-US"/>
        </w:rPr>
        <w:t>15</w:t>
      </w:r>
      <w:r w:rsidRPr="0003073C">
        <w:rPr>
          <w:noProof/>
          <w:lang w:val="en-US"/>
        </w:rPr>
        <w:t xml:space="preserve">:e1002541. </w:t>
      </w:r>
    </w:p>
    <w:p w14:paraId="746FD9E7"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lastRenderedPageBreak/>
        <w:t xml:space="preserve">27. </w:t>
      </w:r>
      <w:r w:rsidRPr="0003073C">
        <w:rPr>
          <w:noProof/>
          <w:lang w:val="en-US"/>
        </w:rPr>
        <w:tab/>
        <w:t xml:space="preserve">Dickstein K, Cohen-Solal A, Filippatos G, McMurray JJ V, Ponikowski P, Poole-Wilson PA, Strömberg A, Veldhuisen DJ van, Atar D, Hoes AW, Keren A, Mebazaa A, Nieminen M, Priori SG, Swedberg K, ESC Committee for Practice Guidelines (CPG). ESC Guidelines for the diagnosis and treatment of acute and chronic heart failure 2008: the Task Force for the Diagnosis and Treatment of Acute and Chronic Heart Failure 2008 of the European Society of Cardiology. Developed in collaboration with the Heart. </w:t>
      </w:r>
      <w:r w:rsidRPr="0003073C">
        <w:rPr>
          <w:i/>
          <w:iCs/>
          <w:noProof/>
          <w:lang w:val="en-US"/>
        </w:rPr>
        <w:t>Eur Heart J</w:t>
      </w:r>
      <w:r w:rsidRPr="0003073C">
        <w:rPr>
          <w:noProof/>
          <w:lang w:val="en-US"/>
        </w:rPr>
        <w:t xml:space="preserve"> 2008;</w:t>
      </w:r>
      <w:r w:rsidRPr="0003073C">
        <w:rPr>
          <w:b/>
          <w:bCs/>
          <w:noProof/>
          <w:lang w:val="en-US"/>
        </w:rPr>
        <w:t>29</w:t>
      </w:r>
      <w:r w:rsidRPr="0003073C">
        <w:rPr>
          <w:noProof/>
          <w:lang w:val="en-US"/>
        </w:rPr>
        <w:t xml:space="preserve">:2388–2442. </w:t>
      </w:r>
    </w:p>
    <w:p w14:paraId="02076D94"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28. </w:t>
      </w:r>
      <w:r w:rsidRPr="0003073C">
        <w:rPr>
          <w:noProof/>
          <w:lang w:val="en-US"/>
        </w:rPr>
        <w:tab/>
        <w:t xml:space="preserve">Pogue J, Walter SD, Yusuf S. Evaluating the benefit of event adjudication of cardiovascular outcomes in large simple RCTs. </w:t>
      </w:r>
      <w:r w:rsidRPr="0003073C">
        <w:rPr>
          <w:i/>
          <w:iCs/>
          <w:noProof/>
          <w:lang w:val="en-US"/>
        </w:rPr>
        <w:t>Clin Trials</w:t>
      </w:r>
      <w:r w:rsidRPr="0003073C">
        <w:rPr>
          <w:noProof/>
          <w:lang w:val="en-US"/>
        </w:rPr>
        <w:t xml:space="preserve"> 2009;</w:t>
      </w:r>
      <w:r w:rsidRPr="0003073C">
        <w:rPr>
          <w:b/>
          <w:bCs/>
          <w:noProof/>
          <w:lang w:val="en-US"/>
        </w:rPr>
        <w:t>6</w:t>
      </w:r>
      <w:r w:rsidRPr="0003073C">
        <w:rPr>
          <w:noProof/>
          <w:lang w:val="en-US"/>
        </w:rPr>
        <w:t xml:space="preserve">:239–251. </w:t>
      </w:r>
    </w:p>
    <w:p w14:paraId="72038793"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29. </w:t>
      </w:r>
      <w:r w:rsidRPr="0003073C">
        <w:rPr>
          <w:noProof/>
          <w:lang w:val="en-US"/>
        </w:rPr>
        <w:tab/>
        <w:t xml:space="preserve">Wal WM van der, Geskus RB. ipw : An R Package for Inverse Probability Weighting. </w:t>
      </w:r>
      <w:r w:rsidRPr="0003073C">
        <w:rPr>
          <w:i/>
          <w:iCs/>
          <w:noProof/>
          <w:lang w:val="en-US"/>
        </w:rPr>
        <w:t>J Stat Softw</w:t>
      </w:r>
      <w:r w:rsidRPr="0003073C">
        <w:rPr>
          <w:noProof/>
          <w:lang w:val="en-US"/>
        </w:rPr>
        <w:t xml:space="preserve"> 2011;</w:t>
      </w:r>
      <w:r w:rsidRPr="0003073C">
        <w:rPr>
          <w:b/>
          <w:bCs/>
          <w:noProof/>
          <w:lang w:val="en-US"/>
        </w:rPr>
        <w:t>43</w:t>
      </w:r>
      <w:r w:rsidRPr="0003073C">
        <w:rPr>
          <w:noProof/>
          <w:lang w:val="en-US"/>
        </w:rPr>
        <w:t xml:space="preserve">:1–22. </w:t>
      </w:r>
    </w:p>
    <w:p w14:paraId="0C75172E"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30. </w:t>
      </w:r>
      <w:r w:rsidRPr="0003073C">
        <w:rPr>
          <w:noProof/>
          <w:lang w:val="en-US"/>
        </w:rPr>
        <w:tab/>
        <w:t xml:space="preserve">Halloran ME, Berry D, eds. Statistical Models in Epidemiology, the Environment, and Clinical Trials. New York, NY: Springer New York; 2000. </w:t>
      </w:r>
    </w:p>
    <w:p w14:paraId="0307052C"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31. </w:t>
      </w:r>
      <w:r w:rsidRPr="0003073C">
        <w:rPr>
          <w:noProof/>
          <w:lang w:val="en-US"/>
        </w:rPr>
        <w:tab/>
        <w:t xml:space="preserve">McNeish DM. Using Lasso for Predictor Selection and to Assuage Overfitting: A Method Long Overlooked in Behavioral Sciences. </w:t>
      </w:r>
      <w:r w:rsidRPr="0003073C">
        <w:rPr>
          <w:i/>
          <w:iCs/>
          <w:noProof/>
          <w:lang w:val="en-US"/>
        </w:rPr>
        <w:t>Multivariate Behav Res</w:t>
      </w:r>
      <w:r w:rsidRPr="0003073C">
        <w:rPr>
          <w:noProof/>
          <w:lang w:val="en-US"/>
        </w:rPr>
        <w:t xml:space="preserve"> 2015;</w:t>
      </w:r>
      <w:r w:rsidRPr="0003073C">
        <w:rPr>
          <w:b/>
          <w:bCs/>
          <w:noProof/>
          <w:lang w:val="en-US"/>
        </w:rPr>
        <w:t>50</w:t>
      </w:r>
      <w:r w:rsidRPr="0003073C">
        <w:rPr>
          <w:noProof/>
          <w:lang w:val="en-US"/>
        </w:rPr>
        <w:t xml:space="preserve">:471–484. </w:t>
      </w:r>
    </w:p>
    <w:p w14:paraId="3F5E2B12"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32. </w:t>
      </w:r>
      <w:r w:rsidRPr="0003073C">
        <w:rPr>
          <w:noProof/>
          <w:lang w:val="en-US"/>
        </w:rPr>
        <w:tab/>
        <w:t xml:space="preserve">Tibshirani R. The lasso method for variable selection in the Cox model. </w:t>
      </w:r>
      <w:r w:rsidRPr="0003073C">
        <w:rPr>
          <w:i/>
          <w:iCs/>
          <w:noProof/>
          <w:lang w:val="en-US"/>
        </w:rPr>
        <w:t>Stat Med</w:t>
      </w:r>
      <w:r w:rsidRPr="0003073C">
        <w:rPr>
          <w:noProof/>
          <w:lang w:val="en-US"/>
        </w:rPr>
        <w:t xml:space="preserve"> 1997;</w:t>
      </w:r>
      <w:r w:rsidRPr="0003073C">
        <w:rPr>
          <w:b/>
          <w:bCs/>
          <w:noProof/>
          <w:lang w:val="en-US"/>
        </w:rPr>
        <w:t>16</w:t>
      </w:r>
      <w:r w:rsidRPr="0003073C">
        <w:rPr>
          <w:noProof/>
          <w:lang w:val="en-US"/>
        </w:rPr>
        <w:t xml:space="preserve">:385–395. </w:t>
      </w:r>
    </w:p>
    <w:p w14:paraId="1AA73353"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33. </w:t>
      </w:r>
      <w:r w:rsidRPr="0003073C">
        <w:rPr>
          <w:noProof/>
          <w:lang w:val="en-US"/>
        </w:rPr>
        <w:tab/>
        <w:t xml:space="preserve">Box GEP, Cox DR. An Analysis of Transformations Revisited, Rebutted. </w:t>
      </w:r>
      <w:r w:rsidRPr="0003073C">
        <w:rPr>
          <w:i/>
          <w:iCs/>
          <w:noProof/>
          <w:lang w:val="en-US"/>
        </w:rPr>
        <w:t>J Am Stat Assoc</w:t>
      </w:r>
      <w:r w:rsidRPr="0003073C">
        <w:rPr>
          <w:noProof/>
          <w:lang w:val="en-US"/>
        </w:rPr>
        <w:t xml:space="preserve"> 1982;</w:t>
      </w:r>
      <w:r w:rsidRPr="0003073C">
        <w:rPr>
          <w:b/>
          <w:bCs/>
          <w:noProof/>
          <w:lang w:val="en-US"/>
        </w:rPr>
        <w:t>77</w:t>
      </w:r>
      <w:r w:rsidRPr="0003073C">
        <w:rPr>
          <w:noProof/>
          <w:lang w:val="en-US"/>
        </w:rPr>
        <w:t xml:space="preserve">:209. </w:t>
      </w:r>
    </w:p>
    <w:p w14:paraId="1B68C335"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34. </w:t>
      </w:r>
      <w:r w:rsidRPr="0003073C">
        <w:rPr>
          <w:noProof/>
          <w:lang w:val="en-US"/>
        </w:rPr>
        <w:tab/>
        <w:t xml:space="preserve">Clark JE, Osborne JW, Gallagher P, Watson S. A simple method for optimising transformation of non-parametric data: an illustration by reference to cortisol assays. </w:t>
      </w:r>
      <w:r w:rsidRPr="0003073C">
        <w:rPr>
          <w:i/>
          <w:iCs/>
          <w:noProof/>
          <w:lang w:val="en-US"/>
        </w:rPr>
        <w:t>Hum Psychopharmacol</w:t>
      </w:r>
      <w:r w:rsidRPr="0003073C">
        <w:rPr>
          <w:noProof/>
          <w:lang w:val="en-US"/>
        </w:rPr>
        <w:t xml:space="preserve"> 2016;</w:t>
      </w:r>
      <w:r w:rsidRPr="0003073C">
        <w:rPr>
          <w:b/>
          <w:bCs/>
          <w:noProof/>
          <w:lang w:val="en-US"/>
        </w:rPr>
        <w:t>31</w:t>
      </w:r>
      <w:r w:rsidRPr="0003073C">
        <w:rPr>
          <w:noProof/>
          <w:lang w:val="en-US"/>
        </w:rPr>
        <w:t xml:space="preserve">:259–267. </w:t>
      </w:r>
    </w:p>
    <w:p w14:paraId="1D1589BE"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35. </w:t>
      </w:r>
      <w:r w:rsidRPr="0003073C">
        <w:rPr>
          <w:noProof/>
          <w:lang w:val="en-US"/>
        </w:rPr>
        <w:tab/>
        <w:t xml:space="preserve">Buuren S van, Groothuis-Oudshoorn K. mice : Multivariate Imputation by Chained </w:t>
      </w:r>
      <w:r w:rsidRPr="0003073C">
        <w:rPr>
          <w:noProof/>
          <w:lang w:val="en-US"/>
        </w:rPr>
        <w:lastRenderedPageBreak/>
        <w:t xml:space="preserve">Equations in R. </w:t>
      </w:r>
      <w:r w:rsidRPr="0003073C">
        <w:rPr>
          <w:i/>
          <w:iCs/>
          <w:noProof/>
          <w:lang w:val="en-US"/>
        </w:rPr>
        <w:t>J Stat Softw</w:t>
      </w:r>
      <w:r w:rsidRPr="0003073C">
        <w:rPr>
          <w:noProof/>
          <w:lang w:val="en-US"/>
        </w:rPr>
        <w:t xml:space="preserve"> 2011;</w:t>
      </w:r>
      <w:r w:rsidRPr="0003073C">
        <w:rPr>
          <w:b/>
          <w:bCs/>
          <w:noProof/>
          <w:lang w:val="en-US"/>
        </w:rPr>
        <w:t>45</w:t>
      </w:r>
      <w:r w:rsidRPr="0003073C">
        <w:rPr>
          <w:noProof/>
          <w:lang w:val="en-US"/>
        </w:rPr>
        <w:t xml:space="preserve">:1–67. </w:t>
      </w:r>
    </w:p>
    <w:p w14:paraId="5E520E6C"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36. </w:t>
      </w:r>
      <w:r w:rsidRPr="0003073C">
        <w:rPr>
          <w:noProof/>
          <w:lang w:val="en-US"/>
        </w:rPr>
        <w:tab/>
        <w:t xml:space="preserve">Hastie T, Tibshirani R, Friedman J. The Elements of Statistical Learning. New York, NY: Springer New York; 2009. </w:t>
      </w:r>
    </w:p>
    <w:p w14:paraId="0D001B41"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37. </w:t>
      </w:r>
      <w:r w:rsidRPr="0003073C">
        <w:rPr>
          <w:noProof/>
          <w:lang w:val="en-US"/>
        </w:rPr>
        <w:tab/>
        <w:t xml:space="preserve">Zou H, Hastie T. Regularization and variable selection via the elastic net. </w:t>
      </w:r>
      <w:r w:rsidRPr="0003073C">
        <w:rPr>
          <w:i/>
          <w:iCs/>
          <w:noProof/>
          <w:lang w:val="en-US"/>
        </w:rPr>
        <w:t>J R Stat Soc Ser B (Statistical Methodol</w:t>
      </w:r>
      <w:r w:rsidRPr="0003073C">
        <w:rPr>
          <w:noProof/>
          <w:lang w:val="en-US"/>
        </w:rPr>
        <w:t xml:space="preserve"> 2005;</w:t>
      </w:r>
      <w:r w:rsidRPr="0003073C">
        <w:rPr>
          <w:b/>
          <w:bCs/>
          <w:noProof/>
          <w:lang w:val="en-US"/>
        </w:rPr>
        <w:t>67</w:t>
      </w:r>
      <w:r w:rsidRPr="0003073C">
        <w:rPr>
          <w:noProof/>
          <w:lang w:val="en-US"/>
        </w:rPr>
        <w:t xml:space="preserve">:301–320. </w:t>
      </w:r>
    </w:p>
    <w:p w14:paraId="5822542B"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38. </w:t>
      </w:r>
      <w:r w:rsidRPr="0003073C">
        <w:rPr>
          <w:noProof/>
          <w:lang w:val="en-US"/>
        </w:rPr>
        <w:tab/>
        <w:t xml:space="preserve">Greene SJ, Butler J, Albert NM, DeVore AD, Sharma PP, Duffy CI, Hill CL, McCague K, Mi X, Patterson JH, Spertus JA, Thomas L, Williams FB, Hernandez AF, Fonarow GC. Medical Therapy for Heart Failure With Reduced Ejection Fraction: The CHAMP-HF Registry. </w:t>
      </w:r>
      <w:r w:rsidRPr="0003073C">
        <w:rPr>
          <w:i/>
          <w:iCs/>
          <w:noProof/>
          <w:lang w:val="en-US"/>
        </w:rPr>
        <w:t>J Am Coll Cardiol</w:t>
      </w:r>
      <w:r w:rsidRPr="0003073C">
        <w:rPr>
          <w:noProof/>
          <w:lang w:val="en-US"/>
        </w:rPr>
        <w:t xml:space="preserve"> 2018;</w:t>
      </w:r>
      <w:r w:rsidRPr="0003073C">
        <w:rPr>
          <w:b/>
          <w:bCs/>
          <w:noProof/>
          <w:lang w:val="en-US"/>
        </w:rPr>
        <w:t>72</w:t>
      </w:r>
      <w:r w:rsidRPr="0003073C">
        <w:rPr>
          <w:noProof/>
          <w:lang w:val="en-US"/>
        </w:rPr>
        <w:t xml:space="preserve">:351–366. </w:t>
      </w:r>
    </w:p>
    <w:p w14:paraId="3803E15E"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39. </w:t>
      </w:r>
      <w:r w:rsidRPr="0003073C">
        <w:rPr>
          <w:noProof/>
          <w:lang w:val="en-US"/>
        </w:rPr>
        <w:tab/>
        <w:t xml:space="preserve">Peri-Okonny PA, Mi X, Khariton Y, Patel KK, Thomas L, Fonarow GC, Sharma PP, Duffy CI, Albert NM, Butler J, Hernandez AF, McCague K, Williams FB, DeVore AD, Patterson JH, Spertus JA. Target Doses of Heart Failure Medical Therapy and Blood Pressure: Insights From the CHAMP-HF Registry. </w:t>
      </w:r>
      <w:r w:rsidRPr="0003073C">
        <w:rPr>
          <w:i/>
          <w:iCs/>
          <w:noProof/>
          <w:lang w:val="en-US"/>
        </w:rPr>
        <w:t>JACC Heart Fail</w:t>
      </w:r>
      <w:r w:rsidRPr="0003073C">
        <w:rPr>
          <w:noProof/>
          <w:lang w:val="en-US"/>
        </w:rPr>
        <w:t xml:space="preserve"> 2019;</w:t>
      </w:r>
      <w:r w:rsidRPr="0003073C">
        <w:rPr>
          <w:b/>
          <w:bCs/>
          <w:noProof/>
          <w:lang w:val="en-US"/>
        </w:rPr>
        <w:t>7</w:t>
      </w:r>
      <w:r w:rsidRPr="0003073C">
        <w:rPr>
          <w:noProof/>
          <w:lang w:val="en-US"/>
        </w:rPr>
        <w:t xml:space="preserve">:350–358. </w:t>
      </w:r>
    </w:p>
    <w:p w14:paraId="07E9B4A2"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40. </w:t>
      </w:r>
      <w:r w:rsidRPr="0003073C">
        <w:rPr>
          <w:noProof/>
          <w:lang w:val="en-US"/>
        </w:rPr>
        <w:tab/>
        <w:t xml:space="preserve">Heywood JT, Fonarow GC, Yancy CW, Albert NM, Curtis AB, Gheorghiade M, Inge PJ, McBride ML, Mehra MR, O’Connor CM, Reynolds D, Walsh MN. Comparison of medical therapy dosing in outpatients cared for in cardiology practices with heart failure and reduced ejection fraction with and without device therapy: report from IMPROVE HF. </w:t>
      </w:r>
      <w:r w:rsidRPr="0003073C">
        <w:rPr>
          <w:i/>
          <w:iCs/>
          <w:noProof/>
          <w:lang w:val="en-US"/>
        </w:rPr>
        <w:t>Circ Heart Fail</w:t>
      </w:r>
      <w:r w:rsidRPr="0003073C">
        <w:rPr>
          <w:noProof/>
          <w:lang w:val="en-US"/>
        </w:rPr>
        <w:t xml:space="preserve"> 2010;</w:t>
      </w:r>
      <w:r w:rsidRPr="0003073C">
        <w:rPr>
          <w:b/>
          <w:bCs/>
          <w:noProof/>
          <w:lang w:val="en-US"/>
        </w:rPr>
        <w:t>3</w:t>
      </w:r>
      <w:r w:rsidRPr="0003073C">
        <w:rPr>
          <w:noProof/>
          <w:lang w:val="en-US"/>
        </w:rPr>
        <w:t xml:space="preserve">:596–605. </w:t>
      </w:r>
    </w:p>
    <w:p w14:paraId="2BC36A64"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41. </w:t>
      </w:r>
      <w:r w:rsidRPr="0003073C">
        <w:rPr>
          <w:noProof/>
          <w:lang w:val="en-US"/>
        </w:rPr>
        <w:tab/>
        <w:t xml:space="preserve">Fiuzat M, Wojdyla D, Kitzman D, Fleg J, Keteyian SJ, Kraus WE, Piña IL, Whellan D, O’Connor CM. Relationship of beta-blocker dose with outcomes in ambulatory heart failure patients with systolic dysfunction: results from the HF-ACTION (Heart Failure: A Controlled Trial Investigating Outcomes of Exercise Training) trial. </w:t>
      </w:r>
      <w:r w:rsidRPr="0003073C">
        <w:rPr>
          <w:i/>
          <w:iCs/>
          <w:noProof/>
          <w:lang w:val="en-US"/>
        </w:rPr>
        <w:t>J Am Coll Cardiol</w:t>
      </w:r>
      <w:r w:rsidRPr="0003073C">
        <w:rPr>
          <w:noProof/>
          <w:lang w:val="en-US"/>
        </w:rPr>
        <w:t xml:space="preserve"> 2012;</w:t>
      </w:r>
      <w:r w:rsidRPr="0003073C">
        <w:rPr>
          <w:b/>
          <w:bCs/>
          <w:noProof/>
          <w:lang w:val="en-US"/>
        </w:rPr>
        <w:t>60</w:t>
      </w:r>
      <w:r w:rsidRPr="0003073C">
        <w:rPr>
          <w:noProof/>
          <w:lang w:val="en-US"/>
        </w:rPr>
        <w:t xml:space="preserve">:208–215. </w:t>
      </w:r>
    </w:p>
    <w:p w14:paraId="02D5595F"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lastRenderedPageBreak/>
        <w:t xml:space="preserve">42. </w:t>
      </w:r>
      <w:r w:rsidRPr="0003073C">
        <w:rPr>
          <w:noProof/>
          <w:lang w:val="en-US"/>
        </w:rPr>
        <w:tab/>
        <w:t xml:space="preserve">Bhatt AS, DeVore AD, DeWald TA, Swedberg K, Mentz RJ. Achieving a Maximally Tolerated </w:t>
      </w:r>
      <w:r w:rsidRPr="0003073C">
        <w:rPr>
          <w:noProof/>
        </w:rPr>
        <w:t>β</w:t>
      </w:r>
      <w:r w:rsidRPr="0003073C">
        <w:rPr>
          <w:noProof/>
          <w:lang w:val="en-US"/>
        </w:rPr>
        <w:t xml:space="preserve">-Blocker Dose in Heart Failure Patients: Is There Room for Improvement? </w:t>
      </w:r>
      <w:r w:rsidRPr="0003073C">
        <w:rPr>
          <w:i/>
          <w:iCs/>
          <w:noProof/>
          <w:lang w:val="en-US"/>
        </w:rPr>
        <w:t>J Am Coll Cardiol</w:t>
      </w:r>
      <w:r w:rsidRPr="0003073C">
        <w:rPr>
          <w:noProof/>
          <w:lang w:val="en-US"/>
        </w:rPr>
        <w:t xml:space="preserve"> 2017;</w:t>
      </w:r>
      <w:r w:rsidRPr="0003073C">
        <w:rPr>
          <w:b/>
          <w:bCs/>
          <w:noProof/>
          <w:lang w:val="en-US"/>
        </w:rPr>
        <w:t>69</w:t>
      </w:r>
      <w:r w:rsidRPr="0003073C">
        <w:rPr>
          <w:noProof/>
          <w:lang w:val="en-US"/>
        </w:rPr>
        <w:t xml:space="preserve">:2542–2550. </w:t>
      </w:r>
    </w:p>
    <w:p w14:paraId="4DD23939"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43. </w:t>
      </w:r>
      <w:r w:rsidRPr="0003073C">
        <w:rPr>
          <w:noProof/>
          <w:lang w:val="en-US"/>
        </w:rPr>
        <w:tab/>
        <w:t xml:space="preserve">DeVore AD, Mi X, Mentz RJ, Fonarow GC, Dyke MK Van, Maya JF, Hardy NC, Hammill BG, Hernandez AF. Discharge heart rate and </w:t>
      </w:r>
      <w:r w:rsidRPr="0003073C">
        <w:rPr>
          <w:noProof/>
        </w:rPr>
        <w:t>β</w:t>
      </w:r>
      <w:r w:rsidRPr="0003073C">
        <w:rPr>
          <w:noProof/>
          <w:lang w:val="en-US"/>
        </w:rPr>
        <w:t xml:space="preserve">-blocker dose in patients hospitalized with heart failure: Findings from the OPTIMIZE-HF registry. </w:t>
      </w:r>
      <w:r w:rsidRPr="0003073C">
        <w:rPr>
          <w:i/>
          <w:iCs/>
          <w:noProof/>
          <w:lang w:val="en-US"/>
        </w:rPr>
        <w:t>Am Heart J</w:t>
      </w:r>
      <w:r w:rsidRPr="0003073C">
        <w:rPr>
          <w:noProof/>
          <w:lang w:val="en-US"/>
        </w:rPr>
        <w:t xml:space="preserve"> Elsevier B.V.; 2016;</w:t>
      </w:r>
      <w:r w:rsidRPr="0003073C">
        <w:rPr>
          <w:b/>
          <w:bCs/>
          <w:noProof/>
          <w:lang w:val="en-US"/>
        </w:rPr>
        <w:t>173</w:t>
      </w:r>
      <w:r w:rsidRPr="0003073C">
        <w:rPr>
          <w:noProof/>
          <w:lang w:val="en-US"/>
        </w:rPr>
        <w:t xml:space="preserve">:172–178. </w:t>
      </w:r>
    </w:p>
    <w:p w14:paraId="14EA23E4"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44. </w:t>
      </w:r>
      <w:r w:rsidRPr="0003073C">
        <w:rPr>
          <w:noProof/>
          <w:lang w:val="en-US"/>
        </w:rPr>
        <w:tab/>
        <w:t xml:space="preserve">Fowler MB, Lottes SR, Nelson JJ, Lukas MA, Gilbert EM, Greenberg B, Massie BM, Abraham WT, Franciosa JA, COHERE Participant Physicians. Beta-blocker dosing in community-based treatment of heart failure. </w:t>
      </w:r>
      <w:r w:rsidRPr="0003073C">
        <w:rPr>
          <w:i/>
          <w:iCs/>
          <w:noProof/>
          <w:lang w:val="en-US"/>
        </w:rPr>
        <w:t>Am Heart J</w:t>
      </w:r>
      <w:r w:rsidRPr="0003073C">
        <w:rPr>
          <w:noProof/>
          <w:lang w:val="en-US"/>
        </w:rPr>
        <w:t xml:space="preserve"> 2007;</w:t>
      </w:r>
      <w:r w:rsidRPr="0003073C">
        <w:rPr>
          <w:b/>
          <w:bCs/>
          <w:noProof/>
          <w:lang w:val="en-US"/>
        </w:rPr>
        <w:t>153</w:t>
      </w:r>
      <w:r w:rsidRPr="0003073C">
        <w:rPr>
          <w:noProof/>
          <w:lang w:val="en-US"/>
        </w:rPr>
        <w:t xml:space="preserve">:1029–1036. </w:t>
      </w:r>
    </w:p>
    <w:p w14:paraId="756FA6AF"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45. </w:t>
      </w:r>
      <w:r w:rsidRPr="0003073C">
        <w:rPr>
          <w:noProof/>
          <w:lang w:val="en-US"/>
        </w:rPr>
        <w:tab/>
        <w:t xml:space="preserve">Düngen H-D, Apostolovic S, Inkrot S, Tahirovic E, Töpper A, Mehrhof F, Prettin C, Putnikovic B, Neskovic AN, Krotin M, Sakac D, Lainscak M, Edelmann F, Wachter R, Rau T, Eschenhagen T, Doehner W, Anker SD, Waagstein F, Herrmann-Lingen C, Gelbrich G, Dietz R, CIBIS-ELD investigators and Project Multicentre Trials in the Competence Network Heart Failure. Titration to target dose of bisoprolol vs. carvedilol in elderly patients with heart failure: the CIBIS-ELD trial. </w:t>
      </w:r>
      <w:r w:rsidRPr="0003073C">
        <w:rPr>
          <w:i/>
          <w:iCs/>
          <w:noProof/>
          <w:lang w:val="en-US"/>
        </w:rPr>
        <w:t>Eur J Heart Fail</w:t>
      </w:r>
      <w:r w:rsidRPr="0003073C">
        <w:rPr>
          <w:noProof/>
          <w:lang w:val="en-US"/>
        </w:rPr>
        <w:t xml:space="preserve"> 2011;</w:t>
      </w:r>
      <w:r w:rsidRPr="0003073C">
        <w:rPr>
          <w:b/>
          <w:bCs/>
          <w:noProof/>
          <w:lang w:val="en-US"/>
        </w:rPr>
        <w:t>13</w:t>
      </w:r>
      <w:r w:rsidRPr="0003073C">
        <w:rPr>
          <w:noProof/>
          <w:lang w:val="en-US"/>
        </w:rPr>
        <w:t xml:space="preserve">:670–680. </w:t>
      </w:r>
    </w:p>
    <w:p w14:paraId="575A8501"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46. </w:t>
      </w:r>
      <w:r w:rsidRPr="0003073C">
        <w:rPr>
          <w:noProof/>
          <w:lang w:val="en-US"/>
        </w:rPr>
        <w:tab/>
        <w:t xml:space="preserve">O’Connor CM, Whellan DJ, Lee KL, Keteyian SJ, Cooper LS, Ellis SJ, Leifer ES, Kraus WE, Kitzman DW, Blumenthal JA, Rendall DS, Miller NH, Fleg JL, Schulman KA, McKelvie RS, Zannad F, Piña IL, HF-ACTION Investigators. Efficacy and safety of exercise training in patients with chronic heart failure: HF-ACTION randomized controlled trial. </w:t>
      </w:r>
      <w:r w:rsidRPr="0003073C">
        <w:rPr>
          <w:i/>
          <w:iCs/>
          <w:noProof/>
          <w:lang w:val="en-US"/>
        </w:rPr>
        <w:t>JAMA</w:t>
      </w:r>
      <w:r w:rsidRPr="0003073C">
        <w:rPr>
          <w:noProof/>
          <w:lang w:val="en-US"/>
        </w:rPr>
        <w:t xml:space="preserve"> 2009;</w:t>
      </w:r>
      <w:r w:rsidRPr="0003073C">
        <w:rPr>
          <w:b/>
          <w:bCs/>
          <w:noProof/>
          <w:lang w:val="en-US"/>
        </w:rPr>
        <w:t>301</w:t>
      </w:r>
      <w:r w:rsidRPr="0003073C">
        <w:rPr>
          <w:noProof/>
          <w:lang w:val="en-US"/>
        </w:rPr>
        <w:t xml:space="preserve">:1439–1450. </w:t>
      </w:r>
    </w:p>
    <w:p w14:paraId="46AD53E6"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47. </w:t>
      </w:r>
      <w:r w:rsidRPr="0003073C">
        <w:rPr>
          <w:noProof/>
          <w:lang w:val="en-US"/>
        </w:rPr>
        <w:tab/>
        <w:t xml:space="preserve">Bozkurt B. Reasons for Lack of Improvement in Treatment With Evidence-Based </w:t>
      </w:r>
      <w:r w:rsidRPr="0003073C">
        <w:rPr>
          <w:noProof/>
          <w:lang w:val="en-US"/>
        </w:rPr>
        <w:lastRenderedPageBreak/>
        <w:t xml:space="preserve">Therapies in Heart Failure. </w:t>
      </w:r>
      <w:r w:rsidRPr="0003073C">
        <w:rPr>
          <w:i/>
          <w:iCs/>
          <w:noProof/>
          <w:lang w:val="en-US"/>
        </w:rPr>
        <w:t>J Am Coll Cardiol</w:t>
      </w:r>
      <w:r w:rsidRPr="0003073C">
        <w:rPr>
          <w:noProof/>
          <w:lang w:val="en-US"/>
        </w:rPr>
        <w:t xml:space="preserve"> 2019;</w:t>
      </w:r>
      <w:r w:rsidRPr="0003073C">
        <w:rPr>
          <w:b/>
          <w:bCs/>
          <w:noProof/>
          <w:lang w:val="en-US"/>
        </w:rPr>
        <w:t>73</w:t>
      </w:r>
      <w:r w:rsidRPr="0003073C">
        <w:rPr>
          <w:noProof/>
          <w:lang w:val="en-US"/>
        </w:rPr>
        <w:t xml:space="preserve">:2384–2387. </w:t>
      </w:r>
    </w:p>
    <w:p w14:paraId="027884E9"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48. </w:t>
      </w:r>
      <w:r w:rsidRPr="0003073C">
        <w:rPr>
          <w:noProof/>
          <w:lang w:val="en-US"/>
        </w:rPr>
        <w:tab/>
        <w:t xml:space="preserve">Komajda M, Anker SD, Cowie MR, Filippatos GS, Mengelle B, Ponikowski P, Tavazzi L, QUALIFY Investigators. Physicians’ adherence to guideline-recommended medications in heart failure with reduced ejection fraction: data from the QUALIFY global survey. </w:t>
      </w:r>
      <w:r w:rsidRPr="0003073C">
        <w:rPr>
          <w:i/>
          <w:iCs/>
          <w:noProof/>
          <w:lang w:val="en-US"/>
        </w:rPr>
        <w:t>Eur J Heart Fail</w:t>
      </w:r>
      <w:r w:rsidRPr="0003073C">
        <w:rPr>
          <w:noProof/>
          <w:lang w:val="en-US"/>
        </w:rPr>
        <w:t xml:space="preserve"> 2016;</w:t>
      </w:r>
      <w:r w:rsidRPr="0003073C">
        <w:rPr>
          <w:b/>
          <w:bCs/>
          <w:noProof/>
          <w:lang w:val="en-US"/>
        </w:rPr>
        <w:t>18</w:t>
      </w:r>
      <w:r w:rsidRPr="0003073C">
        <w:rPr>
          <w:noProof/>
          <w:lang w:val="en-US"/>
        </w:rPr>
        <w:t xml:space="preserve">:514–522. </w:t>
      </w:r>
    </w:p>
    <w:p w14:paraId="648F96C4"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49. </w:t>
      </w:r>
      <w:r w:rsidRPr="0003073C">
        <w:rPr>
          <w:noProof/>
          <w:lang w:val="en-US"/>
        </w:rPr>
        <w:tab/>
        <w:t xml:space="preserve">Komajda M, Cowie MR, Tavazzi L, Ponikowski P, Anker SD, Filippatos GS, QUALIFY Investigators. Physicians’ guideline adherence is associated with better prognosis in outpatients with heart failure with reduced ejection fraction: the QUALIFY international registry. </w:t>
      </w:r>
      <w:r w:rsidRPr="0003073C">
        <w:rPr>
          <w:i/>
          <w:iCs/>
          <w:noProof/>
          <w:lang w:val="en-US"/>
        </w:rPr>
        <w:t>Eur J Heart Fail</w:t>
      </w:r>
      <w:r w:rsidRPr="0003073C">
        <w:rPr>
          <w:noProof/>
          <w:lang w:val="en-US"/>
        </w:rPr>
        <w:t xml:space="preserve"> 2017;</w:t>
      </w:r>
      <w:r w:rsidRPr="0003073C">
        <w:rPr>
          <w:b/>
          <w:bCs/>
          <w:noProof/>
          <w:lang w:val="en-US"/>
        </w:rPr>
        <w:t>19</w:t>
      </w:r>
      <w:r w:rsidRPr="0003073C">
        <w:rPr>
          <w:noProof/>
          <w:lang w:val="en-US"/>
        </w:rPr>
        <w:t xml:space="preserve">:1414–1423. </w:t>
      </w:r>
    </w:p>
    <w:p w14:paraId="7397B8EA"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50. </w:t>
      </w:r>
      <w:r w:rsidRPr="0003073C">
        <w:rPr>
          <w:noProof/>
          <w:lang w:val="en-US"/>
        </w:rPr>
        <w:tab/>
        <w:t xml:space="preserve">Komajda M, Schöpe J, Wagenpfeil S, Tavazzi L, Böhm M, Ponikowski P, Anker SD, Filippatos GS, Cowie MR, QUALIFY Investigators. Physicians’ guideline adherence is associated with long-term heart failure mortality in outpatients with heart failure with reduced ejection fraction: the QUALIFY international registry. </w:t>
      </w:r>
      <w:r w:rsidRPr="0003073C">
        <w:rPr>
          <w:i/>
          <w:iCs/>
          <w:noProof/>
          <w:lang w:val="en-US"/>
        </w:rPr>
        <w:t>Eur J Heart Fail</w:t>
      </w:r>
      <w:r w:rsidRPr="0003073C">
        <w:rPr>
          <w:noProof/>
          <w:lang w:val="en-US"/>
        </w:rPr>
        <w:t xml:space="preserve"> 2019;</w:t>
      </w:r>
      <w:r w:rsidRPr="0003073C">
        <w:rPr>
          <w:b/>
          <w:bCs/>
          <w:noProof/>
          <w:lang w:val="en-US"/>
        </w:rPr>
        <w:t>21</w:t>
      </w:r>
      <w:r w:rsidRPr="0003073C">
        <w:rPr>
          <w:noProof/>
          <w:lang w:val="en-US"/>
        </w:rPr>
        <w:t xml:space="preserve">:921–929. </w:t>
      </w:r>
    </w:p>
    <w:p w14:paraId="1E9DE671"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51. </w:t>
      </w:r>
      <w:r w:rsidRPr="0003073C">
        <w:rPr>
          <w:noProof/>
          <w:lang w:val="en-US"/>
        </w:rPr>
        <w:tab/>
        <w:t xml:space="preserve">Lam PH, Dooley DJ, Fonarow GC, Butler J, Bhatt DL, Filippatos GS, Deedwania P, Forman DE, White M, Fletcher RD, Arundel C, Blackman MR, Adamopoulos C, Kanonidis IE, Aban IB, Patel K, Aronow WS, Allman RM, Anker SD, Pitt B, Ahmed A. Similar clinical benefits from below-target and target dose enalapril in patients with heart failure in the SOLVD Treatment trial. </w:t>
      </w:r>
      <w:r w:rsidRPr="0003073C">
        <w:rPr>
          <w:i/>
          <w:iCs/>
          <w:noProof/>
          <w:lang w:val="en-US"/>
        </w:rPr>
        <w:t>Eur J Heart Fail</w:t>
      </w:r>
      <w:r w:rsidRPr="0003073C">
        <w:rPr>
          <w:noProof/>
          <w:lang w:val="en-US"/>
        </w:rPr>
        <w:t xml:space="preserve"> 2018;</w:t>
      </w:r>
      <w:r w:rsidRPr="0003073C">
        <w:rPr>
          <w:b/>
          <w:bCs/>
          <w:noProof/>
          <w:lang w:val="en-US"/>
        </w:rPr>
        <w:t>20</w:t>
      </w:r>
      <w:r w:rsidRPr="0003073C">
        <w:rPr>
          <w:noProof/>
          <w:lang w:val="en-US"/>
        </w:rPr>
        <w:t xml:space="preserve">:359–369. </w:t>
      </w:r>
    </w:p>
    <w:p w14:paraId="2A9E333A"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52. </w:t>
      </w:r>
      <w:r w:rsidRPr="0003073C">
        <w:rPr>
          <w:noProof/>
          <w:lang w:val="en-US"/>
        </w:rPr>
        <w:tab/>
        <w:t xml:space="preserve">Simon T, Mary-Krause M, Funck-Brentano C, Lechat P, Jaillon P. Bisoprolol dose-response relationship in patients with congestive heart failure: a subgroup analysis in the cardiac insufficiency bisoprolol study(CIBIS II). </w:t>
      </w:r>
      <w:r w:rsidRPr="0003073C">
        <w:rPr>
          <w:i/>
          <w:iCs/>
          <w:noProof/>
          <w:lang w:val="en-US"/>
        </w:rPr>
        <w:t>Eur Heart J</w:t>
      </w:r>
      <w:r w:rsidRPr="0003073C">
        <w:rPr>
          <w:noProof/>
          <w:lang w:val="en-US"/>
        </w:rPr>
        <w:t xml:space="preserve"> 2003;</w:t>
      </w:r>
      <w:r w:rsidRPr="0003073C">
        <w:rPr>
          <w:b/>
          <w:bCs/>
          <w:noProof/>
          <w:lang w:val="en-US"/>
        </w:rPr>
        <w:t>24</w:t>
      </w:r>
      <w:r w:rsidRPr="0003073C">
        <w:rPr>
          <w:noProof/>
          <w:lang w:val="en-US"/>
        </w:rPr>
        <w:t xml:space="preserve">:552–559. </w:t>
      </w:r>
    </w:p>
    <w:p w14:paraId="121FF810"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53. </w:t>
      </w:r>
      <w:r w:rsidRPr="0003073C">
        <w:rPr>
          <w:noProof/>
          <w:lang w:val="en-US"/>
        </w:rPr>
        <w:tab/>
        <w:t xml:space="preserve">Halliday BP, Wassall R, Lota AS, Khalique Z, Gregson J, Newsome S, Jackson R, </w:t>
      </w:r>
      <w:r w:rsidRPr="0003073C">
        <w:rPr>
          <w:noProof/>
          <w:lang w:val="en-US"/>
        </w:rPr>
        <w:lastRenderedPageBreak/>
        <w:t xml:space="preserve">Rahneva T, Wage R, Smith G, Venneri L, Tayal U, Auger D, Midwinter W, Whiffin N, Rajani R, Dungu JN, Pantazis A, Cook SA, Ware JS, Baksi AJ, Pennell DJ, Rosen SD, Cowie MR, Cleland JGF, Prasad SK. Withdrawal of pharmacological treatment for heart failure in patients with recovered dilated cardiomyopathy (TRED-HF): an open-label, pilot, randomised trial. </w:t>
      </w:r>
      <w:r w:rsidRPr="0003073C">
        <w:rPr>
          <w:i/>
          <w:iCs/>
          <w:noProof/>
          <w:lang w:val="en-US"/>
        </w:rPr>
        <w:t>Lancet</w:t>
      </w:r>
      <w:r w:rsidRPr="0003073C">
        <w:rPr>
          <w:noProof/>
          <w:lang w:val="en-US"/>
        </w:rPr>
        <w:t xml:space="preserve"> The Author(s). Published by Elsevier Ltd. This is an Open Access article under the CC BY 4.0 license; 2019;</w:t>
      </w:r>
      <w:r w:rsidRPr="0003073C">
        <w:rPr>
          <w:b/>
          <w:bCs/>
          <w:noProof/>
          <w:lang w:val="en-US"/>
        </w:rPr>
        <w:t>393</w:t>
      </w:r>
      <w:r w:rsidRPr="0003073C">
        <w:rPr>
          <w:noProof/>
          <w:lang w:val="en-US"/>
        </w:rPr>
        <w:t xml:space="preserve">:61–73. </w:t>
      </w:r>
    </w:p>
    <w:p w14:paraId="6F7C35EE" w14:textId="77777777" w:rsidR="0019034B" w:rsidRPr="0003073C" w:rsidRDefault="0019034B" w:rsidP="0019034B">
      <w:pPr>
        <w:widowControl w:val="0"/>
        <w:autoSpaceDE w:val="0"/>
        <w:autoSpaceDN w:val="0"/>
        <w:adjustRightInd w:val="0"/>
        <w:spacing w:line="480" w:lineRule="auto"/>
        <w:ind w:left="640" w:hanging="640"/>
        <w:rPr>
          <w:noProof/>
          <w:lang w:val="en-US"/>
        </w:rPr>
      </w:pPr>
      <w:r w:rsidRPr="0003073C">
        <w:rPr>
          <w:noProof/>
          <w:lang w:val="en-US"/>
        </w:rPr>
        <w:t xml:space="preserve">54. </w:t>
      </w:r>
      <w:r w:rsidRPr="0003073C">
        <w:rPr>
          <w:noProof/>
          <w:lang w:val="en-US"/>
        </w:rPr>
        <w:tab/>
        <w:t xml:space="preserve">Hori M, Sasayama S, Kitabatake A, Toyo-oka T, Handa S, Yokoyama M, Matsuzaki M, Takeshita A, Origasa H, Matsui K, Hosoda S, MUCHA Investigators. Low-dose carvedilol improves left ventricular function and reduces cardiovascular hospitalization in Japanese patients with chronic heart failure: the Multicenter Carvedilol Heart Failure Dose Assessment (MUCHA) trial. </w:t>
      </w:r>
      <w:r w:rsidRPr="0003073C">
        <w:rPr>
          <w:i/>
          <w:iCs/>
          <w:noProof/>
          <w:lang w:val="en-US"/>
        </w:rPr>
        <w:t>Am Heart J</w:t>
      </w:r>
      <w:r w:rsidRPr="0003073C">
        <w:rPr>
          <w:noProof/>
          <w:lang w:val="en-US"/>
        </w:rPr>
        <w:t xml:space="preserve"> 2004;</w:t>
      </w:r>
      <w:r w:rsidRPr="0003073C">
        <w:rPr>
          <w:b/>
          <w:bCs/>
          <w:noProof/>
          <w:lang w:val="en-US"/>
        </w:rPr>
        <w:t>147</w:t>
      </w:r>
      <w:r w:rsidRPr="0003073C">
        <w:rPr>
          <w:noProof/>
          <w:lang w:val="en-US"/>
        </w:rPr>
        <w:t xml:space="preserve">:324–330. </w:t>
      </w:r>
    </w:p>
    <w:p w14:paraId="21345AE3" w14:textId="0B2DED8A" w:rsidR="003C231D" w:rsidRPr="0003073C" w:rsidRDefault="008502C5" w:rsidP="0019034B">
      <w:pPr>
        <w:widowControl w:val="0"/>
        <w:autoSpaceDE w:val="0"/>
        <w:autoSpaceDN w:val="0"/>
        <w:adjustRightInd w:val="0"/>
        <w:spacing w:line="480" w:lineRule="auto"/>
        <w:ind w:left="640" w:hanging="640"/>
        <w:rPr>
          <w:lang w:val="en-US"/>
        </w:rPr>
      </w:pPr>
      <w:r w:rsidRPr="0003073C">
        <w:rPr>
          <w:lang w:val="en-US"/>
        </w:rPr>
        <w:fldChar w:fldCharType="end"/>
      </w:r>
    </w:p>
    <w:p w14:paraId="6A6AE937" w14:textId="77777777" w:rsidR="003C231D" w:rsidRPr="0003073C" w:rsidRDefault="003C231D" w:rsidP="007419B4">
      <w:pPr>
        <w:pStyle w:val="Titre1"/>
        <w:ind w:left="0"/>
        <w:rPr>
          <w:rFonts w:cs="Times New Roman"/>
          <w:b w:val="0"/>
          <w:sz w:val="24"/>
          <w:szCs w:val="24"/>
        </w:rPr>
      </w:pPr>
    </w:p>
    <w:p w14:paraId="4E3E6EEA" w14:textId="2BB4EB01" w:rsidR="00410BE4" w:rsidRPr="0003073C" w:rsidRDefault="00886BA9" w:rsidP="007419B4">
      <w:pPr>
        <w:pStyle w:val="Titre1"/>
        <w:ind w:left="0"/>
        <w:rPr>
          <w:rFonts w:cs="Times New Roman"/>
          <w:w w:val="110"/>
          <w:sz w:val="24"/>
          <w:szCs w:val="24"/>
        </w:rPr>
      </w:pPr>
      <w:r w:rsidRPr="0003073C">
        <w:rPr>
          <w:rFonts w:cs="Times New Roman"/>
          <w:sz w:val="24"/>
          <w:szCs w:val="24"/>
          <w:lang w:val="en-GB"/>
        </w:rPr>
        <w:br w:type="page"/>
      </w:r>
    </w:p>
    <w:p w14:paraId="45DBAF3F" w14:textId="7BAB6E01" w:rsidR="00867214" w:rsidRPr="0003073C" w:rsidRDefault="00867214" w:rsidP="007419B4">
      <w:pPr>
        <w:widowControl w:val="0"/>
        <w:spacing w:line="480" w:lineRule="auto"/>
        <w:jc w:val="both"/>
        <w:rPr>
          <w:b/>
          <w:lang w:val="en-US"/>
        </w:rPr>
      </w:pPr>
      <w:r w:rsidRPr="0003073C">
        <w:rPr>
          <w:b/>
          <w:lang w:val="en-US"/>
        </w:rPr>
        <w:lastRenderedPageBreak/>
        <w:t>Figure legends</w:t>
      </w:r>
    </w:p>
    <w:p w14:paraId="7AA82182" w14:textId="77777777" w:rsidR="00867214" w:rsidRPr="0003073C" w:rsidRDefault="00867214" w:rsidP="007419B4">
      <w:pPr>
        <w:widowControl w:val="0"/>
        <w:spacing w:line="480" w:lineRule="auto"/>
        <w:jc w:val="both"/>
        <w:rPr>
          <w:b/>
          <w:lang w:val="en-US"/>
        </w:rPr>
      </w:pPr>
    </w:p>
    <w:p w14:paraId="1ADFF047" w14:textId="4ECB9CF5" w:rsidR="00DA24FB" w:rsidRPr="0003073C" w:rsidRDefault="0010775D" w:rsidP="007419B4">
      <w:pPr>
        <w:widowControl w:val="0"/>
        <w:spacing w:line="480" w:lineRule="auto"/>
        <w:jc w:val="both"/>
        <w:rPr>
          <w:lang w:val="en-US"/>
        </w:rPr>
      </w:pPr>
      <w:r w:rsidRPr="0003073C">
        <w:rPr>
          <w:b/>
          <w:lang w:val="en-US"/>
        </w:rPr>
        <w:t>Figure 1:</w:t>
      </w:r>
      <w:r w:rsidR="00064AF4" w:rsidRPr="0003073C">
        <w:rPr>
          <w:b/>
          <w:lang w:val="en-US"/>
        </w:rPr>
        <w:t xml:space="preserve"> </w:t>
      </w:r>
      <w:r w:rsidR="00064AF4" w:rsidRPr="0003073C">
        <w:rPr>
          <w:lang w:val="en-US"/>
        </w:rPr>
        <w:t xml:space="preserve">Distribution of </w:t>
      </w:r>
      <w:proofErr w:type="spellStart"/>
      <w:r w:rsidR="00D05088" w:rsidRPr="0003073C">
        <w:rPr>
          <w:lang w:val="en-GB"/>
        </w:rPr>
        <w:t>ACEi</w:t>
      </w:r>
      <w:proofErr w:type="spellEnd"/>
      <w:r w:rsidR="00D05088" w:rsidRPr="0003073C">
        <w:rPr>
          <w:lang w:val="en-GB"/>
        </w:rPr>
        <w:t>/ARB</w:t>
      </w:r>
      <w:r w:rsidR="00064AF4" w:rsidRPr="0003073C">
        <w:rPr>
          <w:lang w:val="en-US"/>
        </w:rPr>
        <w:t xml:space="preserve"> and </w:t>
      </w:r>
      <w:r w:rsidR="00D05088" w:rsidRPr="0003073C">
        <w:rPr>
          <w:lang w:val="en-US"/>
        </w:rPr>
        <w:t xml:space="preserve">β-blocker </w:t>
      </w:r>
      <w:r w:rsidR="00064AF4" w:rsidRPr="0003073C">
        <w:rPr>
          <w:lang w:val="en-US"/>
        </w:rPr>
        <w:t>in ASIAN-HF and BIOSTAT-CHF</w:t>
      </w:r>
    </w:p>
    <w:p w14:paraId="7FD55E40" w14:textId="5C209B06" w:rsidR="0010775D" w:rsidRPr="0003073C" w:rsidRDefault="00347181" w:rsidP="007419B4">
      <w:pPr>
        <w:widowControl w:val="0"/>
        <w:spacing w:line="480" w:lineRule="auto"/>
        <w:jc w:val="both"/>
        <w:rPr>
          <w:b/>
          <w:lang w:val="en-US"/>
        </w:rPr>
      </w:pPr>
      <w:r>
        <w:rPr>
          <w:noProof/>
          <w:lang w:val="fr-FR" w:eastAsia="fr-FR"/>
        </w:rPr>
        <w:drawing>
          <wp:inline distT="0" distB="0" distL="0" distR="0" wp14:anchorId="69E81323" wp14:editId="59D127FF">
            <wp:extent cx="6116400" cy="284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16400" cy="2840400"/>
                    </a:xfrm>
                    <a:prstGeom prst="rect">
                      <a:avLst/>
                    </a:prstGeom>
                  </pic:spPr>
                </pic:pic>
              </a:graphicData>
            </a:graphic>
          </wp:inline>
        </w:drawing>
      </w:r>
    </w:p>
    <w:p w14:paraId="50A0738A" w14:textId="77777777" w:rsidR="00501FC2" w:rsidRDefault="00501FC2" w:rsidP="007419B4">
      <w:pPr>
        <w:widowControl w:val="0"/>
        <w:spacing w:line="480" w:lineRule="auto"/>
        <w:jc w:val="both"/>
        <w:rPr>
          <w:b/>
          <w:lang w:val="en-US"/>
        </w:rPr>
      </w:pPr>
      <w:r>
        <w:rPr>
          <w:b/>
          <w:lang w:val="en-US"/>
        </w:rPr>
        <w:br w:type="page"/>
      </w:r>
    </w:p>
    <w:p w14:paraId="395F69CF" w14:textId="2CA853B8" w:rsidR="0084102E" w:rsidRDefault="00F71EFF" w:rsidP="007419B4">
      <w:pPr>
        <w:widowControl w:val="0"/>
        <w:spacing w:line="480" w:lineRule="auto"/>
        <w:jc w:val="both"/>
        <w:rPr>
          <w:lang w:val="en-US"/>
        </w:rPr>
      </w:pPr>
      <w:r w:rsidRPr="0003073C">
        <w:rPr>
          <w:b/>
          <w:lang w:val="en-US"/>
        </w:rPr>
        <w:lastRenderedPageBreak/>
        <w:t>Figure 2</w:t>
      </w:r>
      <w:r w:rsidR="00AE7766" w:rsidRPr="0003073C">
        <w:rPr>
          <w:b/>
          <w:lang w:val="en-US"/>
        </w:rPr>
        <w:t xml:space="preserve"> </w:t>
      </w:r>
      <w:r w:rsidR="0084102E" w:rsidRPr="0003073C">
        <w:rPr>
          <w:b/>
          <w:lang w:val="en-US"/>
        </w:rPr>
        <w:t>A</w:t>
      </w:r>
      <w:r w:rsidR="00AE7766" w:rsidRPr="0003073C">
        <w:rPr>
          <w:b/>
          <w:lang w:val="en-US"/>
        </w:rPr>
        <w:t xml:space="preserve">: </w:t>
      </w:r>
      <w:r w:rsidR="00A8578A" w:rsidRPr="0003073C">
        <w:rPr>
          <w:lang w:val="en-US"/>
        </w:rPr>
        <w:t>Hazard Ratio</w:t>
      </w:r>
      <w:r w:rsidR="00AE7766" w:rsidRPr="0003073C">
        <w:rPr>
          <w:lang w:val="en-US"/>
        </w:rPr>
        <w:t xml:space="preserve"> of mortality and/or HF-related hospitalization for patients achieving </w:t>
      </w:r>
      <w:r w:rsidR="00A8578A" w:rsidRPr="0003073C">
        <w:rPr>
          <w:lang w:val="en-US"/>
        </w:rPr>
        <w:t xml:space="preserve">a combination of </w:t>
      </w:r>
      <w:r w:rsidR="00AE7766" w:rsidRPr="0003073C">
        <w:rPr>
          <w:lang w:val="en-US"/>
        </w:rPr>
        <w:t xml:space="preserve">0, 1-49, 50-99% and ≥100% recommended treatment dose of </w:t>
      </w:r>
      <w:proofErr w:type="spellStart"/>
      <w:r w:rsidR="00D05088" w:rsidRPr="0003073C">
        <w:rPr>
          <w:lang w:val="en-GB"/>
        </w:rPr>
        <w:t>ACEi</w:t>
      </w:r>
      <w:proofErr w:type="spellEnd"/>
      <w:r w:rsidR="00D05088" w:rsidRPr="0003073C">
        <w:rPr>
          <w:lang w:val="en-GB"/>
        </w:rPr>
        <w:t xml:space="preserve">/ARB </w:t>
      </w:r>
      <w:r w:rsidR="00A8578A" w:rsidRPr="0003073C">
        <w:rPr>
          <w:lang w:val="en-US"/>
        </w:rPr>
        <w:t>and</w:t>
      </w:r>
      <w:r w:rsidR="00AE7766" w:rsidRPr="0003073C">
        <w:rPr>
          <w:lang w:val="en-US"/>
        </w:rPr>
        <w:t xml:space="preserve"> β-blocker dose; </w:t>
      </w:r>
      <w:r w:rsidR="0084102E" w:rsidRPr="0003073C">
        <w:rPr>
          <w:b/>
          <w:lang w:val="en-US"/>
        </w:rPr>
        <w:t>B</w:t>
      </w:r>
      <w:r w:rsidR="00A8578A" w:rsidRPr="0003073C">
        <w:rPr>
          <w:b/>
          <w:lang w:val="en-US"/>
        </w:rPr>
        <w:t xml:space="preserve">: </w:t>
      </w:r>
      <w:r w:rsidR="00A8578A" w:rsidRPr="0003073C">
        <w:rPr>
          <w:lang w:val="en-US"/>
        </w:rPr>
        <w:t xml:space="preserve">Hazard Ratio of mortality for patients achieving a combination of 0, 1-49, 50-99% and ≥100% recommended treatment dose of </w:t>
      </w:r>
      <w:proofErr w:type="spellStart"/>
      <w:r w:rsidR="00A8578A" w:rsidRPr="0003073C">
        <w:rPr>
          <w:lang w:val="en-GB"/>
        </w:rPr>
        <w:t>ACEi</w:t>
      </w:r>
      <w:proofErr w:type="spellEnd"/>
      <w:r w:rsidR="00A8578A" w:rsidRPr="0003073C">
        <w:rPr>
          <w:lang w:val="en-GB"/>
        </w:rPr>
        <w:t xml:space="preserve">/ARB </w:t>
      </w:r>
      <w:r w:rsidR="00A8578A" w:rsidRPr="0003073C">
        <w:rPr>
          <w:lang w:val="en-US"/>
        </w:rPr>
        <w:t>and β-blocker dose;</w:t>
      </w:r>
      <w:r w:rsidR="00A8578A" w:rsidRPr="0003073C">
        <w:rPr>
          <w:b/>
          <w:lang w:val="en-US"/>
        </w:rPr>
        <w:t xml:space="preserve"> C: </w:t>
      </w:r>
      <w:r w:rsidR="00A8578A" w:rsidRPr="0003073C">
        <w:rPr>
          <w:lang w:val="en-US"/>
        </w:rPr>
        <w:t xml:space="preserve">Hazard Ratio of HF-related hospitalization for patients achieving a combination of 0, 1-49, 50-99% and ≥100% recommended treatment dose of </w:t>
      </w:r>
      <w:proofErr w:type="spellStart"/>
      <w:r w:rsidR="00A8578A" w:rsidRPr="0003073C">
        <w:rPr>
          <w:lang w:val="en-GB"/>
        </w:rPr>
        <w:t>ACEi</w:t>
      </w:r>
      <w:proofErr w:type="spellEnd"/>
      <w:r w:rsidR="00A8578A" w:rsidRPr="0003073C">
        <w:rPr>
          <w:lang w:val="en-GB"/>
        </w:rPr>
        <w:t xml:space="preserve">/ARB </w:t>
      </w:r>
      <w:r w:rsidR="00A8578A" w:rsidRPr="0003073C">
        <w:rPr>
          <w:lang w:val="en-US"/>
        </w:rPr>
        <w:t>and β-blocker dose;</w:t>
      </w:r>
    </w:p>
    <w:p w14:paraId="718FF54B" w14:textId="461137D8" w:rsidR="00347181" w:rsidRDefault="00347181" w:rsidP="007419B4">
      <w:pPr>
        <w:widowControl w:val="0"/>
        <w:spacing w:line="480" w:lineRule="auto"/>
        <w:jc w:val="both"/>
        <w:rPr>
          <w:lang w:val="en-US"/>
        </w:rPr>
      </w:pPr>
      <w:r>
        <w:rPr>
          <w:noProof/>
          <w:lang w:val="fr-FR" w:eastAsia="fr-FR"/>
        </w:rPr>
        <w:drawing>
          <wp:inline distT="0" distB="0" distL="0" distR="0" wp14:anchorId="65F66114" wp14:editId="6E56C256">
            <wp:extent cx="5972810" cy="413956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72810" cy="4139565"/>
                    </a:xfrm>
                    <a:prstGeom prst="rect">
                      <a:avLst/>
                    </a:prstGeom>
                  </pic:spPr>
                </pic:pic>
              </a:graphicData>
            </a:graphic>
          </wp:inline>
        </w:drawing>
      </w:r>
    </w:p>
    <w:p w14:paraId="1D9833D6" w14:textId="688B0F01" w:rsidR="00347181" w:rsidRPr="00347181" w:rsidRDefault="00347181" w:rsidP="007419B4">
      <w:pPr>
        <w:widowControl w:val="0"/>
        <w:spacing w:line="480" w:lineRule="auto"/>
        <w:jc w:val="both"/>
        <w:rPr>
          <w:b/>
          <w:lang w:val="en-US"/>
        </w:rPr>
      </w:pPr>
      <w:r w:rsidRPr="00347181">
        <w:rPr>
          <w:b/>
          <w:lang w:val="en-US"/>
        </w:rPr>
        <w:t>2A</w:t>
      </w:r>
    </w:p>
    <w:p w14:paraId="4C7EFCD7" w14:textId="719060BB" w:rsidR="00347181" w:rsidRDefault="00347181" w:rsidP="007419B4">
      <w:pPr>
        <w:widowControl w:val="0"/>
        <w:spacing w:line="480" w:lineRule="auto"/>
        <w:jc w:val="both"/>
        <w:rPr>
          <w:lang w:val="en-US"/>
        </w:rPr>
      </w:pPr>
      <w:r>
        <w:rPr>
          <w:noProof/>
          <w:lang w:val="fr-FR" w:eastAsia="fr-FR"/>
        </w:rPr>
        <w:lastRenderedPageBreak/>
        <w:drawing>
          <wp:inline distT="0" distB="0" distL="0" distR="0" wp14:anchorId="21D2F518" wp14:editId="175DA1F5">
            <wp:extent cx="5972810" cy="4222115"/>
            <wp:effectExtent l="0" t="0" r="889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b.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72810" cy="4222115"/>
                    </a:xfrm>
                    <a:prstGeom prst="rect">
                      <a:avLst/>
                    </a:prstGeom>
                  </pic:spPr>
                </pic:pic>
              </a:graphicData>
            </a:graphic>
          </wp:inline>
        </w:drawing>
      </w:r>
    </w:p>
    <w:p w14:paraId="4ADBCE15" w14:textId="4CB9B72A" w:rsidR="00347181" w:rsidRPr="00347181" w:rsidRDefault="00347181" w:rsidP="007419B4">
      <w:pPr>
        <w:widowControl w:val="0"/>
        <w:spacing w:line="480" w:lineRule="auto"/>
        <w:jc w:val="both"/>
        <w:rPr>
          <w:b/>
          <w:lang w:val="en-US"/>
        </w:rPr>
      </w:pPr>
      <w:r w:rsidRPr="00347181">
        <w:rPr>
          <w:b/>
          <w:lang w:val="en-US"/>
        </w:rPr>
        <w:t>2B</w:t>
      </w:r>
    </w:p>
    <w:p w14:paraId="2732EA23" w14:textId="076B3F62" w:rsidR="00347181" w:rsidRDefault="00347181" w:rsidP="007419B4">
      <w:pPr>
        <w:widowControl w:val="0"/>
        <w:spacing w:line="480" w:lineRule="auto"/>
        <w:jc w:val="both"/>
        <w:rPr>
          <w:lang w:val="en-US"/>
        </w:rPr>
      </w:pPr>
      <w:r>
        <w:rPr>
          <w:noProof/>
          <w:lang w:val="fr-FR" w:eastAsia="fr-FR"/>
        </w:rPr>
        <w:lastRenderedPageBreak/>
        <w:drawing>
          <wp:inline distT="0" distB="0" distL="0" distR="0" wp14:anchorId="4983D3D8" wp14:editId="0CE28C92">
            <wp:extent cx="5972810" cy="4222115"/>
            <wp:effectExtent l="0" t="0" r="889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c.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72810" cy="4222115"/>
                    </a:xfrm>
                    <a:prstGeom prst="rect">
                      <a:avLst/>
                    </a:prstGeom>
                  </pic:spPr>
                </pic:pic>
              </a:graphicData>
            </a:graphic>
          </wp:inline>
        </w:drawing>
      </w:r>
    </w:p>
    <w:p w14:paraId="5F34885C" w14:textId="11108BC3" w:rsidR="00347181" w:rsidRDefault="00347181" w:rsidP="007419B4">
      <w:pPr>
        <w:widowControl w:val="0"/>
        <w:spacing w:line="480" w:lineRule="auto"/>
        <w:jc w:val="both"/>
        <w:rPr>
          <w:b/>
          <w:lang w:val="en-US"/>
        </w:rPr>
      </w:pPr>
      <w:r w:rsidRPr="00347181">
        <w:rPr>
          <w:b/>
          <w:lang w:val="en-US"/>
        </w:rPr>
        <w:t>2C</w:t>
      </w:r>
    </w:p>
    <w:p w14:paraId="3C468D58" w14:textId="7A818270" w:rsidR="00443178" w:rsidRDefault="00443178" w:rsidP="007419B4">
      <w:pPr>
        <w:widowControl w:val="0"/>
        <w:spacing w:line="480" w:lineRule="auto"/>
        <w:jc w:val="both"/>
        <w:rPr>
          <w:b/>
          <w:lang w:val="en-US"/>
        </w:rPr>
      </w:pPr>
      <w:bookmarkStart w:id="1" w:name="_GoBack"/>
      <w:bookmarkEnd w:id="1"/>
      <w:r>
        <w:rPr>
          <w:b/>
          <w:lang w:val="en-US"/>
        </w:rPr>
        <w:t>Figure S1</w:t>
      </w:r>
    </w:p>
    <w:p w14:paraId="55760031" w14:textId="1F65A353" w:rsidR="00FF5E33" w:rsidRDefault="00FF5E33" w:rsidP="007419B4">
      <w:pPr>
        <w:widowControl w:val="0"/>
        <w:spacing w:line="480" w:lineRule="auto"/>
        <w:jc w:val="both"/>
        <w:rPr>
          <w:b/>
          <w:lang w:val="en-US"/>
        </w:rPr>
      </w:pPr>
      <w:r>
        <w:rPr>
          <w:rFonts w:ascii="Arial" w:hAnsi="Arial" w:cs="Arial"/>
          <w:color w:val="1C1D1E"/>
          <w:sz w:val="18"/>
          <w:szCs w:val="18"/>
          <w:shd w:val="clear" w:color="auto" w:fill="FFFFFF"/>
        </w:rPr>
        <w:t xml:space="preserve">Flow diagram </w:t>
      </w:r>
      <w:proofErr w:type="spellStart"/>
      <w:r>
        <w:rPr>
          <w:rFonts w:ascii="Arial" w:hAnsi="Arial" w:cs="Arial"/>
          <w:color w:val="1C1D1E"/>
          <w:sz w:val="18"/>
          <w:szCs w:val="18"/>
          <w:shd w:val="clear" w:color="auto" w:fill="FFFFFF"/>
        </w:rPr>
        <w:t>for</w:t>
      </w:r>
      <w:proofErr w:type="spellEnd"/>
      <w:r>
        <w:rPr>
          <w:rFonts w:ascii="Arial" w:hAnsi="Arial" w:cs="Arial"/>
          <w:color w:val="1C1D1E"/>
          <w:sz w:val="18"/>
          <w:szCs w:val="18"/>
          <w:shd w:val="clear" w:color="auto" w:fill="FFFFFF"/>
        </w:rPr>
        <w:t xml:space="preserve"> </w:t>
      </w:r>
      <w:proofErr w:type="spellStart"/>
      <w:r>
        <w:rPr>
          <w:rFonts w:ascii="Arial" w:hAnsi="Arial" w:cs="Arial"/>
          <w:color w:val="1C1D1E"/>
          <w:sz w:val="18"/>
          <w:szCs w:val="18"/>
          <w:shd w:val="clear" w:color="auto" w:fill="FFFFFF"/>
        </w:rPr>
        <w:t>inclusion</w:t>
      </w:r>
      <w:proofErr w:type="spellEnd"/>
      <w:r>
        <w:rPr>
          <w:rFonts w:ascii="Arial" w:hAnsi="Arial" w:cs="Arial"/>
          <w:color w:val="1C1D1E"/>
          <w:sz w:val="18"/>
          <w:szCs w:val="18"/>
          <w:shd w:val="clear" w:color="auto" w:fill="FFFFFF"/>
        </w:rPr>
        <w:t xml:space="preserve"> </w:t>
      </w:r>
      <w:proofErr w:type="spellStart"/>
      <w:r>
        <w:rPr>
          <w:rFonts w:ascii="Arial" w:hAnsi="Arial" w:cs="Arial"/>
          <w:color w:val="1C1D1E"/>
          <w:sz w:val="18"/>
          <w:szCs w:val="18"/>
          <w:shd w:val="clear" w:color="auto" w:fill="FFFFFF"/>
        </w:rPr>
        <w:t>and</w:t>
      </w:r>
      <w:proofErr w:type="spellEnd"/>
      <w:r>
        <w:rPr>
          <w:rFonts w:ascii="Arial" w:hAnsi="Arial" w:cs="Arial"/>
          <w:color w:val="1C1D1E"/>
          <w:sz w:val="18"/>
          <w:szCs w:val="18"/>
          <w:shd w:val="clear" w:color="auto" w:fill="FFFFFF"/>
        </w:rPr>
        <w:t xml:space="preserve"> </w:t>
      </w:r>
      <w:proofErr w:type="spellStart"/>
      <w:r>
        <w:rPr>
          <w:rFonts w:ascii="Arial" w:hAnsi="Arial" w:cs="Arial"/>
          <w:color w:val="1C1D1E"/>
          <w:sz w:val="18"/>
          <w:szCs w:val="18"/>
          <w:shd w:val="clear" w:color="auto" w:fill="FFFFFF"/>
        </w:rPr>
        <w:t>exclusion</w:t>
      </w:r>
      <w:proofErr w:type="spellEnd"/>
      <w:r>
        <w:rPr>
          <w:rFonts w:ascii="Arial" w:hAnsi="Arial" w:cs="Arial"/>
          <w:color w:val="1C1D1E"/>
          <w:sz w:val="18"/>
          <w:szCs w:val="18"/>
          <w:shd w:val="clear" w:color="auto" w:fill="FFFFFF"/>
        </w:rPr>
        <w:t xml:space="preserve"> of </w:t>
      </w:r>
      <w:proofErr w:type="spellStart"/>
      <w:r>
        <w:rPr>
          <w:rFonts w:ascii="Arial" w:hAnsi="Arial" w:cs="Arial"/>
          <w:color w:val="1C1D1E"/>
          <w:sz w:val="18"/>
          <w:szCs w:val="18"/>
          <w:shd w:val="clear" w:color="auto" w:fill="FFFFFF"/>
        </w:rPr>
        <w:t>patients</w:t>
      </w:r>
      <w:proofErr w:type="spellEnd"/>
      <w:r>
        <w:rPr>
          <w:rFonts w:ascii="Arial" w:hAnsi="Arial" w:cs="Arial"/>
          <w:color w:val="1C1D1E"/>
          <w:sz w:val="18"/>
          <w:szCs w:val="18"/>
          <w:shd w:val="clear" w:color="auto" w:fill="FFFFFF"/>
        </w:rPr>
        <w:t xml:space="preserve"> in ASIAN-HF </w:t>
      </w:r>
      <w:proofErr w:type="spellStart"/>
      <w:r>
        <w:rPr>
          <w:rFonts w:ascii="Arial" w:hAnsi="Arial" w:cs="Arial"/>
          <w:color w:val="1C1D1E"/>
          <w:sz w:val="18"/>
          <w:szCs w:val="18"/>
          <w:shd w:val="clear" w:color="auto" w:fill="FFFFFF"/>
        </w:rPr>
        <w:t>and</w:t>
      </w:r>
      <w:proofErr w:type="spellEnd"/>
      <w:r>
        <w:rPr>
          <w:rFonts w:ascii="Arial" w:hAnsi="Arial" w:cs="Arial"/>
          <w:color w:val="1C1D1E"/>
          <w:sz w:val="18"/>
          <w:szCs w:val="18"/>
          <w:shd w:val="clear" w:color="auto" w:fill="FFFFFF"/>
        </w:rPr>
        <w:t xml:space="preserve"> BIOSTAT-</w:t>
      </w:r>
      <w:proofErr w:type="gramStart"/>
      <w:r>
        <w:rPr>
          <w:rFonts w:ascii="Arial" w:hAnsi="Arial" w:cs="Arial"/>
          <w:color w:val="1C1D1E"/>
          <w:sz w:val="18"/>
          <w:szCs w:val="18"/>
          <w:shd w:val="clear" w:color="auto" w:fill="FFFFFF"/>
        </w:rPr>
        <w:t xml:space="preserve">CHF </w:t>
      </w:r>
      <w:proofErr w:type="spellStart"/>
      <w:r>
        <w:rPr>
          <w:rFonts w:ascii="Arial" w:hAnsi="Arial" w:cs="Arial"/>
          <w:color w:val="1C1D1E"/>
          <w:sz w:val="18"/>
          <w:szCs w:val="18"/>
          <w:shd w:val="clear" w:color="auto" w:fill="FFFFFF"/>
        </w:rPr>
        <w:t>cohorts</w:t>
      </w:r>
      <w:proofErr w:type="spellEnd"/>
      <w:proofErr w:type="gramEnd"/>
    </w:p>
    <w:p w14:paraId="7C8EB5E6" w14:textId="71E2F630" w:rsidR="00347181" w:rsidRPr="0003073C" w:rsidRDefault="00443178" w:rsidP="007419B4">
      <w:pPr>
        <w:widowControl w:val="0"/>
        <w:spacing w:line="480" w:lineRule="auto"/>
        <w:jc w:val="both"/>
        <w:rPr>
          <w:lang w:val="en-US"/>
        </w:rPr>
      </w:pPr>
      <w:r>
        <w:rPr>
          <w:noProof/>
          <w:lang w:val="fr-FR" w:eastAsia="fr-FR"/>
        </w:rPr>
        <w:drawing>
          <wp:anchor distT="0" distB="0" distL="114300" distR="114300" simplePos="0" relativeHeight="251658240" behindDoc="0" locked="0" layoutInCell="1" allowOverlap="1" wp14:anchorId="06278104" wp14:editId="4E3E13F5">
            <wp:simplePos x="0" y="0"/>
            <wp:positionH relativeFrom="column">
              <wp:posOffset>-2540</wp:posOffset>
            </wp:positionH>
            <wp:positionV relativeFrom="paragraph">
              <wp:posOffset>-3175</wp:posOffset>
            </wp:positionV>
            <wp:extent cx="6436360" cy="2289175"/>
            <wp:effectExtent l="0" t="0" r="254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36360" cy="2289175"/>
                    </a:xfrm>
                    <a:prstGeom prst="rect">
                      <a:avLst/>
                    </a:prstGeom>
                  </pic:spPr>
                </pic:pic>
              </a:graphicData>
            </a:graphic>
          </wp:anchor>
        </w:drawing>
      </w:r>
    </w:p>
    <w:p w14:paraId="73E974A4" w14:textId="77777777" w:rsidR="00E30D79" w:rsidRDefault="00E30D79" w:rsidP="007419B4">
      <w:pPr>
        <w:widowControl w:val="0"/>
        <w:spacing w:line="480" w:lineRule="auto"/>
        <w:jc w:val="both"/>
        <w:rPr>
          <w:rFonts w:ascii="Arial" w:hAnsi="Arial" w:cs="Arial"/>
          <w:b/>
          <w:sz w:val="20"/>
          <w:szCs w:val="20"/>
          <w:lang w:val="en-US"/>
        </w:rPr>
        <w:sectPr w:rsidR="00E30D79" w:rsidSect="00A13DAE">
          <w:pgSz w:w="11906" w:h="16840"/>
          <w:pgMar w:top="1559" w:right="822" w:bottom="2603" w:left="1678" w:header="709" w:footer="709" w:gutter="0"/>
          <w:cols w:space="708"/>
          <w:docGrid w:linePitch="326"/>
        </w:sectPr>
      </w:pPr>
    </w:p>
    <w:p w14:paraId="7D86BF09" w14:textId="77777777" w:rsidR="00E30D79" w:rsidRDefault="00E30D79" w:rsidP="00E30D79">
      <w:pPr>
        <w:rPr>
          <w:b/>
          <w:bCs/>
          <w:lang w:val="en-US"/>
        </w:rPr>
      </w:pPr>
      <w:r w:rsidRPr="00C515A5">
        <w:rPr>
          <w:b/>
          <w:bCs/>
          <w:lang w:val="en-US"/>
        </w:rPr>
        <w:lastRenderedPageBreak/>
        <w:t xml:space="preserve">Table </w:t>
      </w:r>
      <w:r>
        <w:rPr>
          <w:b/>
          <w:bCs/>
          <w:lang w:val="en-US"/>
        </w:rPr>
        <w:t>1: Baseline characteristics of patients achieving low dose,</w:t>
      </w:r>
      <w:r w:rsidRPr="00DD3CC5">
        <w:rPr>
          <w:b/>
          <w:bCs/>
          <w:lang w:val="en-US"/>
        </w:rPr>
        <w:t xml:space="preserve"> </w:t>
      </w:r>
      <w:r>
        <w:rPr>
          <w:b/>
          <w:bCs/>
          <w:lang w:val="en-US"/>
        </w:rPr>
        <w:t>high dose and target dose of guideline recommended treatment</w:t>
      </w:r>
    </w:p>
    <w:tbl>
      <w:tblPr>
        <w:tblpPr w:leftFromText="141" w:rightFromText="141" w:vertAnchor="page" w:horzAnchor="margin" w:tblpY="2575"/>
        <w:tblW w:w="13699" w:type="dxa"/>
        <w:tblLayout w:type="fixed"/>
        <w:tblCellMar>
          <w:left w:w="70" w:type="dxa"/>
          <w:right w:w="70" w:type="dxa"/>
        </w:tblCellMar>
        <w:tblLook w:val="04A0" w:firstRow="1" w:lastRow="0" w:firstColumn="1" w:lastColumn="0" w:noHBand="0" w:noVBand="1"/>
      </w:tblPr>
      <w:tblGrid>
        <w:gridCol w:w="992"/>
        <w:gridCol w:w="1838"/>
        <w:gridCol w:w="992"/>
        <w:gridCol w:w="992"/>
        <w:gridCol w:w="1026"/>
        <w:gridCol w:w="12"/>
        <w:gridCol w:w="952"/>
        <w:gridCol w:w="992"/>
        <w:gridCol w:w="992"/>
        <w:gridCol w:w="992"/>
        <w:gridCol w:w="993"/>
        <w:gridCol w:w="992"/>
        <w:gridCol w:w="666"/>
        <w:gridCol w:w="1268"/>
      </w:tblGrid>
      <w:tr w:rsidR="00E30D79" w:rsidRPr="00C515A5" w14:paraId="48151BD9" w14:textId="77777777" w:rsidTr="00C26C4B">
        <w:trPr>
          <w:trHeight w:val="450"/>
        </w:trPr>
        <w:tc>
          <w:tcPr>
            <w:tcW w:w="283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55BC611" w14:textId="77777777" w:rsidR="00E30D79" w:rsidRPr="00C515A5" w:rsidRDefault="00E30D79" w:rsidP="00C26C4B">
            <w:pPr>
              <w:rPr>
                <w:rFonts w:ascii="Calibri" w:eastAsia="Times New Roman" w:hAnsi="Calibri"/>
                <w:b/>
                <w:bCs/>
                <w:color w:val="000000"/>
                <w:sz w:val="16"/>
                <w:szCs w:val="16"/>
              </w:rPr>
            </w:pPr>
            <w:proofErr w:type="spellStart"/>
            <w:r w:rsidRPr="00C515A5">
              <w:rPr>
                <w:rFonts w:ascii="Calibri" w:eastAsia="Times New Roman" w:hAnsi="Calibri"/>
                <w:b/>
                <w:bCs/>
                <w:color w:val="000000"/>
                <w:sz w:val="16"/>
                <w:szCs w:val="16"/>
              </w:rPr>
              <w:t>Variable</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14:paraId="1CCA4615" w14:textId="77777777" w:rsidR="00E30D79" w:rsidRPr="00C515A5" w:rsidRDefault="00E30D79" w:rsidP="00C26C4B">
            <w:pPr>
              <w:rPr>
                <w:rFonts w:ascii="Calibri" w:eastAsia="Times New Roman" w:hAnsi="Calibri"/>
                <w:b/>
                <w:bCs/>
                <w:color w:val="000000"/>
                <w:sz w:val="16"/>
                <w:szCs w:val="16"/>
              </w:rPr>
            </w:pPr>
            <w:proofErr w:type="spellStart"/>
            <w:r w:rsidRPr="00C515A5">
              <w:rPr>
                <w:rFonts w:ascii="Calibri" w:eastAsia="Times New Roman" w:hAnsi="Calibri"/>
                <w:b/>
                <w:bCs/>
                <w:color w:val="000000"/>
                <w:sz w:val="16"/>
                <w:szCs w:val="16"/>
              </w:rPr>
              <w:t>All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F472F"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A0B0</w:t>
            </w:r>
          </w:p>
        </w:tc>
        <w:tc>
          <w:tcPr>
            <w:tcW w:w="10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8A8859"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A0B1</w:t>
            </w:r>
          </w:p>
        </w:tc>
        <w:tc>
          <w:tcPr>
            <w:tcW w:w="952" w:type="dxa"/>
            <w:tcBorders>
              <w:top w:val="single" w:sz="4" w:space="0" w:color="auto"/>
              <w:left w:val="nil"/>
              <w:bottom w:val="single" w:sz="4" w:space="0" w:color="auto"/>
              <w:right w:val="nil"/>
            </w:tcBorders>
            <w:shd w:val="clear" w:color="auto" w:fill="auto"/>
            <w:noWrap/>
            <w:vAlign w:val="bottom"/>
            <w:hideMark/>
          </w:tcPr>
          <w:p w14:paraId="019DB9F8"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A0B2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077C"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A0B3</w:t>
            </w:r>
          </w:p>
        </w:tc>
        <w:tc>
          <w:tcPr>
            <w:tcW w:w="992" w:type="dxa"/>
            <w:tcBorders>
              <w:top w:val="single" w:sz="4" w:space="0" w:color="auto"/>
              <w:left w:val="single" w:sz="4" w:space="0" w:color="auto"/>
              <w:bottom w:val="single" w:sz="4" w:space="0" w:color="auto"/>
              <w:right w:val="double" w:sz="4" w:space="0" w:color="auto"/>
            </w:tcBorders>
          </w:tcPr>
          <w:p w14:paraId="1ECFCFDB" w14:textId="77777777" w:rsidR="00E30D79" w:rsidRPr="00011DDB" w:rsidRDefault="00E30D79" w:rsidP="00C26C4B">
            <w:pPr>
              <w:rPr>
                <w:rFonts w:ascii="Calibri" w:eastAsia="Times New Roman" w:hAnsi="Calibri"/>
                <w:b/>
                <w:bCs/>
                <w:color w:val="000000"/>
                <w:sz w:val="16"/>
                <w:szCs w:val="16"/>
                <w:lang w:val="en-US"/>
              </w:rPr>
            </w:pPr>
            <w:r w:rsidRPr="00011DDB">
              <w:rPr>
                <w:rFonts w:ascii="Calibri" w:eastAsia="Times New Roman" w:hAnsi="Calibri"/>
                <w:b/>
                <w:bCs/>
                <w:color w:val="000000"/>
                <w:sz w:val="16"/>
                <w:szCs w:val="16"/>
                <w:lang w:val="en-US"/>
              </w:rPr>
              <w:t>P for trend B1 to B3 (A0)</w:t>
            </w:r>
          </w:p>
        </w:tc>
        <w:tc>
          <w:tcPr>
            <w:tcW w:w="992"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565BF31"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A1B0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B648697"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A2B0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8C317F" w14:textId="77777777" w:rsidR="00E30D79" w:rsidRPr="00C515A5" w:rsidRDefault="00E30D79" w:rsidP="00C26C4B">
            <w:pPr>
              <w:rPr>
                <w:rFonts w:ascii="Calibri" w:eastAsia="Times New Roman" w:hAnsi="Calibri"/>
                <w:b/>
                <w:bCs/>
                <w:color w:val="000000"/>
                <w:sz w:val="16"/>
                <w:szCs w:val="16"/>
              </w:rPr>
            </w:pPr>
            <w:r w:rsidRPr="00C515A5">
              <w:rPr>
                <w:rFonts w:ascii="Calibri" w:eastAsia="Times New Roman" w:hAnsi="Calibri"/>
                <w:b/>
                <w:bCs/>
                <w:color w:val="000000"/>
                <w:sz w:val="16"/>
                <w:szCs w:val="16"/>
              </w:rPr>
              <w:t>A3B0</w:t>
            </w:r>
          </w:p>
        </w:tc>
        <w:tc>
          <w:tcPr>
            <w:tcW w:w="666" w:type="dxa"/>
            <w:tcBorders>
              <w:top w:val="single" w:sz="4" w:space="0" w:color="auto"/>
              <w:left w:val="nil"/>
              <w:bottom w:val="single" w:sz="4" w:space="0" w:color="auto"/>
              <w:right w:val="single" w:sz="4" w:space="0" w:color="auto"/>
            </w:tcBorders>
            <w:shd w:val="clear" w:color="auto" w:fill="auto"/>
            <w:noWrap/>
            <w:hideMark/>
          </w:tcPr>
          <w:p w14:paraId="1F53C72E" w14:textId="77777777" w:rsidR="00E30D79" w:rsidRPr="00011DDB" w:rsidRDefault="00E30D79" w:rsidP="00C26C4B">
            <w:pPr>
              <w:rPr>
                <w:rFonts w:ascii="Calibri" w:eastAsia="Times New Roman" w:hAnsi="Calibri"/>
                <w:b/>
                <w:bCs/>
                <w:color w:val="000000"/>
                <w:sz w:val="16"/>
                <w:szCs w:val="16"/>
                <w:lang w:val="en-US"/>
              </w:rPr>
            </w:pPr>
            <w:r w:rsidRPr="00011DDB">
              <w:rPr>
                <w:rFonts w:ascii="Calibri" w:eastAsia="Times New Roman" w:hAnsi="Calibri"/>
                <w:b/>
                <w:bCs/>
                <w:color w:val="000000"/>
                <w:sz w:val="16"/>
                <w:szCs w:val="16"/>
                <w:lang w:val="en-US"/>
              </w:rPr>
              <w:t>P for trend A1 to A3 (B0)</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6C0CF4B8" w14:textId="77777777" w:rsidR="00E30D79" w:rsidRPr="00C515A5" w:rsidRDefault="00E30D79" w:rsidP="00C26C4B">
            <w:pPr>
              <w:rPr>
                <w:rFonts w:ascii="Calibri" w:eastAsia="Times New Roman" w:hAnsi="Calibri"/>
                <w:b/>
                <w:bCs/>
                <w:color w:val="000000"/>
                <w:sz w:val="16"/>
                <w:szCs w:val="16"/>
              </w:rPr>
            </w:pPr>
            <w:proofErr w:type="spellStart"/>
            <w:r w:rsidRPr="00C515A5">
              <w:rPr>
                <w:rFonts w:ascii="Calibri" w:eastAsia="Times New Roman" w:hAnsi="Calibri"/>
                <w:b/>
                <w:bCs/>
                <w:color w:val="000000"/>
                <w:sz w:val="16"/>
                <w:szCs w:val="16"/>
              </w:rPr>
              <w:t>Other</w:t>
            </w:r>
            <w:proofErr w:type="spellEnd"/>
          </w:p>
        </w:tc>
      </w:tr>
      <w:tr w:rsidR="00E30D79" w:rsidRPr="00C515A5" w14:paraId="41CA43EF"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6CDA27F9" w14:textId="77777777" w:rsidR="00E30D79" w:rsidRPr="00C515A5" w:rsidRDefault="00E30D79" w:rsidP="00C26C4B">
            <w:pPr>
              <w:rPr>
                <w:rFonts w:ascii="Calibri" w:eastAsia="Times New Roman" w:hAnsi="Calibri"/>
                <w:color w:val="000000"/>
                <w:sz w:val="16"/>
                <w:szCs w:val="16"/>
              </w:rPr>
            </w:pPr>
            <w:r w:rsidRPr="00C515A5">
              <w:rPr>
                <w:rFonts w:ascii="Calibri" w:eastAsia="Times New Roman" w:hAnsi="Calibri"/>
                <w:color w:val="000000"/>
                <w:sz w:val="16"/>
                <w:szCs w:val="16"/>
              </w:rPr>
              <w:t>n</w:t>
            </w:r>
          </w:p>
        </w:tc>
        <w:tc>
          <w:tcPr>
            <w:tcW w:w="992" w:type="dxa"/>
            <w:tcBorders>
              <w:top w:val="nil"/>
              <w:left w:val="single" w:sz="4" w:space="0" w:color="auto"/>
              <w:bottom w:val="nil"/>
              <w:right w:val="single" w:sz="4" w:space="0" w:color="auto"/>
            </w:tcBorders>
            <w:shd w:val="clear" w:color="000000" w:fill="D9D9D9"/>
            <w:vAlign w:val="bottom"/>
          </w:tcPr>
          <w:p w14:paraId="083C7AF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6787</w:t>
            </w:r>
          </w:p>
        </w:tc>
        <w:tc>
          <w:tcPr>
            <w:tcW w:w="992" w:type="dxa"/>
            <w:tcBorders>
              <w:top w:val="nil"/>
              <w:left w:val="single" w:sz="4" w:space="0" w:color="auto"/>
              <w:bottom w:val="nil"/>
              <w:right w:val="single" w:sz="4" w:space="0" w:color="auto"/>
            </w:tcBorders>
            <w:shd w:val="clear" w:color="000000" w:fill="D9D9D9"/>
            <w:noWrap/>
            <w:vAlign w:val="bottom"/>
            <w:hideMark/>
          </w:tcPr>
          <w:p w14:paraId="1346F56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502</w:t>
            </w:r>
          </w:p>
        </w:tc>
        <w:tc>
          <w:tcPr>
            <w:tcW w:w="1038" w:type="dxa"/>
            <w:gridSpan w:val="2"/>
            <w:tcBorders>
              <w:top w:val="nil"/>
              <w:left w:val="nil"/>
              <w:bottom w:val="nil"/>
              <w:right w:val="single" w:sz="4" w:space="0" w:color="auto"/>
            </w:tcBorders>
            <w:shd w:val="clear" w:color="000000" w:fill="D9D9D9"/>
            <w:noWrap/>
            <w:vAlign w:val="bottom"/>
            <w:hideMark/>
          </w:tcPr>
          <w:p w14:paraId="2440704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782</w:t>
            </w:r>
          </w:p>
        </w:tc>
        <w:tc>
          <w:tcPr>
            <w:tcW w:w="952" w:type="dxa"/>
            <w:tcBorders>
              <w:top w:val="nil"/>
              <w:left w:val="nil"/>
              <w:bottom w:val="nil"/>
              <w:right w:val="nil"/>
            </w:tcBorders>
            <w:shd w:val="clear" w:color="000000" w:fill="D9D9D9"/>
            <w:noWrap/>
            <w:vAlign w:val="bottom"/>
            <w:hideMark/>
          </w:tcPr>
          <w:p w14:paraId="5720AFD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245</w:t>
            </w:r>
          </w:p>
        </w:tc>
        <w:tc>
          <w:tcPr>
            <w:tcW w:w="992" w:type="dxa"/>
            <w:tcBorders>
              <w:top w:val="nil"/>
              <w:left w:val="single" w:sz="4" w:space="0" w:color="auto"/>
              <w:bottom w:val="nil"/>
              <w:right w:val="single" w:sz="4" w:space="0" w:color="auto"/>
            </w:tcBorders>
            <w:shd w:val="clear" w:color="000000" w:fill="D9D9D9"/>
            <w:noWrap/>
            <w:vAlign w:val="bottom"/>
            <w:hideMark/>
          </w:tcPr>
          <w:p w14:paraId="1C0750C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133</w:t>
            </w:r>
          </w:p>
        </w:tc>
        <w:tc>
          <w:tcPr>
            <w:tcW w:w="992" w:type="dxa"/>
            <w:tcBorders>
              <w:top w:val="nil"/>
              <w:left w:val="single" w:sz="4" w:space="0" w:color="auto"/>
              <w:bottom w:val="nil"/>
              <w:right w:val="double" w:sz="4" w:space="0" w:color="auto"/>
            </w:tcBorders>
            <w:shd w:val="clear" w:color="000000" w:fill="D9D9D9"/>
          </w:tcPr>
          <w:p w14:paraId="5FB1E10A" w14:textId="77777777" w:rsidR="00E30D79" w:rsidRPr="00BB44A4" w:rsidRDefault="00E30D79" w:rsidP="00C26C4B">
            <w:pPr>
              <w:rPr>
                <w:rFonts w:ascii="Calibri" w:eastAsia="Times New Roman" w:hAnsi="Calibri"/>
                <w:color w:val="000000"/>
                <w:sz w:val="16"/>
                <w:szCs w:val="16"/>
              </w:rPr>
            </w:pPr>
          </w:p>
        </w:tc>
        <w:tc>
          <w:tcPr>
            <w:tcW w:w="992" w:type="dxa"/>
            <w:tcBorders>
              <w:top w:val="nil"/>
              <w:left w:val="double" w:sz="4" w:space="0" w:color="auto"/>
              <w:bottom w:val="nil"/>
              <w:right w:val="single" w:sz="4" w:space="0" w:color="auto"/>
            </w:tcBorders>
            <w:shd w:val="clear" w:color="000000" w:fill="D9D9D9"/>
            <w:noWrap/>
            <w:vAlign w:val="bottom"/>
            <w:hideMark/>
          </w:tcPr>
          <w:p w14:paraId="4613302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380</w:t>
            </w:r>
          </w:p>
        </w:tc>
        <w:tc>
          <w:tcPr>
            <w:tcW w:w="993" w:type="dxa"/>
            <w:tcBorders>
              <w:top w:val="nil"/>
              <w:left w:val="nil"/>
              <w:bottom w:val="nil"/>
              <w:right w:val="single" w:sz="4" w:space="0" w:color="auto"/>
            </w:tcBorders>
            <w:shd w:val="clear" w:color="000000" w:fill="D9D9D9"/>
            <w:noWrap/>
            <w:vAlign w:val="bottom"/>
            <w:hideMark/>
          </w:tcPr>
          <w:p w14:paraId="692BE54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234</w:t>
            </w:r>
          </w:p>
        </w:tc>
        <w:tc>
          <w:tcPr>
            <w:tcW w:w="992" w:type="dxa"/>
            <w:tcBorders>
              <w:top w:val="nil"/>
              <w:left w:val="nil"/>
              <w:bottom w:val="nil"/>
              <w:right w:val="single" w:sz="4" w:space="0" w:color="auto"/>
            </w:tcBorders>
            <w:shd w:val="clear" w:color="000000" w:fill="D9D9D9"/>
            <w:noWrap/>
            <w:vAlign w:val="bottom"/>
            <w:hideMark/>
          </w:tcPr>
          <w:p w14:paraId="5407676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135</w:t>
            </w:r>
          </w:p>
        </w:tc>
        <w:tc>
          <w:tcPr>
            <w:tcW w:w="666" w:type="dxa"/>
            <w:tcBorders>
              <w:top w:val="nil"/>
              <w:left w:val="nil"/>
              <w:bottom w:val="nil"/>
              <w:right w:val="single" w:sz="4" w:space="0" w:color="auto"/>
            </w:tcBorders>
            <w:shd w:val="clear" w:color="000000" w:fill="D9D9D9"/>
            <w:noWrap/>
            <w:vAlign w:val="bottom"/>
            <w:hideMark/>
          </w:tcPr>
          <w:p w14:paraId="3B15A98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w:t>
            </w:r>
          </w:p>
        </w:tc>
        <w:tc>
          <w:tcPr>
            <w:tcW w:w="1268" w:type="dxa"/>
            <w:tcBorders>
              <w:top w:val="nil"/>
              <w:left w:val="nil"/>
              <w:bottom w:val="nil"/>
              <w:right w:val="single" w:sz="4" w:space="0" w:color="auto"/>
            </w:tcBorders>
            <w:shd w:val="clear" w:color="000000" w:fill="D9D9D9"/>
            <w:noWrap/>
            <w:vAlign w:val="bottom"/>
            <w:hideMark/>
          </w:tcPr>
          <w:p w14:paraId="4914E60C"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4376</w:t>
            </w:r>
          </w:p>
        </w:tc>
      </w:tr>
      <w:tr w:rsidR="00E30D79" w:rsidRPr="00C515A5" w14:paraId="68707501" w14:textId="77777777" w:rsidTr="00C26C4B">
        <w:trPr>
          <w:trHeight w:val="261"/>
        </w:trPr>
        <w:tc>
          <w:tcPr>
            <w:tcW w:w="2830" w:type="dxa"/>
            <w:gridSpan w:val="2"/>
            <w:tcBorders>
              <w:top w:val="nil"/>
              <w:left w:val="single" w:sz="4" w:space="0" w:color="auto"/>
              <w:bottom w:val="nil"/>
              <w:right w:val="nil"/>
            </w:tcBorders>
            <w:shd w:val="clear" w:color="auto" w:fill="auto"/>
            <w:noWrap/>
            <w:vAlign w:val="bottom"/>
            <w:hideMark/>
          </w:tcPr>
          <w:p w14:paraId="079CFF0B" w14:textId="77777777" w:rsidR="00E30D79" w:rsidRPr="00C515A5" w:rsidRDefault="00E30D79" w:rsidP="00C26C4B">
            <w:pPr>
              <w:rPr>
                <w:rFonts w:ascii="Calibri" w:eastAsia="Times New Roman" w:hAnsi="Calibri"/>
                <w:color w:val="000000"/>
                <w:sz w:val="16"/>
                <w:szCs w:val="16"/>
              </w:rPr>
            </w:pPr>
            <w:r w:rsidRPr="00C515A5">
              <w:rPr>
                <w:rFonts w:ascii="Calibri" w:eastAsia="Times New Roman" w:hAnsi="Calibri"/>
                <w:color w:val="000000"/>
                <w:sz w:val="16"/>
                <w:szCs w:val="16"/>
              </w:rPr>
              <w:t>n (ASIAN-HF)</w:t>
            </w:r>
          </w:p>
        </w:tc>
        <w:tc>
          <w:tcPr>
            <w:tcW w:w="992" w:type="dxa"/>
            <w:tcBorders>
              <w:top w:val="nil"/>
              <w:left w:val="single" w:sz="4" w:space="0" w:color="auto"/>
              <w:bottom w:val="nil"/>
              <w:right w:val="single" w:sz="4" w:space="0" w:color="auto"/>
            </w:tcBorders>
            <w:vAlign w:val="bottom"/>
          </w:tcPr>
          <w:p w14:paraId="2CF10CF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4687 (69.1%)</w:t>
            </w:r>
          </w:p>
        </w:tc>
        <w:tc>
          <w:tcPr>
            <w:tcW w:w="992" w:type="dxa"/>
            <w:tcBorders>
              <w:top w:val="nil"/>
              <w:left w:val="single" w:sz="4" w:space="0" w:color="auto"/>
              <w:bottom w:val="nil"/>
              <w:right w:val="single" w:sz="4" w:space="0" w:color="auto"/>
            </w:tcBorders>
            <w:shd w:val="clear" w:color="auto" w:fill="auto"/>
            <w:noWrap/>
            <w:vAlign w:val="bottom"/>
            <w:hideMark/>
          </w:tcPr>
          <w:p w14:paraId="368AE32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482 (96%)</w:t>
            </w:r>
          </w:p>
        </w:tc>
        <w:tc>
          <w:tcPr>
            <w:tcW w:w="1038" w:type="dxa"/>
            <w:gridSpan w:val="2"/>
            <w:tcBorders>
              <w:top w:val="nil"/>
              <w:left w:val="nil"/>
              <w:bottom w:val="nil"/>
              <w:right w:val="single" w:sz="4" w:space="0" w:color="auto"/>
            </w:tcBorders>
            <w:shd w:val="clear" w:color="auto" w:fill="auto"/>
            <w:noWrap/>
            <w:vAlign w:val="bottom"/>
            <w:hideMark/>
          </w:tcPr>
          <w:p w14:paraId="093A1CD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656 (83.9%)</w:t>
            </w:r>
          </w:p>
        </w:tc>
        <w:tc>
          <w:tcPr>
            <w:tcW w:w="952" w:type="dxa"/>
            <w:tcBorders>
              <w:top w:val="nil"/>
              <w:left w:val="nil"/>
              <w:bottom w:val="nil"/>
              <w:right w:val="nil"/>
            </w:tcBorders>
            <w:shd w:val="clear" w:color="auto" w:fill="auto"/>
            <w:noWrap/>
            <w:vAlign w:val="bottom"/>
            <w:hideMark/>
          </w:tcPr>
          <w:p w14:paraId="15709E9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203 (82.9%)</w:t>
            </w:r>
          </w:p>
        </w:tc>
        <w:tc>
          <w:tcPr>
            <w:tcW w:w="992" w:type="dxa"/>
            <w:tcBorders>
              <w:top w:val="nil"/>
              <w:left w:val="single" w:sz="4" w:space="0" w:color="auto"/>
              <w:bottom w:val="nil"/>
              <w:right w:val="single" w:sz="4" w:space="0" w:color="auto"/>
            </w:tcBorders>
            <w:shd w:val="clear" w:color="auto" w:fill="auto"/>
            <w:noWrap/>
            <w:vAlign w:val="bottom"/>
            <w:hideMark/>
          </w:tcPr>
          <w:p w14:paraId="1C8031A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115 (86.5%)</w:t>
            </w:r>
          </w:p>
        </w:tc>
        <w:tc>
          <w:tcPr>
            <w:tcW w:w="992" w:type="dxa"/>
            <w:tcBorders>
              <w:top w:val="nil"/>
              <w:left w:val="single" w:sz="4" w:space="0" w:color="auto"/>
              <w:bottom w:val="nil"/>
              <w:right w:val="double" w:sz="4" w:space="0" w:color="auto"/>
            </w:tcBorders>
            <w:vAlign w:val="bottom"/>
          </w:tcPr>
          <w:p w14:paraId="7CFE0C70"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&lt;0.0001</w:t>
            </w:r>
          </w:p>
        </w:tc>
        <w:tc>
          <w:tcPr>
            <w:tcW w:w="992" w:type="dxa"/>
            <w:tcBorders>
              <w:top w:val="nil"/>
              <w:left w:val="double" w:sz="4" w:space="0" w:color="auto"/>
              <w:bottom w:val="nil"/>
              <w:right w:val="single" w:sz="4" w:space="0" w:color="auto"/>
            </w:tcBorders>
            <w:shd w:val="clear" w:color="auto" w:fill="auto"/>
            <w:noWrap/>
            <w:vAlign w:val="bottom"/>
            <w:hideMark/>
          </w:tcPr>
          <w:p w14:paraId="3930220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320 (84.2%)</w:t>
            </w:r>
          </w:p>
        </w:tc>
        <w:tc>
          <w:tcPr>
            <w:tcW w:w="993" w:type="dxa"/>
            <w:tcBorders>
              <w:top w:val="nil"/>
              <w:left w:val="nil"/>
              <w:bottom w:val="nil"/>
              <w:right w:val="single" w:sz="4" w:space="0" w:color="auto"/>
            </w:tcBorders>
            <w:shd w:val="clear" w:color="auto" w:fill="auto"/>
            <w:noWrap/>
            <w:vAlign w:val="bottom"/>
            <w:hideMark/>
          </w:tcPr>
          <w:p w14:paraId="0696D57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189 (80.8%)</w:t>
            </w:r>
          </w:p>
        </w:tc>
        <w:tc>
          <w:tcPr>
            <w:tcW w:w="992" w:type="dxa"/>
            <w:tcBorders>
              <w:top w:val="nil"/>
              <w:left w:val="nil"/>
              <w:bottom w:val="nil"/>
              <w:right w:val="single" w:sz="4" w:space="0" w:color="auto"/>
            </w:tcBorders>
            <w:shd w:val="clear" w:color="auto" w:fill="auto"/>
            <w:noWrap/>
            <w:vAlign w:val="bottom"/>
            <w:hideMark/>
          </w:tcPr>
          <w:p w14:paraId="6388FFE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118 (87.4%)</w:t>
            </w:r>
          </w:p>
        </w:tc>
        <w:tc>
          <w:tcPr>
            <w:tcW w:w="666" w:type="dxa"/>
            <w:tcBorders>
              <w:top w:val="nil"/>
              <w:left w:val="nil"/>
              <w:bottom w:val="nil"/>
              <w:right w:val="single" w:sz="4" w:space="0" w:color="auto"/>
            </w:tcBorders>
            <w:shd w:val="clear" w:color="auto" w:fill="auto"/>
            <w:noWrap/>
            <w:vAlign w:val="bottom"/>
            <w:hideMark/>
          </w:tcPr>
          <w:p w14:paraId="19CE963E"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&lt;0.0001</w:t>
            </w:r>
          </w:p>
        </w:tc>
        <w:tc>
          <w:tcPr>
            <w:tcW w:w="1268" w:type="dxa"/>
            <w:tcBorders>
              <w:top w:val="nil"/>
              <w:left w:val="nil"/>
              <w:bottom w:val="nil"/>
              <w:right w:val="single" w:sz="4" w:space="0" w:color="auto"/>
            </w:tcBorders>
            <w:shd w:val="clear" w:color="auto" w:fill="auto"/>
            <w:noWrap/>
            <w:vAlign w:val="bottom"/>
            <w:hideMark/>
          </w:tcPr>
          <w:p w14:paraId="2566810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2604 (59.5%)</w:t>
            </w:r>
          </w:p>
        </w:tc>
      </w:tr>
      <w:tr w:rsidR="00E30D79" w:rsidRPr="00C515A5" w14:paraId="738B4F99"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3D459F8C"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Sex</w:t>
            </w:r>
            <w:proofErr w:type="spellEnd"/>
            <w:r w:rsidRPr="00C515A5">
              <w:rPr>
                <w:rFonts w:ascii="Calibri" w:eastAsia="Times New Roman" w:hAnsi="Calibri"/>
                <w:color w:val="000000"/>
                <w:sz w:val="16"/>
                <w:szCs w:val="16"/>
              </w:rPr>
              <w:t xml:space="preserve"> (Male)</w:t>
            </w:r>
          </w:p>
        </w:tc>
        <w:tc>
          <w:tcPr>
            <w:tcW w:w="992" w:type="dxa"/>
            <w:tcBorders>
              <w:top w:val="nil"/>
              <w:left w:val="single" w:sz="4" w:space="0" w:color="auto"/>
              <w:bottom w:val="nil"/>
              <w:right w:val="single" w:sz="4" w:space="0" w:color="auto"/>
            </w:tcBorders>
            <w:shd w:val="clear" w:color="000000" w:fill="D9D9D9"/>
            <w:vAlign w:val="bottom"/>
          </w:tcPr>
          <w:p w14:paraId="3306A53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5271 (77.7%)</w:t>
            </w:r>
          </w:p>
        </w:tc>
        <w:tc>
          <w:tcPr>
            <w:tcW w:w="992" w:type="dxa"/>
            <w:tcBorders>
              <w:top w:val="nil"/>
              <w:left w:val="single" w:sz="4" w:space="0" w:color="auto"/>
              <w:bottom w:val="nil"/>
              <w:right w:val="single" w:sz="4" w:space="0" w:color="auto"/>
            </w:tcBorders>
            <w:shd w:val="clear" w:color="000000" w:fill="D9D9D9"/>
            <w:noWrap/>
            <w:vAlign w:val="bottom"/>
            <w:hideMark/>
          </w:tcPr>
          <w:p w14:paraId="20FBE86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376 (74.9%)</w:t>
            </w:r>
          </w:p>
        </w:tc>
        <w:tc>
          <w:tcPr>
            <w:tcW w:w="1038" w:type="dxa"/>
            <w:gridSpan w:val="2"/>
            <w:tcBorders>
              <w:top w:val="nil"/>
              <w:left w:val="nil"/>
              <w:bottom w:val="nil"/>
              <w:right w:val="single" w:sz="4" w:space="0" w:color="auto"/>
            </w:tcBorders>
            <w:shd w:val="clear" w:color="000000" w:fill="D9D9D9"/>
            <w:noWrap/>
            <w:vAlign w:val="bottom"/>
            <w:hideMark/>
          </w:tcPr>
          <w:p w14:paraId="7B1043B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615 (78.6%)</w:t>
            </w:r>
          </w:p>
        </w:tc>
        <w:tc>
          <w:tcPr>
            <w:tcW w:w="952" w:type="dxa"/>
            <w:tcBorders>
              <w:top w:val="nil"/>
              <w:left w:val="nil"/>
              <w:bottom w:val="nil"/>
              <w:right w:val="nil"/>
            </w:tcBorders>
            <w:shd w:val="clear" w:color="000000" w:fill="D9D9D9"/>
            <w:noWrap/>
            <w:vAlign w:val="bottom"/>
            <w:hideMark/>
          </w:tcPr>
          <w:p w14:paraId="3A036E9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192 (78.4%)</w:t>
            </w:r>
          </w:p>
        </w:tc>
        <w:tc>
          <w:tcPr>
            <w:tcW w:w="992" w:type="dxa"/>
            <w:tcBorders>
              <w:top w:val="nil"/>
              <w:left w:val="single" w:sz="4" w:space="0" w:color="auto"/>
              <w:bottom w:val="nil"/>
              <w:right w:val="single" w:sz="4" w:space="0" w:color="auto"/>
            </w:tcBorders>
            <w:shd w:val="clear" w:color="000000" w:fill="D9D9D9"/>
            <w:noWrap/>
            <w:vAlign w:val="bottom"/>
            <w:hideMark/>
          </w:tcPr>
          <w:p w14:paraId="30B69B4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101 (75.9%)</w:t>
            </w:r>
          </w:p>
        </w:tc>
        <w:tc>
          <w:tcPr>
            <w:tcW w:w="992" w:type="dxa"/>
            <w:tcBorders>
              <w:top w:val="nil"/>
              <w:left w:val="single" w:sz="4" w:space="0" w:color="auto"/>
              <w:bottom w:val="nil"/>
              <w:right w:val="double" w:sz="4" w:space="0" w:color="auto"/>
            </w:tcBorders>
            <w:shd w:val="clear" w:color="000000" w:fill="D9D9D9"/>
            <w:vAlign w:val="bottom"/>
          </w:tcPr>
          <w:p w14:paraId="686EE4E0"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0.43</w:t>
            </w:r>
          </w:p>
        </w:tc>
        <w:tc>
          <w:tcPr>
            <w:tcW w:w="992" w:type="dxa"/>
            <w:tcBorders>
              <w:top w:val="nil"/>
              <w:left w:val="double" w:sz="4" w:space="0" w:color="auto"/>
              <w:bottom w:val="nil"/>
              <w:right w:val="single" w:sz="4" w:space="0" w:color="auto"/>
            </w:tcBorders>
            <w:shd w:val="clear" w:color="000000" w:fill="D9D9D9"/>
            <w:noWrap/>
            <w:vAlign w:val="bottom"/>
            <w:hideMark/>
          </w:tcPr>
          <w:p w14:paraId="014F648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290 (76.3%)</w:t>
            </w:r>
          </w:p>
        </w:tc>
        <w:tc>
          <w:tcPr>
            <w:tcW w:w="993" w:type="dxa"/>
            <w:tcBorders>
              <w:top w:val="nil"/>
              <w:left w:val="nil"/>
              <w:bottom w:val="nil"/>
              <w:right w:val="single" w:sz="4" w:space="0" w:color="auto"/>
            </w:tcBorders>
            <w:shd w:val="clear" w:color="000000" w:fill="D9D9D9"/>
            <w:noWrap/>
            <w:vAlign w:val="bottom"/>
            <w:hideMark/>
          </w:tcPr>
          <w:p w14:paraId="5DD0723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174 (74.4%)</w:t>
            </w:r>
          </w:p>
        </w:tc>
        <w:tc>
          <w:tcPr>
            <w:tcW w:w="992" w:type="dxa"/>
            <w:tcBorders>
              <w:top w:val="nil"/>
              <w:left w:val="nil"/>
              <w:bottom w:val="nil"/>
              <w:right w:val="single" w:sz="4" w:space="0" w:color="auto"/>
            </w:tcBorders>
            <w:shd w:val="clear" w:color="000000" w:fill="D9D9D9"/>
            <w:noWrap/>
            <w:vAlign w:val="bottom"/>
            <w:hideMark/>
          </w:tcPr>
          <w:p w14:paraId="20BBC79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98 (72.6%)</w:t>
            </w:r>
          </w:p>
        </w:tc>
        <w:tc>
          <w:tcPr>
            <w:tcW w:w="666" w:type="dxa"/>
            <w:tcBorders>
              <w:top w:val="nil"/>
              <w:left w:val="nil"/>
              <w:bottom w:val="nil"/>
              <w:right w:val="single" w:sz="4" w:space="0" w:color="auto"/>
            </w:tcBorders>
            <w:shd w:val="clear" w:color="000000" w:fill="D9D9D9"/>
            <w:noWrap/>
            <w:vAlign w:val="bottom"/>
            <w:hideMark/>
          </w:tcPr>
          <w:p w14:paraId="5EE5801D"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0.84</w:t>
            </w:r>
          </w:p>
        </w:tc>
        <w:tc>
          <w:tcPr>
            <w:tcW w:w="1268" w:type="dxa"/>
            <w:tcBorders>
              <w:top w:val="nil"/>
              <w:left w:val="nil"/>
              <w:bottom w:val="nil"/>
              <w:right w:val="single" w:sz="4" w:space="0" w:color="auto"/>
            </w:tcBorders>
            <w:shd w:val="clear" w:color="000000" w:fill="D9D9D9"/>
            <w:noWrap/>
            <w:vAlign w:val="bottom"/>
            <w:hideMark/>
          </w:tcPr>
          <w:p w14:paraId="2570CD93"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3425 (78.3%)</w:t>
            </w:r>
          </w:p>
        </w:tc>
      </w:tr>
      <w:tr w:rsidR="00E30D79" w:rsidRPr="00C515A5" w14:paraId="5B5C5A8E"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4279A08F" w14:textId="77777777" w:rsidR="00E30D79" w:rsidRPr="00C515A5" w:rsidRDefault="00E30D79" w:rsidP="00C26C4B">
            <w:pPr>
              <w:rPr>
                <w:rFonts w:ascii="Calibri" w:eastAsia="Times New Roman" w:hAnsi="Calibri"/>
                <w:color w:val="000000"/>
                <w:sz w:val="16"/>
                <w:szCs w:val="16"/>
              </w:rPr>
            </w:pPr>
            <w:r w:rsidRPr="00C515A5">
              <w:rPr>
                <w:rFonts w:ascii="Calibri" w:eastAsia="Times New Roman" w:hAnsi="Calibri"/>
                <w:color w:val="000000"/>
                <w:sz w:val="16"/>
                <w:szCs w:val="16"/>
              </w:rPr>
              <w:t>Age (</w:t>
            </w:r>
            <w:proofErr w:type="spellStart"/>
            <w:r w:rsidRPr="00C515A5">
              <w:rPr>
                <w:rFonts w:ascii="Calibri" w:eastAsia="Times New Roman" w:hAnsi="Calibri"/>
                <w:color w:val="000000"/>
                <w:sz w:val="16"/>
                <w:szCs w:val="16"/>
              </w:rPr>
              <w:t>years</w:t>
            </w:r>
            <w:proofErr w:type="spellEnd"/>
            <w:r w:rsidRPr="00C515A5">
              <w:rPr>
                <w:rFonts w:ascii="Calibri" w:eastAsia="Times New Roman" w:hAnsi="Calibri"/>
                <w:color w:val="000000"/>
                <w:sz w:val="16"/>
                <w:szCs w:val="16"/>
              </w:rPr>
              <w:t>)</w:t>
            </w:r>
          </w:p>
        </w:tc>
        <w:tc>
          <w:tcPr>
            <w:tcW w:w="992" w:type="dxa"/>
            <w:tcBorders>
              <w:top w:val="nil"/>
              <w:left w:val="single" w:sz="4" w:space="0" w:color="auto"/>
              <w:bottom w:val="nil"/>
              <w:right w:val="single" w:sz="4" w:space="0" w:color="auto"/>
            </w:tcBorders>
            <w:vAlign w:val="bottom"/>
          </w:tcPr>
          <w:p w14:paraId="4F11711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62.6 (13.16)</w:t>
            </w:r>
          </w:p>
        </w:tc>
        <w:tc>
          <w:tcPr>
            <w:tcW w:w="992" w:type="dxa"/>
            <w:tcBorders>
              <w:top w:val="nil"/>
              <w:left w:val="single" w:sz="4" w:space="0" w:color="auto"/>
              <w:bottom w:val="nil"/>
              <w:right w:val="single" w:sz="4" w:space="0" w:color="auto"/>
            </w:tcBorders>
            <w:shd w:val="clear" w:color="auto" w:fill="auto"/>
            <w:noWrap/>
            <w:vAlign w:val="bottom"/>
            <w:hideMark/>
          </w:tcPr>
          <w:p w14:paraId="6B2BF20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63.9 (13.13)</w:t>
            </w:r>
          </w:p>
        </w:tc>
        <w:tc>
          <w:tcPr>
            <w:tcW w:w="1038" w:type="dxa"/>
            <w:gridSpan w:val="2"/>
            <w:tcBorders>
              <w:top w:val="nil"/>
              <w:left w:val="nil"/>
              <w:bottom w:val="nil"/>
              <w:right w:val="single" w:sz="4" w:space="0" w:color="auto"/>
            </w:tcBorders>
            <w:shd w:val="clear" w:color="auto" w:fill="auto"/>
            <w:noWrap/>
            <w:vAlign w:val="bottom"/>
            <w:hideMark/>
          </w:tcPr>
          <w:p w14:paraId="0FF076E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63.9 (13.49)</w:t>
            </w:r>
          </w:p>
        </w:tc>
        <w:tc>
          <w:tcPr>
            <w:tcW w:w="952" w:type="dxa"/>
            <w:tcBorders>
              <w:top w:val="nil"/>
              <w:left w:val="nil"/>
              <w:bottom w:val="nil"/>
              <w:right w:val="nil"/>
            </w:tcBorders>
            <w:shd w:val="clear" w:color="auto" w:fill="auto"/>
            <w:noWrap/>
            <w:vAlign w:val="bottom"/>
            <w:hideMark/>
          </w:tcPr>
          <w:p w14:paraId="170EEBC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61.3 (14.37)</w:t>
            </w:r>
          </w:p>
        </w:tc>
        <w:tc>
          <w:tcPr>
            <w:tcW w:w="992" w:type="dxa"/>
            <w:tcBorders>
              <w:top w:val="nil"/>
              <w:left w:val="single" w:sz="4" w:space="0" w:color="auto"/>
              <w:bottom w:val="nil"/>
              <w:right w:val="single" w:sz="4" w:space="0" w:color="auto"/>
            </w:tcBorders>
            <w:shd w:val="clear" w:color="auto" w:fill="auto"/>
            <w:noWrap/>
            <w:vAlign w:val="bottom"/>
            <w:hideMark/>
          </w:tcPr>
          <w:p w14:paraId="3277823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60.4 (13.85)</w:t>
            </w:r>
          </w:p>
        </w:tc>
        <w:tc>
          <w:tcPr>
            <w:tcW w:w="992" w:type="dxa"/>
            <w:tcBorders>
              <w:top w:val="nil"/>
              <w:left w:val="single" w:sz="4" w:space="0" w:color="auto"/>
              <w:bottom w:val="nil"/>
              <w:right w:val="double" w:sz="4" w:space="0" w:color="auto"/>
            </w:tcBorders>
            <w:vAlign w:val="bottom"/>
          </w:tcPr>
          <w:p w14:paraId="2DCC354E"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0.001</w:t>
            </w:r>
          </w:p>
        </w:tc>
        <w:tc>
          <w:tcPr>
            <w:tcW w:w="992" w:type="dxa"/>
            <w:tcBorders>
              <w:top w:val="nil"/>
              <w:left w:val="double" w:sz="4" w:space="0" w:color="auto"/>
              <w:bottom w:val="nil"/>
              <w:right w:val="single" w:sz="4" w:space="0" w:color="auto"/>
            </w:tcBorders>
            <w:shd w:val="clear" w:color="auto" w:fill="auto"/>
            <w:noWrap/>
            <w:vAlign w:val="bottom"/>
            <w:hideMark/>
          </w:tcPr>
          <w:p w14:paraId="0E25AE5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63.4 (13.85)</w:t>
            </w:r>
          </w:p>
        </w:tc>
        <w:tc>
          <w:tcPr>
            <w:tcW w:w="993" w:type="dxa"/>
            <w:tcBorders>
              <w:top w:val="nil"/>
              <w:left w:val="nil"/>
              <w:bottom w:val="nil"/>
              <w:right w:val="single" w:sz="4" w:space="0" w:color="auto"/>
            </w:tcBorders>
            <w:shd w:val="clear" w:color="auto" w:fill="auto"/>
            <w:noWrap/>
            <w:vAlign w:val="bottom"/>
            <w:hideMark/>
          </w:tcPr>
          <w:p w14:paraId="569DA0C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62.4 (12.82)</w:t>
            </w:r>
          </w:p>
        </w:tc>
        <w:tc>
          <w:tcPr>
            <w:tcW w:w="992" w:type="dxa"/>
            <w:tcBorders>
              <w:top w:val="nil"/>
              <w:left w:val="nil"/>
              <w:bottom w:val="nil"/>
              <w:right w:val="single" w:sz="4" w:space="0" w:color="auto"/>
            </w:tcBorders>
            <w:shd w:val="clear" w:color="auto" w:fill="auto"/>
            <w:noWrap/>
            <w:vAlign w:val="bottom"/>
            <w:hideMark/>
          </w:tcPr>
          <w:p w14:paraId="782F0C4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59.7 (14.23)</w:t>
            </w:r>
          </w:p>
        </w:tc>
        <w:tc>
          <w:tcPr>
            <w:tcW w:w="666" w:type="dxa"/>
            <w:tcBorders>
              <w:top w:val="nil"/>
              <w:left w:val="nil"/>
              <w:bottom w:val="nil"/>
              <w:right w:val="single" w:sz="4" w:space="0" w:color="auto"/>
            </w:tcBorders>
            <w:shd w:val="clear" w:color="auto" w:fill="auto"/>
            <w:noWrap/>
            <w:vAlign w:val="bottom"/>
            <w:hideMark/>
          </w:tcPr>
          <w:p w14:paraId="3FF7BD6A"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0.002</w:t>
            </w:r>
          </w:p>
        </w:tc>
        <w:tc>
          <w:tcPr>
            <w:tcW w:w="1268" w:type="dxa"/>
            <w:tcBorders>
              <w:top w:val="nil"/>
              <w:left w:val="nil"/>
              <w:bottom w:val="nil"/>
              <w:right w:val="single" w:sz="4" w:space="0" w:color="auto"/>
            </w:tcBorders>
            <w:shd w:val="clear" w:color="auto" w:fill="auto"/>
            <w:noWrap/>
            <w:vAlign w:val="bottom"/>
            <w:hideMark/>
          </w:tcPr>
          <w:p w14:paraId="1E2A6473"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62.3 (12.9)</w:t>
            </w:r>
          </w:p>
        </w:tc>
      </w:tr>
      <w:tr w:rsidR="00E30D79" w:rsidRPr="00C515A5" w14:paraId="056ED16E"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010ADE12"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Former</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smoker</w:t>
            </w:r>
            <w:proofErr w:type="spellEnd"/>
          </w:p>
        </w:tc>
        <w:tc>
          <w:tcPr>
            <w:tcW w:w="992" w:type="dxa"/>
            <w:tcBorders>
              <w:top w:val="nil"/>
              <w:left w:val="single" w:sz="4" w:space="0" w:color="auto"/>
              <w:bottom w:val="nil"/>
              <w:right w:val="single" w:sz="4" w:space="0" w:color="auto"/>
            </w:tcBorders>
            <w:shd w:val="clear" w:color="000000" w:fill="D9D9D9"/>
            <w:vAlign w:val="bottom"/>
          </w:tcPr>
          <w:p w14:paraId="18F5FBE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2504 (36.9%)</w:t>
            </w:r>
          </w:p>
        </w:tc>
        <w:tc>
          <w:tcPr>
            <w:tcW w:w="992" w:type="dxa"/>
            <w:tcBorders>
              <w:top w:val="nil"/>
              <w:left w:val="single" w:sz="4" w:space="0" w:color="auto"/>
              <w:bottom w:val="nil"/>
              <w:right w:val="single" w:sz="4" w:space="0" w:color="auto"/>
            </w:tcBorders>
            <w:shd w:val="clear" w:color="000000" w:fill="D9D9D9"/>
            <w:noWrap/>
            <w:vAlign w:val="bottom"/>
            <w:hideMark/>
          </w:tcPr>
          <w:p w14:paraId="2FCDC2E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146 (29.1%)</w:t>
            </w:r>
          </w:p>
        </w:tc>
        <w:tc>
          <w:tcPr>
            <w:tcW w:w="1038" w:type="dxa"/>
            <w:gridSpan w:val="2"/>
            <w:tcBorders>
              <w:top w:val="nil"/>
              <w:left w:val="nil"/>
              <w:bottom w:val="nil"/>
              <w:right w:val="single" w:sz="4" w:space="0" w:color="auto"/>
            </w:tcBorders>
            <w:shd w:val="clear" w:color="000000" w:fill="D9D9D9"/>
            <w:noWrap/>
            <w:vAlign w:val="bottom"/>
            <w:hideMark/>
          </w:tcPr>
          <w:p w14:paraId="03BC0D07"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265 (33.9%)</w:t>
            </w:r>
          </w:p>
        </w:tc>
        <w:tc>
          <w:tcPr>
            <w:tcW w:w="952" w:type="dxa"/>
            <w:tcBorders>
              <w:top w:val="nil"/>
              <w:left w:val="nil"/>
              <w:bottom w:val="nil"/>
              <w:right w:val="nil"/>
            </w:tcBorders>
            <w:shd w:val="clear" w:color="000000" w:fill="D9D9D9"/>
            <w:noWrap/>
            <w:vAlign w:val="bottom"/>
            <w:hideMark/>
          </w:tcPr>
          <w:p w14:paraId="604C783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101 (41.2%)</w:t>
            </w:r>
          </w:p>
        </w:tc>
        <w:tc>
          <w:tcPr>
            <w:tcW w:w="992" w:type="dxa"/>
            <w:tcBorders>
              <w:top w:val="nil"/>
              <w:left w:val="single" w:sz="4" w:space="0" w:color="auto"/>
              <w:bottom w:val="nil"/>
              <w:right w:val="single" w:sz="4" w:space="0" w:color="auto"/>
            </w:tcBorders>
            <w:shd w:val="clear" w:color="000000" w:fill="D9D9D9"/>
            <w:noWrap/>
            <w:vAlign w:val="bottom"/>
            <w:hideMark/>
          </w:tcPr>
          <w:p w14:paraId="70AD57D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53 (39.8%)</w:t>
            </w:r>
          </w:p>
        </w:tc>
        <w:tc>
          <w:tcPr>
            <w:tcW w:w="992" w:type="dxa"/>
            <w:tcBorders>
              <w:top w:val="nil"/>
              <w:left w:val="single" w:sz="4" w:space="0" w:color="auto"/>
              <w:bottom w:val="nil"/>
              <w:right w:val="double" w:sz="4" w:space="0" w:color="auto"/>
            </w:tcBorders>
            <w:shd w:val="clear" w:color="000000" w:fill="D9D9D9"/>
            <w:vAlign w:val="bottom"/>
          </w:tcPr>
          <w:p w14:paraId="450FEAE9"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0.001</w:t>
            </w:r>
          </w:p>
        </w:tc>
        <w:tc>
          <w:tcPr>
            <w:tcW w:w="992" w:type="dxa"/>
            <w:tcBorders>
              <w:top w:val="nil"/>
              <w:left w:val="double" w:sz="4" w:space="0" w:color="auto"/>
              <w:bottom w:val="nil"/>
              <w:right w:val="single" w:sz="4" w:space="0" w:color="auto"/>
            </w:tcBorders>
            <w:shd w:val="clear" w:color="000000" w:fill="D9D9D9"/>
            <w:noWrap/>
            <w:vAlign w:val="bottom"/>
            <w:hideMark/>
          </w:tcPr>
          <w:p w14:paraId="0EB3C6C9"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131 (34.5%)</w:t>
            </w:r>
          </w:p>
        </w:tc>
        <w:tc>
          <w:tcPr>
            <w:tcW w:w="993" w:type="dxa"/>
            <w:tcBorders>
              <w:top w:val="nil"/>
              <w:left w:val="nil"/>
              <w:bottom w:val="nil"/>
              <w:right w:val="single" w:sz="4" w:space="0" w:color="auto"/>
            </w:tcBorders>
            <w:shd w:val="clear" w:color="000000" w:fill="D9D9D9"/>
            <w:noWrap/>
            <w:vAlign w:val="bottom"/>
            <w:hideMark/>
          </w:tcPr>
          <w:p w14:paraId="21DDD43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78 (33.3%)</w:t>
            </w:r>
          </w:p>
        </w:tc>
        <w:tc>
          <w:tcPr>
            <w:tcW w:w="992" w:type="dxa"/>
            <w:tcBorders>
              <w:top w:val="nil"/>
              <w:left w:val="nil"/>
              <w:bottom w:val="nil"/>
              <w:right w:val="single" w:sz="4" w:space="0" w:color="auto"/>
            </w:tcBorders>
            <w:shd w:val="clear" w:color="000000" w:fill="D9D9D9"/>
            <w:noWrap/>
            <w:vAlign w:val="bottom"/>
            <w:hideMark/>
          </w:tcPr>
          <w:p w14:paraId="562297C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32 (23.7%)</w:t>
            </w:r>
          </w:p>
        </w:tc>
        <w:tc>
          <w:tcPr>
            <w:tcW w:w="666" w:type="dxa"/>
            <w:tcBorders>
              <w:top w:val="nil"/>
              <w:left w:val="nil"/>
              <w:bottom w:val="nil"/>
              <w:right w:val="single" w:sz="4" w:space="0" w:color="auto"/>
            </w:tcBorders>
            <w:shd w:val="clear" w:color="000000" w:fill="D9D9D9"/>
            <w:noWrap/>
            <w:vAlign w:val="bottom"/>
            <w:hideMark/>
          </w:tcPr>
          <w:p w14:paraId="08263CD6"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0.14</w:t>
            </w:r>
          </w:p>
        </w:tc>
        <w:tc>
          <w:tcPr>
            <w:tcW w:w="1268" w:type="dxa"/>
            <w:tcBorders>
              <w:top w:val="nil"/>
              <w:left w:val="nil"/>
              <w:bottom w:val="nil"/>
              <w:right w:val="single" w:sz="4" w:space="0" w:color="auto"/>
            </w:tcBorders>
            <w:shd w:val="clear" w:color="000000" w:fill="D9D9D9"/>
            <w:noWrap/>
            <w:vAlign w:val="bottom"/>
            <w:hideMark/>
          </w:tcPr>
          <w:p w14:paraId="3DF89B69"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1698 (38.8%)</w:t>
            </w:r>
          </w:p>
        </w:tc>
      </w:tr>
      <w:tr w:rsidR="00E30D79" w:rsidRPr="00C515A5" w14:paraId="48909F54"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07652AFA"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Current</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smoker</w:t>
            </w:r>
            <w:proofErr w:type="spellEnd"/>
          </w:p>
        </w:tc>
        <w:tc>
          <w:tcPr>
            <w:tcW w:w="992" w:type="dxa"/>
            <w:tcBorders>
              <w:top w:val="nil"/>
              <w:left w:val="single" w:sz="4" w:space="0" w:color="auto"/>
              <w:bottom w:val="nil"/>
              <w:right w:val="single" w:sz="4" w:space="0" w:color="auto"/>
            </w:tcBorders>
            <w:vAlign w:val="bottom"/>
          </w:tcPr>
          <w:p w14:paraId="4F2E6D4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913 (13.5%)</w:t>
            </w:r>
          </w:p>
        </w:tc>
        <w:tc>
          <w:tcPr>
            <w:tcW w:w="992" w:type="dxa"/>
            <w:tcBorders>
              <w:top w:val="nil"/>
              <w:left w:val="single" w:sz="4" w:space="0" w:color="auto"/>
              <w:bottom w:val="nil"/>
              <w:right w:val="single" w:sz="4" w:space="0" w:color="auto"/>
            </w:tcBorders>
            <w:shd w:val="clear" w:color="auto" w:fill="auto"/>
            <w:noWrap/>
            <w:vAlign w:val="bottom"/>
            <w:hideMark/>
          </w:tcPr>
          <w:p w14:paraId="4322CF9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44 (8.8%)</w:t>
            </w:r>
          </w:p>
        </w:tc>
        <w:tc>
          <w:tcPr>
            <w:tcW w:w="1038" w:type="dxa"/>
            <w:gridSpan w:val="2"/>
            <w:tcBorders>
              <w:top w:val="nil"/>
              <w:left w:val="nil"/>
              <w:bottom w:val="nil"/>
              <w:right w:val="single" w:sz="4" w:space="0" w:color="auto"/>
            </w:tcBorders>
            <w:shd w:val="clear" w:color="auto" w:fill="auto"/>
            <w:noWrap/>
            <w:vAlign w:val="bottom"/>
            <w:hideMark/>
          </w:tcPr>
          <w:p w14:paraId="2983112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103 (13.2%)</w:t>
            </w:r>
          </w:p>
        </w:tc>
        <w:tc>
          <w:tcPr>
            <w:tcW w:w="952" w:type="dxa"/>
            <w:tcBorders>
              <w:top w:val="nil"/>
              <w:left w:val="nil"/>
              <w:bottom w:val="nil"/>
              <w:right w:val="nil"/>
            </w:tcBorders>
            <w:shd w:val="clear" w:color="auto" w:fill="auto"/>
            <w:noWrap/>
            <w:vAlign w:val="bottom"/>
            <w:hideMark/>
          </w:tcPr>
          <w:p w14:paraId="2434CBB9"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21 (8.6%)</w:t>
            </w:r>
          </w:p>
        </w:tc>
        <w:tc>
          <w:tcPr>
            <w:tcW w:w="992" w:type="dxa"/>
            <w:tcBorders>
              <w:top w:val="nil"/>
              <w:left w:val="single" w:sz="4" w:space="0" w:color="auto"/>
              <w:bottom w:val="nil"/>
              <w:right w:val="single" w:sz="4" w:space="0" w:color="auto"/>
            </w:tcBorders>
            <w:shd w:val="clear" w:color="auto" w:fill="auto"/>
            <w:noWrap/>
            <w:vAlign w:val="bottom"/>
            <w:hideMark/>
          </w:tcPr>
          <w:p w14:paraId="18783C8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17 (12.8%)</w:t>
            </w:r>
          </w:p>
        </w:tc>
        <w:tc>
          <w:tcPr>
            <w:tcW w:w="992" w:type="dxa"/>
            <w:tcBorders>
              <w:top w:val="nil"/>
              <w:left w:val="single" w:sz="4" w:space="0" w:color="auto"/>
              <w:bottom w:val="nil"/>
              <w:right w:val="double" w:sz="4" w:space="0" w:color="auto"/>
            </w:tcBorders>
            <w:vAlign w:val="bottom"/>
          </w:tcPr>
          <w:p w14:paraId="57B76D26" w14:textId="77777777" w:rsidR="00E30D79" w:rsidRPr="00BB44A4" w:rsidRDefault="00E30D79" w:rsidP="00C26C4B">
            <w:pPr>
              <w:jc w:val="center"/>
              <w:rPr>
                <w:rFonts w:ascii="Calibri" w:hAnsi="Calibri" w:cs="Calibri"/>
                <w:color w:val="000000"/>
                <w:sz w:val="16"/>
                <w:szCs w:val="16"/>
              </w:rPr>
            </w:pPr>
          </w:p>
        </w:tc>
        <w:tc>
          <w:tcPr>
            <w:tcW w:w="992" w:type="dxa"/>
            <w:tcBorders>
              <w:top w:val="nil"/>
              <w:left w:val="double" w:sz="4" w:space="0" w:color="auto"/>
              <w:bottom w:val="nil"/>
              <w:right w:val="single" w:sz="4" w:space="0" w:color="auto"/>
            </w:tcBorders>
            <w:shd w:val="clear" w:color="auto" w:fill="auto"/>
            <w:noWrap/>
            <w:vAlign w:val="bottom"/>
            <w:hideMark/>
          </w:tcPr>
          <w:p w14:paraId="32E31DA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42 (11.1%)</w:t>
            </w:r>
          </w:p>
        </w:tc>
        <w:tc>
          <w:tcPr>
            <w:tcW w:w="993" w:type="dxa"/>
            <w:tcBorders>
              <w:top w:val="nil"/>
              <w:left w:val="nil"/>
              <w:bottom w:val="nil"/>
              <w:right w:val="single" w:sz="4" w:space="0" w:color="auto"/>
            </w:tcBorders>
            <w:shd w:val="clear" w:color="auto" w:fill="auto"/>
            <w:noWrap/>
            <w:vAlign w:val="bottom"/>
            <w:hideMark/>
          </w:tcPr>
          <w:p w14:paraId="4DF64BA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23 (9.8%)</w:t>
            </w:r>
          </w:p>
        </w:tc>
        <w:tc>
          <w:tcPr>
            <w:tcW w:w="992" w:type="dxa"/>
            <w:tcBorders>
              <w:top w:val="nil"/>
              <w:left w:val="nil"/>
              <w:bottom w:val="nil"/>
              <w:right w:val="single" w:sz="4" w:space="0" w:color="auto"/>
            </w:tcBorders>
            <w:shd w:val="clear" w:color="auto" w:fill="auto"/>
            <w:noWrap/>
            <w:vAlign w:val="bottom"/>
            <w:hideMark/>
          </w:tcPr>
          <w:p w14:paraId="7CC0AB97"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13 (9.6%)</w:t>
            </w:r>
          </w:p>
        </w:tc>
        <w:tc>
          <w:tcPr>
            <w:tcW w:w="666" w:type="dxa"/>
            <w:tcBorders>
              <w:top w:val="nil"/>
              <w:left w:val="nil"/>
              <w:bottom w:val="nil"/>
              <w:right w:val="single" w:sz="4" w:space="0" w:color="auto"/>
            </w:tcBorders>
            <w:shd w:val="clear" w:color="auto" w:fill="auto"/>
            <w:noWrap/>
            <w:vAlign w:val="bottom"/>
            <w:hideMark/>
          </w:tcPr>
          <w:p w14:paraId="0683B7F8" w14:textId="77777777" w:rsidR="00E30D79" w:rsidRPr="00BB44A4" w:rsidRDefault="00E30D79" w:rsidP="00C26C4B">
            <w:pPr>
              <w:jc w:val="center"/>
              <w:rPr>
                <w:rFonts w:ascii="Calibri" w:hAnsi="Calibri" w:cs="Calibri"/>
                <w:color w:val="000000"/>
                <w:sz w:val="16"/>
                <w:szCs w:val="16"/>
              </w:rPr>
            </w:pPr>
          </w:p>
        </w:tc>
        <w:tc>
          <w:tcPr>
            <w:tcW w:w="1268" w:type="dxa"/>
            <w:tcBorders>
              <w:top w:val="nil"/>
              <w:left w:val="nil"/>
              <w:bottom w:val="nil"/>
              <w:right w:val="single" w:sz="4" w:space="0" w:color="auto"/>
            </w:tcBorders>
            <w:shd w:val="clear" w:color="auto" w:fill="auto"/>
            <w:noWrap/>
            <w:vAlign w:val="bottom"/>
            <w:hideMark/>
          </w:tcPr>
          <w:p w14:paraId="06355F2B"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650 (14.9%)</w:t>
            </w:r>
          </w:p>
        </w:tc>
      </w:tr>
      <w:tr w:rsidR="00E30D79" w:rsidRPr="00C515A5" w14:paraId="1263D320"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6F3D47E2" w14:textId="77777777" w:rsidR="00E30D79" w:rsidRPr="00C515A5"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Chronic</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obstructive</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pulmonary</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disease</w:t>
            </w:r>
            <w:proofErr w:type="spellEnd"/>
          </w:p>
        </w:tc>
        <w:tc>
          <w:tcPr>
            <w:tcW w:w="992" w:type="dxa"/>
            <w:tcBorders>
              <w:top w:val="nil"/>
              <w:left w:val="single" w:sz="4" w:space="0" w:color="auto"/>
              <w:bottom w:val="nil"/>
              <w:right w:val="single" w:sz="4" w:space="0" w:color="auto"/>
            </w:tcBorders>
            <w:shd w:val="clear" w:color="000000" w:fill="D9D9D9"/>
            <w:vAlign w:val="bottom"/>
          </w:tcPr>
          <w:p w14:paraId="1CFB984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726 (10.7%)</w:t>
            </w:r>
          </w:p>
        </w:tc>
        <w:tc>
          <w:tcPr>
            <w:tcW w:w="992" w:type="dxa"/>
            <w:tcBorders>
              <w:top w:val="nil"/>
              <w:left w:val="single" w:sz="4" w:space="0" w:color="auto"/>
              <w:bottom w:val="nil"/>
              <w:right w:val="single" w:sz="4" w:space="0" w:color="auto"/>
            </w:tcBorders>
            <w:shd w:val="clear" w:color="000000" w:fill="D9D9D9"/>
            <w:noWrap/>
            <w:vAlign w:val="bottom"/>
            <w:hideMark/>
          </w:tcPr>
          <w:p w14:paraId="7B0E645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68 (13.7%)</w:t>
            </w:r>
          </w:p>
        </w:tc>
        <w:tc>
          <w:tcPr>
            <w:tcW w:w="1038" w:type="dxa"/>
            <w:gridSpan w:val="2"/>
            <w:tcBorders>
              <w:top w:val="nil"/>
              <w:left w:val="nil"/>
              <w:bottom w:val="nil"/>
              <w:right w:val="single" w:sz="4" w:space="0" w:color="auto"/>
            </w:tcBorders>
            <w:shd w:val="clear" w:color="000000" w:fill="D9D9D9"/>
            <w:noWrap/>
            <w:vAlign w:val="bottom"/>
            <w:hideMark/>
          </w:tcPr>
          <w:p w14:paraId="722D2BE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81 (10.4%)</w:t>
            </w:r>
          </w:p>
        </w:tc>
        <w:tc>
          <w:tcPr>
            <w:tcW w:w="952" w:type="dxa"/>
            <w:tcBorders>
              <w:top w:val="nil"/>
              <w:left w:val="nil"/>
              <w:bottom w:val="nil"/>
              <w:right w:val="nil"/>
            </w:tcBorders>
            <w:shd w:val="clear" w:color="000000" w:fill="D9D9D9"/>
            <w:noWrap/>
            <w:vAlign w:val="bottom"/>
            <w:hideMark/>
          </w:tcPr>
          <w:p w14:paraId="49FB5C3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27 (11%)</w:t>
            </w:r>
          </w:p>
        </w:tc>
        <w:tc>
          <w:tcPr>
            <w:tcW w:w="992" w:type="dxa"/>
            <w:tcBorders>
              <w:top w:val="nil"/>
              <w:left w:val="single" w:sz="4" w:space="0" w:color="auto"/>
              <w:bottom w:val="nil"/>
              <w:right w:val="single" w:sz="4" w:space="0" w:color="auto"/>
            </w:tcBorders>
            <w:shd w:val="clear" w:color="000000" w:fill="D9D9D9"/>
            <w:noWrap/>
            <w:vAlign w:val="bottom"/>
            <w:hideMark/>
          </w:tcPr>
          <w:p w14:paraId="4B0EB06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 (9%)</w:t>
            </w:r>
          </w:p>
        </w:tc>
        <w:tc>
          <w:tcPr>
            <w:tcW w:w="992" w:type="dxa"/>
            <w:tcBorders>
              <w:top w:val="nil"/>
              <w:left w:val="single" w:sz="4" w:space="0" w:color="auto"/>
              <w:bottom w:val="nil"/>
              <w:right w:val="double" w:sz="4" w:space="0" w:color="auto"/>
            </w:tcBorders>
            <w:shd w:val="clear" w:color="000000" w:fill="D9D9D9"/>
            <w:vAlign w:val="bottom"/>
          </w:tcPr>
          <w:p w14:paraId="0D935A1C"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0.25</w:t>
            </w:r>
          </w:p>
        </w:tc>
        <w:tc>
          <w:tcPr>
            <w:tcW w:w="992" w:type="dxa"/>
            <w:tcBorders>
              <w:top w:val="nil"/>
              <w:left w:val="double" w:sz="4" w:space="0" w:color="auto"/>
              <w:bottom w:val="nil"/>
              <w:right w:val="single" w:sz="4" w:space="0" w:color="auto"/>
            </w:tcBorders>
            <w:shd w:val="clear" w:color="000000" w:fill="D9D9D9"/>
            <w:noWrap/>
            <w:vAlign w:val="bottom"/>
            <w:hideMark/>
          </w:tcPr>
          <w:p w14:paraId="68F4981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52 (13.7%)</w:t>
            </w:r>
          </w:p>
        </w:tc>
        <w:tc>
          <w:tcPr>
            <w:tcW w:w="993" w:type="dxa"/>
            <w:tcBorders>
              <w:top w:val="nil"/>
              <w:left w:val="nil"/>
              <w:bottom w:val="nil"/>
              <w:right w:val="single" w:sz="4" w:space="0" w:color="auto"/>
            </w:tcBorders>
            <w:shd w:val="clear" w:color="000000" w:fill="D9D9D9"/>
            <w:noWrap/>
            <w:vAlign w:val="bottom"/>
            <w:hideMark/>
          </w:tcPr>
          <w:p w14:paraId="0A7BCC3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39 (16.7%)</w:t>
            </w:r>
          </w:p>
        </w:tc>
        <w:tc>
          <w:tcPr>
            <w:tcW w:w="992" w:type="dxa"/>
            <w:tcBorders>
              <w:top w:val="nil"/>
              <w:left w:val="nil"/>
              <w:bottom w:val="nil"/>
              <w:right w:val="single" w:sz="4" w:space="0" w:color="auto"/>
            </w:tcBorders>
            <w:shd w:val="clear" w:color="000000" w:fill="D9D9D9"/>
            <w:noWrap/>
            <w:vAlign w:val="bottom"/>
            <w:hideMark/>
          </w:tcPr>
          <w:p w14:paraId="4A55A78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18 (13.3%)</w:t>
            </w:r>
          </w:p>
        </w:tc>
        <w:tc>
          <w:tcPr>
            <w:tcW w:w="666" w:type="dxa"/>
            <w:tcBorders>
              <w:top w:val="nil"/>
              <w:left w:val="nil"/>
              <w:bottom w:val="nil"/>
              <w:right w:val="single" w:sz="4" w:space="0" w:color="auto"/>
            </w:tcBorders>
            <w:shd w:val="clear" w:color="000000" w:fill="D9D9D9"/>
            <w:noWrap/>
            <w:vAlign w:val="bottom"/>
            <w:hideMark/>
          </w:tcPr>
          <w:p w14:paraId="5309C30F"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0.69</w:t>
            </w:r>
          </w:p>
        </w:tc>
        <w:tc>
          <w:tcPr>
            <w:tcW w:w="1268" w:type="dxa"/>
            <w:tcBorders>
              <w:top w:val="nil"/>
              <w:left w:val="nil"/>
              <w:bottom w:val="nil"/>
              <w:right w:val="single" w:sz="4" w:space="0" w:color="auto"/>
            </w:tcBorders>
            <w:shd w:val="clear" w:color="000000" w:fill="D9D9D9"/>
            <w:noWrap/>
            <w:vAlign w:val="bottom"/>
            <w:hideMark/>
          </w:tcPr>
          <w:p w14:paraId="388CF370"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429 (9.8%)</w:t>
            </w:r>
          </w:p>
        </w:tc>
      </w:tr>
      <w:tr w:rsidR="00E30D79" w:rsidRPr="00C515A5" w14:paraId="4C7DF422"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1AA73863" w14:textId="77777777" w:rsidR="00E30D79" w:rsidRPr="00C515A5"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Myocardial</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infarction</w:t>
            </w:r>
            <w:proofErr w:type="spellEnd"/>
          </w:p>
        </w:tc>
        <w:tc>
          <w:tcPr>
            <w:tcW w:w="992" w:type="dxa"/>
            <w:tcBorders>
              <w:top w:val="nil"/>
              <w:left w:val="single" w:sz="4" w:space="0" w:color="auto"/>
              <w:bottom w:val="nil"/>
              <w:right w:val="single" w:sz="4" w:space="0" w:color="auto"/>
            </w:tcBorders>
            <w:vAlign w:val="bottom"/>
          </w:tcPr>
          <w:p w14:paraId="1C2AE59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2211 (48.1%)</w:t>
            </w:r>
          </w:p>
        </w:tc>
        <w:tc>
          <w:tcPr>
            <w:tcW w:w="992" w:type="dxa"/>
            <w:tcBorders>
              <w:top w:val="nil"/>
              <w:left w:val="single" w:sz="4" w:space="0" w:color="auto"/>
              <w:bottom w:val="nil"/>
              <w:right w:val="single" w:sz="4" w:space="0" w:color="auto"/>
            </w:tcBorders>
            <w:shd w:val="clear" w:color="auto" w:fill="auto"/>
            <w:noWrap/>
            <w:vAlign w:val="bottom"/>
            <w:hideMark/>
          </w:tcPr>
          <w:p w14:paraId="34B5969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151 (53.9%)</w:t>
            </w:r>
          </w:p>
        </w:tc>
        <w:tc>
          <w:tcPr>
            <w:tcW w:w="1038" w:type="dxa"/>
            <w:gridSpan w:val="2"/>
            <w:tcBorders>
              <w:top w:val="nil"/>
              <w:left w:val="nil"/>
              <w:bottom w:val="nil"/>
              <w:right w:val="single" w:sz="4" w:space="0" w:color="auto"/>
            </w:tcBorders>
            <w:shd w:val="clear" w:color="auto" w:fill="auto"/>
            <w:noWrap/>
            <w:vAlign w:val="bottom"/>
            <w:hideMark/>
          </w:tcPr>
          <w:p w14:paraId="355FBB9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275 (54.3%)</w:t>
            </w:r>
          </w:p>
        </w:tc>
        <w:tc>
          <w:tcPr>
            <w:tcW w:w="952" w:type="dxa"/>
            <w:tcBorders>
              <w:top w:val="nil"/>
              <w:left w:val="nil"/>
              <w:bottom w:val="nil"/>
              <w:right w:val="nil"/>
            </w:tcBorders>
            <w:shd w:val="clear" w:color="auto" w:fill="auto"/>
            <w:noWrap/>
            <w:vAlign w:val="bottom"/>
            <w:hideMark/>
          </w:tcPr>
          <w:p w14:paraId="34AC25F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82 (56.6%)</w:t>
            </w:r>
          </w:p>
        </w:tc>
        <w:tc>
          <w:tcPr>
            <w:tcW w:w="992" w:type="dxa"/>
            <w:tcBorders>
              <w:top w:val="nil"/>
              <w:left w:val="single" w:sz="4" w:space="0" w:color="auto"/>
              <w:bottom w:val="nil"/>
              <w:right w:val="single" w:sz="4" w:space="0" w:color="auto"/>
            </w:tcBorders>
            <w:shd w:val="clear" w:color="auto" w:fill="auto"/>
            <w:noWrap/>
            <w:vAlign w:val="bottom"/>
            <w:hideMark/>
          </w:tcPr>
          <w:p w14:paraId="4B39183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50 (59.5%)</w:t>
            </w:r>
          </w:p>
        </w:tc>
        <w:tc>
          <w:tcPr>
            <w:tcW w:w="992" w:type="dxa"/>
            <w:tcBorders>
              <w:top w:val="nil"/>
              <w:left w:val="single" w:sz="4" w:space="0" w:color="auto"/>
              <w:bottom w:val="nil"/>
              <w:right w:val="double" w:sz="4" w:space="0" w:color="auto"/>
            </w:tcBorders>
            <w:vAlign w:val="bottom"/>
          </w:tcPr>
          <w:p w14:paraId="68640678"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0.79</w:t>
            </w:r>
          </w:p>
        </w:tc>
        <w:tc>
          <w:tcPr>
            <w:tcW w:w="992" w:type="dxa"/>
            <w:tcBorders>
              <w:top w:val="nil"/>
              <w:left w:val="double" w:sz="4" w:space="0" w:color="auto"/>
              <w:bottom w:val="nil"/>
              <w:right w:val="single" w:sz="4" w:space="0" w:color="auto"/>
            </w:tcBorders>
            <w:shd w:val="clear" w:color="auto" w:fill="auto"/>
            <w:noWrap/>
            <w:vAlign w:val="bottom"/>
            <w:hideMark/>
          </w:tcPr>
          <w:p w14:paraId="605924C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123 (53%)</w:t>
            </w:r>
          </w:p>
        </w:tc>
        <w:tc>
          <w:tcPr>
            <w:tcW w:w="993" w:type="dxa"/>
            <w:tcBorders>
              <w:top w:val="nil"/>
              <w:left w:val="nil"/>
              <w:bottom w:val="nil"/>
              <w:right w:val="single" w:sz="4" w:space="0" w:color="auto"/>
            </w:tcBorders>
            <w:shd w:val="clear" w:color="auto" w:fill="auto"/>
            <w:noWrap/>
            <w:vAlign w:val="bottom"/>
            <w:hideMark/>
          </w:tcPr>
          <w:p w14:paraId="56E4B17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69 (52.3%)</w:t>
            </w:r>
          </w:p>
        </w:tc>
        <w:tc>
          <w:tcPr>
            <w:tcW w:w="992" w:type="dxa"/>
            <w:tcBorders>
              <w:top w:val="nil"/>
              <w:left w:val="nil"/>
              <w:bottom w:val="nil"/>
              <w:right w:val="single" w:sz="4" w:space="0" w:color="auto"/>
            </w:tcBorders>
            <w:shd w:val="clear" w:color="auto" w:fill="auto"/>
            <w:noWrap/>
            <w:vAlign w:val="bottom"/>
            <w:hideMark/>
          </w:tcPr>
          <w:p w14:paraId="1E78436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40 (59.7%)</w:t>
            </w:r>
          </w:p>
        </w:tc>
        <w:tc>
          <w:tcPr>
            <w:tcW w:w="666" w:type="dxa"/>
            <w:tcBorders>
              <w:top w:val="nil"/>
              <w:left w:val="nil"/>
              <w:bottom w:val="nil"/>
              <w:right w:val="single" w:sz="4" w:space="0" w:color="auto"/>
            </w:tcBorders>
            <w:shd w:val="clear" w:color="auto" w:fill="auto"/>
            <w:noWrap/>
            <w:vAlign w:val="bottom"/>
            <w:hideMark/>
          </w:tcPr>
          <w:p w14:paraId="06BD6F01"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0.77</w:t>
            </w:r>
          </w:p>
        </w:tc>
        <w:tc>
          <w:tcPr>
            <w:tcW w:w="1268" w:type="dxa"/>
            <w:tcBorders>
              <w:top w:val="nil"/>
              <w:left w:val="nil"/>
              <w:bottom w:val="nil"/>
              <w:right w:val="single" w:sz="4" w:space="0" w:color="auto"/>
            </w:tcBorders>
            <w:shd w:val="clear" w:color="auto" w:fill="auto"/>
            <w:noWrap/>
            <w:vAlign w:val="bottom"/>
            <w:hideMark/>
          </w:tcPr>
          <w:p w14:paraId="2C582486"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1421 (45.1%)</w:t>
            </w:r>
          </w:p>
        </w:tc>
      </w:tr>
      <w:tr w:rsidR="00E30D79" w:rsidRPr="00C515A5" w14:paraId="34CE6895"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170B92D2"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Isch</w:t>
            </w:r>
            <w:r>
              <w:rPr>
                <w:rFonts w:ascii="Calibri" w:eastAsia="Times New Roman" w:hAnsi="Calibri"/>
                <w:color w:val="000000"/>
                <w:sz w:val="16"/>
                <w:szCs w:val="16"/>
              </w:rPr>
              <w:t>a</w:t>
            </w:r>
            <w:r w:rsidRPr="00C515A5">
              <w:rPr>
                <w:rFonts w:ascii="Calibri" w:eastAsia="Times New Roman" w:hAnsi="Calibri"/>
                <w:color w:val="000000"/>
                <w:sz w:val="16"/>
                <w:szCs w:val="16"/>
              </w:rPr>
              <w:t>emic</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aetiology</w:t>
            </w:r>
            <w:proofErr w:type="spellEnd"/>
          </w:p>
        </w:tc>
        <w:tc>
          <w:tcPr>
            <w:tcW w:w="992" w:type="dxa"/>
            <w:tcBorders>
              <w:top w:val="nil"/>
              <w:left w:val="single" w:sz="4" w:space="0" w:color="auto"/>
              <w:bottom w:val="nil"/>
              <w:right w:val="single" w:sz="4" w:space="0" w:color="auto"/>
            </w:tcBorders>
            <w:shd w:val="clear" w:color="000000" w:fill="D9D9D9"/>
            <w:vAlign w:val="bottom"/>
          </w:tcPr>
          <w:p w14:paraId="320C4D4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3343 (51.4%)</w:t>
            </w:r>
          </w:p>
        </w:tc>
        <w:tc>
          <w:tcPr>
            <w:tcW w:w="992" w:type="dxa"/>
            <w:tcBorders>
              <w:top w:val="nil"/>
              <w:left w:val="single" w:sz="4" w:space="0" w:color="auto"/>
              <w:bottom w:val="nil"/>
              <w:right w:val="single" w:sz="4" w:space="0" w:color="auto"/>
            </w:tcBorders>
            <w:shd w:val="clear" w:color="000000" w:fill="D9D9D9"/>
            <w:noWrap/>
            <w:vAlign w:val="bottom"/>
            <w:hideMark/>
          </w:tcPr>
          <w:p w14:paraId="1CFE094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226 (50.1%)</w:t>
            </w:r>
          </w:p>
        </w:tc>
        <w:tc>
          <w:tcPr>
            <w:tcW w:w="1038" w:type="dxa"/>
            <w:gridSpan w:val="2"/>
            <w:tcBorders>
              <w:top w:val="nil"/>
              <w:left w:val="nil"/>
              <w:bottom w:val="nil"/>
              <w:right w:val="single" w:sz="4" w:space="0" w:color="auto"/>
            </w:tcBorders>
            <w:shd w:val="clear" w:color="000000" w:fill="D9D9D9"/>
            <w:noWrap/>
            <w:vAlign w:val="bottom"/>
            <w:hideMark/>
          </w:tcPr>
          <w:p w14:paraId="58B6596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417 (56.3%)</w:t>
            </w:r>
          </w:p>
        </w:tc>
        <w:tc>
          <w:tcPr>
            <w:tcW w:w="952" w:type="dxa"/>
            <w:tcBorders>
              <w:top w:val="nil"/>
              <w:left w:val="nil"/>
              <w:bottom w:val="nil"/>
              <w:right w:val="nil"/>
            </w:tcBorders>
            <w:shd w:val="clear" w:color="000000" w:fill="D9D9D9"/>
            <w:noWrap/>
            <w:vAlign w:val="bottom"/>
            <w:hideMark/>
          </w:tcPr>
          <w:p w14:paraId="6691C81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115 (50%)</w:t>
            </w:r>
          </w:p>
        </w:tc>
        <w:tc>
          <w:tcPr>
            <w:tcW w:w="992" w:type="dxa"/>
            <w:tcBorders>
              <w:top w:val="nil"/>
              <w:left w:val="single" w:sz="4" w:space="0" w:color="auto"/>
              <w:bottom w:val="nil"/>
              <w:right w:val="single" w:sz="4" w:space="0" w:color="auto"/>
            </w:tcBorders>
            <w:shd w:val="clear" w:color="000000" w:fill="D9D9D9"/>
            <w:noWrap/>
            <w:vAlign w:val="bottom"/>
            <w:hideMark/>
          </w:tcPr>
          <w:p w14:paraId="01B6399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69 (56.1%)</w:t>
            </w:r>
          </w:p>
        </w:tc>
        <w:tc>
          <w:tcPr>
            <w:tcW w:w="992" w:type="dxa"/>
            <w:tcBorders>
              <w:top w:val="nil"/>
              <w:left w:val="single" w:sz="4" w:space="0" w:color="auto"/>
              <w:bottom w:val="nil"/>
              <w:right w:val="double" w:sz="4" w:space="0" w:color="auto"/>
            </w:tcBorders>
            <w:shd w:val="clear" w:color="000000" w:fill="D9D9D9"/>
            <w:vAlign w:val="bottom"/>
          </w:tcPr>
          <w:p w14:paraId="46CBBC14"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0.12</w:t>
            </w:r>
          </w:p>
        </w:tc>
        <w:tc>
          <w:tcPr>
            <w:tcW w:w="992" w:type="dxa"/>
            <w:tcBorders>
              <w:top w:val="nil"/>
              <w:left w:val="double" w:sz="4" w:space="0" w:color="auto"/>
              <w:bottom w:val="nil"/>
              <w:right w:val="single" w:sz="4" w:space="0" w:color="auto"/>
            </w:tcBorders>
            <w:shd w:val="clear" w:color="000000" w:fill="D9D9D9"/>
            <w:noWrap/>
            <w:vAlign w:val="bottom"/>
            <w:hideMark/>
          </w:tcPr>
          <w:p w14:paraId="10FB38E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199 (55.6%)</w:t>
            </w:r>
          </w:p>
        </w:tc>
        <w:tc>
          <w:tcPr>
            <w:tcW w:w="993" w:type="dxa"/>
            <w:tcBorders>
              <w:top w:val="nil"/>
              <w:left w:val="nil"/>
              <w:bottom w:val="nil"/>
              <w:right w:val="single" w:sz="4" w:space="0" w:color="auto"/>
            </w:tcBorders>
            <w:shd w:val="clear" w:color="000000" w:fill="D9D9D9"/>
            <w:noWrap/>
            <w:vAlign w:val="bottom"/>
            <w:hideMark/>
          </w:tcPr>
          <w:p w14:paraId="10C2435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115 (50.7%)</w:t>
            </w:r>
          </w:p>
        </w:tc>
        <w:tc>
          <w:tcPr>
            <w:tcW w:w="992" w:type="dxa"/>
            <w:tcBorders>
              <w:top w:val="nil"/>
              <w:left w:val="nil"/>
              <w:bottom w:val="nil"/>
              <w:right w:val="single" w:sz="4" w:space="0" w:color="auto"/>
            </w:tcBorders>
            <w:shd w:val="clear" w:color="000000" w:fill="D9D9D9"/>
            <w:noWrap/>
            <w:vAlign w:val="bottom"/>
            <w:hideMark/>
          </w:tcPr>
          <w:p w14:paraId="079E498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60 (48.4%)</w:t>
            </w:r>
          </w:p>
        </w:tc>
        <w:tc>
          <w:tcPr>
            <w:tcW w:w="666" w:type="dxa"/>
            <w:tcBorders>
              <w:top w:val="nil"/>
              <w:left w:val="nil"/>
              <w:bottom w:val="nil"/>
              <w:right w:val="single" w:sz="4" w:space="0" w:color="auto"/>
            </w:tcBorders>
            <w:shd w:val="clear" w:color="000000" w:fill="D9D9D9"/>
            <w:noWrap/>
            <w:vAlign w:val="bottom"/>
            <w:hideMark/>
          </w:tcPr>
          <w:p w14:paraId="5E76BF17"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0.35</w:t>
            </w:r>
          </w:p>
        </w:tc>
        <w:tc>
          <w:tcPr>
            <w:tcW w:w="1268" w:type="dxa"/>
            <w:tcBorders>
              <w:top w:val="nil"/>
              <w:left w:val="nil"/>
              <w:bottom w:val="nil"/>
              <w:right w:val="single" w:sz="4" w:space="0" w:color="auto"/>
            </w:tcBorders>
            <w:shd w:val="clear" w:color="000000" w:fill="D9D9D9"/>
            <w:noWrap/>
            <w:vAlign w:val="bottom"/>
            <w:hideMark/>
          </w:tcPr>
          <w:p w14:paraId="0C8DBE69"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2142 (50.5%)</w:t>
            </w:r>
          </w:p>
        </w:tc>
      </w:tr>
      <w:tr w:rsidR="00E30D79" w:rsidRPr="00C515A5" w14:paraId="19B19B57"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6D8EFCEF" w14:textId="77777777" w:rsidR="00E30D79" w:rsidRPr="00C515A5" w:rsidRDefault="00E30D79" w:rsidP="00C26C4B">
            <w:pPr>
              <w:rPr>
                <w:rFonts w:ascii="Calibri" w:eastAsia="Times New Roman" w:hAnsi="Calibri"/>
                <w:color w:val="000000"/>
                <w:sz w:val="16"/>
                <w:szCs w:val="16"/>
              </w:rPr>
            </w:pPr>
            <w:r w:rsidRPr="00C515A5">
              <w:rPr>
                <w:rFonts w:ascii="Calibri" w:eastAsia="Times New Roman" w:hAnsi="Calibri"/>
                <w:color w:val="000000"/>
                <w:sz w:val="16"/>
                <w:szCs w:val="16"/>
              </w:rPr>
              <w:t>NYHA Class III/IV</w:t>
            </w:r>
          </w:p>
        </w:tc>
        <w:tc>
          <w:tcPr>
            <w:tcW w:w="992" w:type="dxa"/>
            <w:tcBorders>
              <w:top w:val="nil"/>
              <w:left w:val="single" w:sz="4" w:space="0" w:color="auto"/>
              <w:bottom w:val="nil"/>
              <w:right w:val="single" w:sz="4" w:space="0" w:color="auto"/>
            </w:tcBorders>
            <w:vAlign w:val="bottom"/>
          </w:tcPr>
          <w:p w14:paraId="218A50B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2691 (42.7%)</w:t>
            </w:r>
          </w:p>
        </w:tc>
        <w:tc>
          <w:tcPr>
            <w:tcW w:w="992" w:type="dxa"/>
            <w:tcBorders>
              <w:top w:val="nil"/>
              <w:left w:val="single" w:sz="4" w:space="0" w:color="auto"/>
              <w:bottom w:val="nil"/>
              <w:right w:val="single" w:sz="4" w:space="0" w:color="auto"/>
            </w:tcBorders>
            <w:shd w:val="clear" w:color="auto" w:fill="auto"/>
            <w:noWrap/>
            <w:vAlign w:val="bottom"/>
            <w:hideMark/>
          </w:tcPr>
          <w:p w14:paraId="52483C8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193 (50%)</w:t>
            </w:r>
          </w:p>
        </w:tc>
        <w:tc>
          <w:tcPr>
            <w:tcW w:w="1038" w:type="dxa"/>
            <w:gridSpan w:val="2"/>
            <w:tcBorders>
              <w:top w:val="nil"/>
              <w:left w:val="nil"/>
              <w:bottom w:val="nil"/>
              <w:right w:val="single" w:sz="4" w:space="0" w:color="auto"/>
            </w:tcBorders>
            <w:shd w:val="clear" w:color="auto" w:fill="auto"/>
            <w:noWrap/>
            <w:vAlign w:val="bottom"/>
            <w:hideMark/>
          </w:tcPr>
          <w:p w14:paraId="3845CC2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352 (50.1%)</w:t>
            </w:r>
          </w:p>
        </w:tc>
        <w:tc>
          <w:tcPr>
            <w:tcW w:w="952" w:type="dxa"/>
            <w:tcBorders>
              <w:top w:val="nil"/>
              <w:left w:val="nil"/>
              <w:bottom w:val="nil"/>
              <w:right w:val="nil"/>
            </w:tcBorders>
            <w:shd w:val="clear" w:color="auto" w:fill="auto"/>
            <w:noWrap/>
            <w:vAlign w:val="bottom"/>
            <w:hideMark/>
          </w:tcPr>
          <w:p w14:paraId="68B68D5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106 (45.7%)</w:t>
            </w:r>
          </w:p>
        </w:tc>
        <w:tc>
          <w:tcPr>
            <w:tcW w:w="992" w:type="dxa"/>
            <w:tcBorders>
              <w:top w:val="nil"/>
              <w:left w:val="single" w:sz="4" w:space="0" w:color="auto"/>
              <w:bottom w:val="nil"/>
              <w:right w:val="single" w:sz="4" w:space="0" w:color="auto"/>
            </w:tcBorders>
            <w:shd w:val="clear" w:color="auto" w:fill="auto"/>
            <w:noWrap/>
            <w:vAlign w:val="bottom"/>
            <w:hideMark/>
          </w:tcPr>
          <w:p w14:paraId="3E5A6A1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50 (41%)</w:t>
            </w:r>
          </w:p>
        </w:tc>
        <w:tc>
          <w:tcPr>
            <w:tcW w:w="992" w:type="dxa"/>
            <w:tcBorders>
              <w:top w:val="nil"/>
              <w:left w:val="single" w:sz="4" w:space="0" w:color="auto"/>
              <w:bottom w:val="nil"/>
              <w:right w:val="double" w:sz="4" w:space="0" w:color="auto"/>
            </w:tcBorders>
            <w:vAlign w:val="bottom"/>
          </w:tcPr>
          <w:p w14:paraId="2DA53333"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0.2</w:t>
            </w:r>
          </w:p>
        </w:tc>
        <w:tc>
          <w:tcPr>
            <w:tcW w:w="992" w:type="dxa"/>
            <w:tcBorders>
              <w:top w:val="nil"/>
              <w:left w:val="double" w:sz="4" w:space="0" w:color="auto"/>
              <w:bottom w:val="nil"/>
              <w:right w:val="single" w:sz="4" w:space="0" w:color="auto"/>
            </w:tcBorders>
            <w:shd w:val="clear" w:color="auto" w:fill="auto"/>
            <w:noWrap/>
            <w:vAlign w:val="bottom"/>
            <w:hideMark/>
          </w:tcPr>
          <w:p w14:paraId="35A9F78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158 (45.9%)</w:t>
            </w:r>
          </w:p>
        </w:tc>
        <w:tc>
          <w:tcPr>
            <w:tcW w:w="993" w:type="dxa"/>
            <w:tcBorders>
              <w:top w:val="nil"/>
              <w:left w:val="nil"/>
              <w:bottom w:val="nil"/>
              <w:right w:val="single" w:sz="4" w:space="0" w:color="auto"/>
            </w:tcBorders>
            <w:shd w:val="clear" w:color="auto" w:fill="auto"/>
            <w:noWrap/>
            <w:vAlign w:val="bottom"/>
            <w:hideMark/>
          </w:tcPr>
          <w:p w14:paraId="5488F0B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89 (40.6%)</w:t>
            </w:r>
          </w:p>
        </w:tc>
        <w:tc>
          <w:tcPr>
            <w:tcW w:w="992" w:type="dxa"/>
            <w:tcBorders>
              <w:top w:val="nil"/>
              <w:left w:val="nil"/>
              <w:bottom w:val="nil"/>
              <w:right w:val="single" w:sz="4" w:space="0" w:color="auto"/>
            </w:tcBorders>
            <w:shd w:val="clear" w:color="auto" w:fill="auto"/>
            <w:noWrap/>
            <w:vAlign w:val="bottom"/>
            <w:hideMark/>
          </w:tcPr>
          <w:p w14:paraId="2488A3E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45 (35.7%)</w:t>
            </w:r>
          </w:p>
        </w:tc>
        <w:tc>
          <w:tcPr>
            <w:tcW w:w="666" w:type="dxa"/>
            <w:tcBorders>
              <w:top w:val="nil"/>
              <w:left w:val="nil"/>
              <w:bottom w:val="nil"/>
              <w:right w:val="single" w:sz="4" w:space="0" w:color="auto"/>
            </w:tcBorders>
            <w:shd w:val="clear" w:color="auto" w:fill="auto"/>
            <w:noWrap/>
            <w:vAlign w:val="bottom"/>
            <w:hideMark/>
          </w:tcPr>
          <w:p w14:paraId="2904D0ED"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0.018</w:t>
            </w:r>
          </w:p>
        </w:tc>
        <w:tc>
          <w:tcPr>
            <w:tcW w:w="1268" w:type="dxa"/>
            <w:tcBorders>
              <w:top w:val="nil"/>
              <w:left w:val="nil"/>
              <w:bottom w:val="nil"/>
              <w:right w:val="single" w:sz="4" w:space="0" w:color="auto"/>
            </w:tcBorders>
            <w:shd w:val="clear" w:color="auto" w:fill="auto"/>
            <w:noWrap/>
            <w:vAlign w:val="bottom"/>
            <w:hideMark/>
          </w:tcPr>
          <w:p w14:paraId="38CFDF2D"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1698 (40.8%)</w:t>
            </w:r>
          </w:p>
        </w:tc>
      </w:tr>
      <w:tr w:rsidR="00E30D79" w:rsidRPr="00C515A5" w14:paraId="6A54D0D9"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4DA111DA" w14:textId="77777777" w:rsidR="00E30D79" w:rsidRPr="00C515A5" w:rsidRDefault="00E30D79" w:rsidP="00C26C4B">
            <w:pPr>
              <w:rPr>
                <w:rFonts w:ascii="Calibri" w:eastAsia="Times New Roman" w:hAnsi="Calibri"/>
                <w:color w:val="000000"/>
                <w:sz w:val="16"/>
                <w:szCs w:val="16"/>
              </w:rPr>
            </w:pPr>
            <w:proofErr w:type="spellStart"/>
            <w:r>
              <w:rPr>
                <w:rFonts w:ascii="Calibri" w:eastAsia="Times New Roman" w:hAnsi="Calibri"/>
                <w:color w:val="000000"/>
                <w:sz w:val="16"/>
                <w:szCs w:val="16"/>
              </w:rPr>
              <w:t>P</w:t>
            </w:r>
            <w:r w:rsidRPr="00C515A5">
              <w:rPr>
                <w:rFonts w:ascii="Calibri" w:eastAsia="Times New Roman" w:hAnsi="Calibri"/>
                <w:color w:val="000000"/>
                <w:sz w:val="16"/>
                <w:szCs w:val="16"/>
              </w:rPr>
              <w:t>eripheral</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oedema</w:t>
            </w:r>
            <w:proofErr w:type="spellEnd"/>
          </w:p>
        </w:tc>
        <w:tc>
          <w:tcPr>
            <w:tcW w:w="992" w:type="dxa"/>
            <w:tcBorders>
              <w:top w:val="nil"/>
              <w:left w:val="single" w:sz="4" w:space="0" w:color="auto"/>
              <w:bottom w:val="nil"/>
              <w:right w:val="single" w:sz="4" w:space="0" w:color="auto"/>
            </w:tcBorders>
            <w:shd w:val="clear" w:color="000000" w:fill="D9D9D9"/>
            <w:vAlign w:val="bottom"/>
          </w:tcPr>
          <w:p w14:paraId="3736A95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2058 (30.4%)</w:t>
            </w:r>
          </w:p>
        </w:tc>
        <w:tc>
          <w:tcPr>
            <w:tcW w:w="992" w:type="dxa"/>
            <w:tcBorders>
              <w:top w:val="nil"/>
              <w:left w:val="single" w:sz="4" w:space="0" w:color="auto"/>
              <w:bottom w:val="nil"/>
              <w:right w:val="single" w:sz="4" w:space="0" w:color="auto"/>
            </w:tcBorders>
            <w:shd w:val="clear" w:color="000000" w:fill="D9D9D9"/>
            <w:noWrap/>
            <w:vAlign w:val="bottom"/>
            <w:hideMark/>
          </w:tcPr>
          <w:p w14:paraId="470B63F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122 (24.6%)</w:t>
            </w:r>
          </w:p>
        </w:tc>
        <w:tc>
          <w:tcPr>
            <w:tcW w:w="1038" w:type="dxa"/>
            <w:gridSpan w:val="2"/>
            <w:tcBorders>
              <w:top w:val="nil"/>
              <w:left w:val="nil"/>
              <w:bottom w:val="nil"/>
              <w:right w:val="single" w:sz="4" w:space="0" w:color="auto"/>
            </w:tcBorders>
            <w:shd w:val="clear" w:color="000000" w:fill="D9D9D9"/>
            <w:noWrap/>
            <w:vAlign w:val="bottom"/>
            <w:hideMark/>
          </w:tcPr>
          <w:p w14:paraId="1B05FFA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216 (27.6%)</w:t>
            </w:r>
          </w:p>
        </w:tc>
        <w:tc>
          <w:tcPr>
            <w:tcW w:w="952" w:type="dxa"/>
            <w:tcBorders>
              <w:top w:val="nil"/>
              <w:left w:val="nil"/>
              <w:bottom w:val="nil"/>
              <w:right w:val="nil"/>
            </w:tcBorders>
            <w:shd w:val="clear" w:color="000000" w:fill="D9D9D9"/>
            <w:noWrap/>
            <w:vAlign w:val="bottom"/>
            <w:hideMark/>
          </w:tcPr>
          <w:p w14:paraId="502C664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68 (27.8%)</w:t>
            </w:r>
          </w:p>
        </w:tc>
        <w:tc>
          <w:tcPr>
            <w:tcW w:w="992" w:type="dxa"/>
            <w:tcBorders>
              <w:top w:val="nil"/>
              <w:left w:val="single" w:sz="4" w:space="0" w:color="auto"/>
              <w:bottom w:val="nil"/>
              <w:right w:val="single" w:sz="4" w:space="0" w:color="auto"/>
            </w:tcBorders>
            <w:shd w:val="clear" w:color="000000" w:fill="D9D9D9"/>
            <w:noWrap/>
            <w:vAlign w:val="bottom"/>
            <w:hideMark/>
          </w:tcPr>
          <w:p w14:paraId="525BB03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37 (27.8%)</w:t>
            </w:r>
          </w:p>
        </w:tc>
        <w:tc>
          <w:tcPr>
            <w:tcW w:w="992" w:type="dxa"/>
            <w:tcBorders>
              <w:top w:val="nil"/>
              <w:left w:val="single" w:sz="4" w:space="0" w:color="auto"/>
              <w:bottom w:val="nil"/>
              <w:right w:val="double" w:sz="4" w:space="0" w:color="auto"/>
            </w:tcBorders>
            <w:shd w:val="clear" w:color="000000" w:fill="D9D9D9"/>
            <w:vAlign w:val="bottom"/>
          </w:tcPr>
          <w:p w14:paraId="22851231"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0.64</w:t>
            </w:r>
          </w:p>
        </w:tc>
        <w:tc>
          <w:tcPr>
            <w:tcW w:w="992" w:type="dxa"/>
            <w:tcBorders>
              <w:top w:val="nil"/>
              <w:left w:val="double" w:sz="4" w:space="0" w:color="auto"/>
              <w:bottom w:val="nil"/>
              <w:right w:val="single" w:sz="4" w:space="0" w:color="auto"/>
            </w:tcBorders>
            <w:shd w:val="clear" w:color="000000" w:fill="D9D9D9"/>
            <w:noWrap/>
            <w:vAlign w:val="bottom"/>
            <w:hideMark/>
          </w:tcPr>
          <w:p w14:paraId="6617A93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128 (33.7%)</w:t>
            </w:r>
          </w:p>
        </w:tc>
        <w:tc>
          <w:tcPr>
            <w:tcW w:w="993" w:type="dxa"/>
            <w:tcBorders>
              <w:top w:val="nil"/>
              <w:left w:val="nil"/>
              <w:bottom w:val="nil"/>
              <w:right w:val="single" w:sz="4" w:space="0" w:color="auto"/>
            </w:tcBorders>
            <w:shd w:val="clear" w:color="000000" w:fill="D9D9D9"/>
            <w:noWrap/>
            <w:vAlign w:val="bottom"/>
            <w:hideMark/>
          </w:tcPr>
          <w:p w14:paraId="34C3341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73 (31.2%)</w:t>
            </w:r>
          </w:p>
        </w:tc>
        <w:tc>
          <w:tcPr>
            <w:tcW w:w="992" w:type="dxa"/>
            <w:tcBorders>
              <w:top w:val="nil"/>
              <w:left w:val="nil"/>
              <w:bottom w:val="nil"/>
              <w:right w:val="single" w:sz="4" w:space="0" w:color="auto"/>
            </w:tcBorders>
            <w:shd w:val="clear" w:color="000000" w:fill="D9D9D9"/>
            <w:noWrap/>
            <w:vAlign w:val="bottom"/>
            <w:hideMark/>
          </w:tcPr>
          <w:p w14:paraId="3FB13389"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44 (32.6%)</w:t>
            </w:r>
          </w:p>
        </w:tc>
        <w:tc>
          <w:tcPr>
            <w:tcW w:w="666" w:type="dxa"/>
            <w:tcBorders>
              <w:top w:val="nil"/>
              <w:left w:val="nil"/>
              <w:bottom w:val="nil"/>
              <w:right w:val="single" w:sz="4" w:space="0" w:color="auto"/>
            </w:tcBorders>
            <w:shd w:val="clear" w:color="000000" w:fill="D9D9D9"/>
            <w:noWrap/>
            <w:vAlign w:val="bottom"/>
            <w:hideMark/>
          </w:tcPr>
          <w:p w14:paraId="0C12F3ED"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0.02</w:t>
            </w:r>
          </w:p>
        </w:tc>
        <w:tc>
          <w:tcPr>
            <w:tcW w:w="1268" w:type="dxa"/>
            <w:tcBorders>
              <w:top w:val="nil"/>
              <w:left w:val="nil"/>
              <w:bottom w:val="nil"/>
              <w:right w:val="single" w:sz="4" w:space="0" w:color="auto"/>
            </w:tcBorders>
            <w:shd w:val="clear" w:color="000000" w:fill="D9D9D9"/>
            <w:noWrap/>
            <w:vAlign w:val="bottom"/>
            <w:hideMark/>
          </w:tcPr>
          <w:p w14:paraId="4E2486D1"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1370 (31.3%)</w:t>
            </w:r>
          </w:p>
        </w:tc>
      </w:tr>
      <w:tr w:rsidR="00E30D79" w:rsidRPr="00C515A5" w14:paraId="326AA31A"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52DCF544"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Orthopnea</w:t>
            </w:r>
            <w:proofErr w:type="spellEnd"/>
          </w:p>
        </w:tc>
        <w:tc>
          <w:tcPr>
            <w:tcW w:w="992" w:type="dxa"/>
            <w:tcBorders>
              <w:top w:val="nil"/>
              <w:left w:val="single" w:sz="4" w:space="0" w:color="auto"/>
              <w:bottom w:val="nil"/>
              <w:right w:val="single" w:sz="4" w:space="0" w:color="auto"/>
            </w:tcBorders>
            <w:vAlign w:val="bottom"/>
          </w:tcPr>
          <w:p w14:paraId="01BA02C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1664 (24.5%)</w:t>
            </w:r>
          </w:p>
        </w:tc>
        <w:tc>
          <w:tcPr>
            <w:tcW w:w="992" w:type="dxa"/>
            <w:tcBorders>
              <w:top w:val="nil"/>
              <w:left w:val="single" w:sz="4" w:space="0" w:color="auto"/>
              <w:bottom w:val="nil"/>
              <w:right w:val="single" w:sz="4" w:space="0" w:color="auto"/>
            </w:tcBorders>
            <w:shd w:val="clear" w:color="auto" w:fill="auto"/>
            <w:noWrap/>
            <w:vAlign w:val="bottom"/>
            <w:hideMark/>
          </w:tcPr>
          <w:p w14:paraId="5809544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140 (28.1%)</w:t>
            </w:r>
          </w:p>
        </w:tc>
        <w:tc>
          <w:tcPr>
            <w:tcW w:w="1038" w:type="dxa"/>
            <w:gridSpan w:val="2"/>
            <w:tcBorders>
              <w:top w:val="nil"/>
              <w:left w:val="nil"/>
              <w:bottom w:val="nil"/>
              <w:right w:val="single" w:sz="4" w:space="0" w:color="auto"/>
            </w:tcBorders>
            <w:shd w:val="clear" w:color="auto" w:fill="auto"/>
            <w:noWrap/>
            <w:vAlign w:val="bottom"/>
            <w:hideMark/>
          </w:tcPr>
          <w:p w14:paraId="78F3D6C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210 (26.9%)</w:t>
            </w:r>
          </w:p>
        </w:tc>
        <w:tc>
          <w:tcPr>
            <w:tcW w:w="952" w:type="dxa"/>
            <w:tcBorders>
              <w:top w:val="nil"/>
              <w:left w:val="nil"/>
              <w:bottom w:val="nil"/>
              <w:right w:val="nil"/>
            </w:tcBorders>
            <w:shd w:val="clear" w:color="auto" w:fill="auto"/>
            <w:noWrap/>
            <w:vAlign w:val="bottom"/>
            <w:hideMark/>
          </w:tcPr>
          <w:p w14:paraId="3D847C9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56 (22.9%)</w:t>
            </w:r>
          </w:p>
        </w:tc>
        <w:tc>
          <w:tcPr>
            <w:tcW w:w="992" w:type="dxa"/>
            <w:tcBorders>
              <w:top w:val="nil"/>
              <w:left w:val="single" w:sz="4" w:space="0" w:color="auto"/>
              <w:bottom w:val="nil"/>
              <w:right w:val="single" w:sz="4" w:space="0" w:color="auto"/>
            </w:tcBorders>
            <w:shd w:val="clear" w:color="auto" w:fill="auto"/>
            <w:noWrap/>
            <w:vAlign w:val="bottom"/>
            <w:hideMark/>
          </w:tcPr>
          <w:p w14:paraId="1EACB27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37 (27.8%)</w:t>
            </w:r>
          </w:p>
        </w:tc>
        <w:tc>
          <w:tcPr>
            <w:tcW w:w="992" w:type="dxa"/>
            <w:tcBorders>
              <w:top w:val="nil"/>
              <w:left w:val="single" w:sz="4" w:space="0" w:color="auto"/>
              <w:bottom w:val="nil"/>
              <w:right w:val="double" w:sz="4" w:space="0" w:color="auto"/>
            </w:tcBorders>
            <w:vAlign w:val="bottom"/>
          </w:tcPr>
          <w:p w14:paraId="6246E0CF"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0.49</w:t>
            </w:r>
          </w:p>
        </w:tc>
        <w:tc>
          <w:tcPr>
            <w:tcW w:w="992" w:type="dxa"/>
            <w:tcBorders>
              <w:top w:val="nil"/>
              <w:left w:val="double" w:sz="4" w:space="0" w:color="auto"/>
              <w:bottom w:val="nil"/>
              <w:right w:val="single" w:sz="4" w:space="0" w:color="auto"/>
            </w:tcBorders>
            <w:shd w:val="clear" w:color="auto" w:fill="auto"/>
            <w:noWrap/>
            <w:vAlign w:val="bottom"/>
            <w:hideMark/>
          </w:tcPr>
          <w:p w14:paraId="542B48C7"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102 (26.8%)</w:t>
            </w:r>
          </w:p>
        </w:tc>
        <w:tc>
          <w:tcPr>
            <w:tcW w:w="993" w:type="dxa"/>
            <w:tcBorders>
              <w:top w:val="nil"/>
              <w:left w:val="nil"/>
              <w:bottom w:val="nil"/>
              <w:right w:val="single" w:sz="4" w:space="0" w:color="auto"/>
            </w:tcBorders>
            <w:shd w:val="clear" w:color="auto" w:fill="auto"/>
            <w:noWrap/>
            <w:vAlign w:val="bottom"/>
            <w:hideMark/>
          </w:tcPr>
          <w:p w14:paraId="1B93E37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58 (24.8%)</w:t>
            </w:r>
          </w:p>
        </w:tc>
        <w:tc>
          <w:tcPr>
            <w:tcW w:w="992" w:type="dxa"/>
            <w:tcBorders>
              <w:top w:val="nil"/>
              <w:left w:val="nil"/>
              <w:bottom w:val="nil"/>
              <w:right w:val="single" w:sz="4" w:space="0" w:color="auto"/>
            </w:tcBorders>
            <w:shd w:val="clear" w:color="auto" w:fill="auto"/>
            <w:noWrap/>
            <w:vAlign w:val="bottom"/>
            <w:hideMark/>
          </w:tcPr>
          <w:p w14:paraId="138B338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36 (26.7%)</w:t>
            </w:r>
          </w:p>
        </w:tc>
        <w:tc>
          <w:tcPr>
            <w:tcW w:w="666" w:type="dxa"/>
            <w:tcBorders>
              <w:top w:val="nil"/>
              <w:left w:val="nil"/>
              <w:bottom w:val="nil"/>
              <w:right w:val="single" w:sz="4" w:space="0" w:color="auto"/>
            </w:tcBorders>
            <w:shd w:val="clear" w:color="auto" w:fill="auto"/>
            <w:noWrap/>
            <w:vAlign w:val="bottom"/>
            <w:hideMark/>
          </w:tcPr>
          <w:p w14:paraId="5E440127"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0.83</w:t>
            </w:r>
          </w:p>
        </w:tc>
        <w:tc>
          <w:tcPr>
            <w:tcW w:w="1268" w:type="dxa"/>
            <w:tcBorders>
              <w:top w:val="nil"/>
              <w:left w:val="nil"/>
              <w:bottom w:val="nil"/>
              <w:right w:val="single" w:sz="4" w:space="0" w:color="auto"/>
            </w:tcBorders>
            <w:shd w:val="clear" w:color="auto" w:fill="auto"/>
            <w:noWrap/>
            <w:vAlign w:val="bottom"/>
            <w:hideMark/>
          </w:tcPr>
          <w:p w14:paraId="71ED29D4"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1025 (23.4%)</w:t>
            </w:r>
          </w:p>
        </w:tc>
      </w:tr>
      <w:tr w:rsidR="00E30D79" w:rsidRPr="00C515A5" w14:paraId="4FE10722"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3FFFE44D" w14:textId="77777777" w:rsidR="00E30D79" w:rsidRPr="00C515A5" w:rsidRDefault="00E30D79" w:rsidP="00C26C4B">
            <w:pPr>
              <w:rPr>
                <w:rFonts w:ascii="Calibri" w:eastAsia="Times New Roman" w:hAnsi="Calibri"/>
                <w:color w:val="000000"/>
                <w:sz w:val="16"/>
                <w:szCs w:val="16"/>
              </w:rPr>
            </w:pPr>
            <w:proofErr w:type="spellStart"/>
            <w:r>
              <w:rPr>
                <w:rFonts w:ascii="Calibri" w:eastAsia="Times New Roman" w:hAnsi="Calibri"/>
                <w:color w:val="000000"/>
                <w:sz w:val="16"/>
                <w:szCs w:val="16"/>
              </w:rPr>
              <w:t>P</w:t>
            </w:r>
            <w:r w:rsidRPr="00C515A5">
              <w:rPr>
                <w:rFonts w:ascii="Calibri" w:eastAsia="Times New Roman" w:hAnsi="Calibri"/>
                <w:color w:val="000000"/>
                <w:sz w:val="16"/>
                <w:szCs w:val="16"/>
              </w:rPr>
              <w:t>ulmonary</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rales</w:t>
            </w:r>
            <w:proofErr w:type="spellEnd"/>
          </w:p>
        </w:tc>
        <w:tc>
          <w:tcPr>
            <w:tcW w:w="992" w:type="dxa"/>
            <w:tcBorders>
              <w:top w:val="nil"/>
              <w:left w:val="single" w:sz="4" w:space="0" w:color="auto"/>
              <w:bottom w:val="nil"/>
              <w:right w:val="single" w:sz="4" w:space="0" w:color="auto"/>
            </w:tcBorders>
            <w:shd w:val="clear" w:color="000000" w:fill="D9D9D9"/>
            <w:vAlign w:val="bottom"/>
          </w:tcPr>
          <w:p w14:paraId="56E63F3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951 (16.7%)</w:t>
            </w:r>
          </w:p>
        </w:tc>
        <w:tc>
          <w:tcPr>
            <w:tcW w:w="992" w:type="dxa"/>
            <w:tcBorders>
              <w:top w:val="nil"/>
              <w:left w:val="single" w:sz="4" w:space="0" w:color="auto"/>
              <w:bottom w:val="nil"/>
              <w:right w:val="single" w:sz="4" w:space="0" w:color="auto"/>
            </w:tcBorders>
            <w:shd w:val="clear" w:color="000000" w:fill="D9D9D9"/>
            <w:noWrap/>
            <w:vAlign w:val="bottom"/>
            <w:hideMark/>
          </w:tcPr>
          <w:p w14:paraId="5A148B6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76 (15.5%)</w:t>
            </w:r>
          </w:p>
        </w:tc>
        <w:tc>
          <w:tcPr>
            <w:tcW w:w="1038" w:type="dxa"/>
            <w:gridSpan w:val="2"/>
            <w:tcBorders>
              <w:top w:val="nil"/>
              <w:left w:val="nil"/>
              <w:bottom w:val="nil"/>
              <w:right w:val="single" w:sz="4" w:space="0" w:color="auto"/>
            </w:tcBorders>
            <w:shd w:val="clear" w:color="000000" w:fill="D9D9D9"/>
            <w:noWrap/>
            <w:vAlign w:val="bottom"/>
            <w:hideMark/>
          </w:tcPr>
          <w:p w14:paraId="6135E25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116 (15.9%)</w:t>
            </w:r>
          </w:p>
        </w:tc>
        <w:tc>
          <w:tcPr>
            <w:tcW w:w="952" w:type="dxa"/>
            <w:tcBorders>
              <w:top w:val="nil"/>
              <w:left w:val="nil"/>
              <w:bottom w:val="nil"/>
              <w:right w:val="nil"/>
            </w:tcBorders>
            <w:shd w:val="clear" w:color="000000" w:fill="D9D9D9"/>
            <w:noWrap/>
            <w:vAlign w:val="bottom"/>
            <w:hideMark/>
          </w:tcPr>
          <w:p w14:paraId="6B39D6B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35 (15.2%)</w:t>
            </w:r>
          </w:p>
        </w:tc>
        <w:tc>
          <w:tcPr>
            <w:tcW w:w="992" w:type="dxa"/>
            <w:tcBorders>
              <w:top w:val="nil"/>
              <w:left w:val="single" w:sz="4" w:space="0" w:color="auto"/>
              <w:bottom w:val="nil"/>
              <w:right w:val="single" w:sz="4" w:space="0" w:color="auto"/>
            </w:tcBorders>
            <w:shd w:val="clear" w:color="000000" w:fill="D9D9D9"/>
            <w:noWrap/>
            <w:vAlign w:val="bottom"/>
            <w:hideMark/>
          </w:tcPr>
          <w:p w14:paraId="24EFD90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20 (15.9%)</w:t>
            </w:r>
          </w:p>
        </w:tc>
        <w:tc>
          <w:tcPr>
            <w:tcW w:w="992" w:type="dxa"/>
            <w:tcBorders>
              <w:top w:val="nil"/>
              <w:left w:val="single" w:sz="4" w:space="0" w:color="auto"/>
              <w:bottom w:val="nil"/>
              <w:right w:val="double" w:sz="4" w:space="0" w:color="auto"/>
            </w:tcBorders>
            <w:shd w:val="clear" w:color="000000" w:fill="D9D9D9"/>
            <w:vAlign w:val="bottom"/>
          </w:tcPr>
          <w:p w14:paraId="2066407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w:t>
            </w:r>
          </w:p>
        </w:tc>
        <w:tc>
          <w:tcPr>
            <w:tcW w:w="992" w:type="dxa"/>
            <w:tcBorders>
              <w:top w:val="nil"/>
              <w:left w:val="double" w:sz="4" w:space="0" w:color="auto"/>
              <w:bottom w:val="nil"/>
              <w:right w:val="single" w:sz="4" w:space="0" w:color="auto"/>
            </w:tcBorders>
            <w:shd w:val="clear" w:color="000000" w:fill="D9D9D9"/>
            <w:noWrap/>
            <w:vAlign w:val="bottom"/>
            <w:hideMark/>
          </w:tcPr>
          <w:p w14:paraId="0DC38A9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79 (21.9%)</w:t>
            </w:r>
          </w:p>
        </w:tc>
        <w:tc>
          <w:tcPr>
            <w:tcW w:w="993" w:type="dxa"/>
            <w:tcBorders>
              <w:top w:val="nil"/>
              <w:left w:val="nil"/>
              <w:bottom w:val="nil"/>
              <w:right w:val="single" w:sz="4" w:space="0" w:color="auto"/>
            </w:tcBorders>
            <w:shd w:val="clear" w:color="000000" w:fill="D9D9D9"/>
            <w:noWrap/>
            <w:vAlign w:val="bottom"/>
            <w:hideMark/>
          </w:tcPr>
          <w:p w14:paraId="21A8A4A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50 (23.9%)</w:t>
            </w:r>
          </w:p>
        </w:tc>
        <w:tc>
          <w:tcPr>
            <w:tcW w:w="992" w:type="dxa"/>
            <w:tcBorders>
              <w:top w:val="nil"/>
              <w:left w:val="nil"/>
              <w:bottom w:val="nil"/>
              <w:right w:val="single" w:sz="4" w:space="0" w:color="auto"/>
            </w:tcBorders>
            <w:shd w:val="clear" w:color="000000" w:fill="D9D9D9"/>
            <w:noWrap/>
            <w:vAlign w:val="bottom"/>
            <w:hideMark/>
          </w:tcPr>
          <w:p w14:paraId="5DC0DCA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31 (25%)</w:t>
            </w:r>
          </w:p>
        </w:tc>
        <w:tc>
          <w:tcPr>
            <w:tcW w:w="666" w:type="dxa"/>
            <w:tcBorders>
              <w:top w:val="nil"/>
              <w:left w:val="nil"/>
              <w:bottom w:val="nil"/>
              <w:right w:val="single" w:sz="4" w:space="0" w:color="auto"/>
            </w:tcBorders>
            <w:shd w:val="clear" w:color="000000" w:fill="D9D9D9"/>
            <w:noWrap/>
            <w:vAlign w:val="bottom"/>
            <w:hideMark/>
          </w:tcPr>
          <w:p w14:paraId="4ADCD70B"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0.013</w:t>
            </w:r>
          </w:p>
        </w:tc>
        <w:tc>
          <w:tcPr>
            <w:tcW w:w="1268" w:type="dxa"/>
            <w:tcBorders>
              <w:top w:val="nil"/>
              <w:left w:val="nil"/>
              <w:bottom w:val="nil"/>
              <w:right w:val="single" w:sz="4" w:space="0" w:color="auto"/>
            </w:tcBorders>
            <w:shd w:val="clear" w:color="000000" w:fill="D9D9D9"/>
            <w:noWrap/>
            <w:vAlign w:val="bottom"/>
            <w:hideMark/>
          </w:tcPr>
          <w:p w14:paraId="15329093"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544 (15.9%)</w:t>
            </w:r>
          </w:p>
        </w:tc>
      </w:tr>
      <w:tr w:rsidR="00E30D79" w:rsidRPr="00C515A5" w14:paraId="0F640AD6"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06DB71E1" w14:textId="77777777" w:rsidR="00E30D79" w:rsidRPr="00C515A5" w:rsidRDefault="00E30D79" w:rsidP="00C26C4B">
            <w:pPr>
              <w:rPr>
                <w:rFonts w:ascii="Calibri" w:eastAsia="Times New Roman" w:hAnsi="Calibri"/>
                <w:color w:val="000000"/>
                <w:sz w:val="16"/>
                <w:szCs w:val="16"/>
                <w:lang w:val="en-US"/>
              </w:rPr>
            </w:pPr>
            <w:r w:rsidRPr="00C515A5">
              <w:rPr>
                <w:rFonts w:ascii="Calibri" w:eastAsia="Times New Roman" w:hAnsi="Calibri"/>
                <w:color w:val="000000"/>
                <w:sz w:val="16"/>
                <w:szCs w:val="16"/>
                <w:lang w:val="en-US"/>
              </w:rPr>
              <w:t>Previous HF-hospitalization in past year</w:t>
            </w:r>
          </w:p>
        </w:tc>
        <w:tc>
          <w:tcPr>
            <w:tcW w:w="992" w:type="dxa"/>
            <w:tcBorders>
              <w:top w:val="nil"/>
              <w:left w:val="single" w:sz="4" w:space="0" w:color="auto"/>
              <w:bottom w:val="nil"/>
              <w:right w:val="single" w:sz="4" w:space="0" w:color="auto"/>
            </w:tcBorders>
            <w:vAlign w:val="bottom"/>
          </w:tcPr>
          <w:p w14:paraId="2BAC860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2247 (48.8%)</w:t>
            </w:r>
          </w:p>
        </w:tc>
        <w:tc>
          <w:tcPr>
            <w:tcW w:w="992" w:type="dxa"/>
            <w:tcBorders>
              <w:top w:val="nil"/>
              <w:left w:val="single" w:sz="4" w:space="0" w:color="auto"/>
              <w:bottom w:val="nil"/>
              <w:right w:val="single" w:sz="4" w:space="0" w:color="auto"/>
            </w:tcBorders>
            <w:shd w:val="clear" w:color="auto" w:fill="auto"/>
            <w:noWrap/>
            <w:vAlign w:val="bottom"/>
            <w:hideMark/>
          </w:tcPr>
          <w:p w14:paraId="149D8FD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184 (66.4%)</w:t>
            </w:r>
          </w:p>
        </w:tc>
        <w:tc>
          <w:tcPr>
            <w:tcW w:w="1038" w:type="dxa"/>
            <w:gridSpan w:val="2"/>
            <w:tcBorders>
              <w:top w:val="nil"/>
              <w:left w:val="nil"/>
              <w:bottom w:val="nil"/>
              <w:right w:val="single" w:sz="4" w:space="0" w:color="auto"/>
            </w:tcBorders>
            <w:shd w:val="clear" w:color="auto" w:fill="auto"/>
            <w:noWrap/>
            <w:vAlign w:val="bottom"/>
            <w:hideMark/>
          </w:tcPr>
          <w:p w14:paraId="7BA4A6F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327 (60.2%)</w:t>
            </w:r>
          </w:p>
        </w:tc>
        <w:tc>
          <w:tcPr>
            <w:tcW w:w="952" w:type="dxa"/>
            <w:tcBorders>
              <w:top w:val="nil"/>
              <w:left w:val="nil"/>
              <w:bottom w:val="nil"/>
              <w:right w:val="nil"/>
            </w:tcBorders>
            <w:shd w:val="clear" w:color="auto" w:fill="auto"/>
            <w:noWrap/>
            <w:vAlign w:val="bottom"/>
            <w:hideMark/>
          </w:tcPr>
          <w:p w14:paraId="76A531F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99 (57.6%)</w:t>
            </w:r>
          </w:p>
        </w:tc>
        <w:tc>
          <w:tcPr>
            <w:tcW w:w="992" w:type="dxa"/>
            <w:tcBorders>
              <w:top w:val="nil"/>
              <w:left w:val="single" w:sz="4" w:space="0" w:color="auto"/>
              <w:bottom w:val="nil"/>
              <w:right w:val="single" w:sz="4" w:space="0" w:color="auto"/>
            </w:tcBorders>
            <w:shd w:val="clear" w:color="auto" w:fill="auto"/>
            <w:noWrap/>
            <w:vAlign w:val="bottom"/>
            <w:hideMark/>
          </w:tcPr>
          <w:p w14:paraId="3A7B607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57 (60.6%)</w:t>
            </w:r>
          </w:p>
        </w:tc>
        <w:tc>
          <w:tcPr>
            <w:tcW w:w="992" w:type="dxa"/>
            <w:tcBorders>
              <w:top w:val="nil"/>
              <w:left w:val="single" w:sz="4" w:space="0" w:color="auto"/>
              <w:bottom w:val="nil"/>
              <w:right w:val="double" w:sz="4" w:space="0" w:color="auto"/>
            </w:tcBorders>
            <w:vAlign w:val="bottom"/>
          </w:tcPr>
          <w:p w14:paraId="2A31BAC9"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0.22</w:t>
            </w:r>
          </w:p>
        </w:tc>
        <w:tc>
          <w:tcPr>
            <w:tcW w:w="992" w:type="dxa"/>
            <w:tcBorders>
              <w:top w:val="nil"/>
              <w:left w:val="double" w:sz="4" w:space="0" w:color="auto"/>
              <w:bottom w:val="nil"/>
              <w:right w:val="single" w:sz="4" w:space="0" w:color="auto"/>
            </w:tcBorders>
            <w:shd w:val="clear" w:color="auto" w:fill="auto"/>
            <w:noWrap/>
            <w:vAlign w:val="bottom"/>
            <w:hideMark/>
          </w:tcPr>
          <w:p w14:paraId="50D771E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131 (60.4%)</w:t>
            </w:r>
          </w:p>
        </w:tc>
        <w:tc>
          <w:tcPr>
            <w:tcW w:w="993" w:type="dxa"/>
            <w:tcBorders>
              <w:top w:val="nil"/>
              <w:left w:val="nil"/>
              <w:bottom w:val="nil"/>
              <w:right w:val="single" w:sz="4" w:space="0" w:color="auto"/>
            </w:tcBorders>
            <w:shd w:val="clear" w:color="auto" w:fill="auto"/>
            <w:noWrap/>
            <w:vAlign w:val="bottom"/>
            <w:hideMark/>
          </w:tcPr>
          <w:p w14:paraId="7439B6A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64 (47.8%)</w:t>
            </w:r>
          </w:p>
        </w:tc>
        <w:tc>
          <w:tcPr>
            <w:tcW w:w="992" w:type="dxa"/>
            <w:tcBorders>
              <w:top w:val="nil"/>
              <w:left w:val="nil"/>
              <w:bottom w:val="nil"/>
              <w:right w:val="single" w:sz="4" w:space="0" w:color="auto"/>
            </w:tcBorders>
            <w:shd w:val="clear" w:color="auto" w:fill="auto"/>
            <w:noWrap/>
            <w:vAlign w:val="bottom"/>
            <w:hideMark/>
          </w:tcPr>
          <w:p w14:paraId="6521420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42 (47.7%)</w:t>
            </w:r>
          </w:p>
        </w:tc>
        <w:tc>
          <w:tcPr>
            <w:tcW w:w="666" w:type="dxa"/>
            <w:tcBorders>
              <w:top w:val="nil"/>
              <w:left w:val="nil"/>
              <w:bottom w:val="nil"/>
              <w:right w:val="single" w:sz="4" w:space="0" w:color="auto"/>
            </w:tcBorders>
            <w:shd w:val="clear" w:color="auto" w:fill="auto"/>
            <w:noWrap/>
            <w:vAlign w:val="bottom"/>
            <w:hideMark/>
          </w:tcPr>
          <w:p w14:paraId="47EE7E60"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&lt;0.0001</w:t>
            </w:r>
          </w:p>
        </w:tc>
        <w:tc>
          <w:tcPr>
            <w:tcW w:w="1268" w:type="dxa"/>
            <w:tcBorders>
              <w:top w:val="nil"/>
              <w:left w:val="nil"/>
              <w:bottom w:val="nil"/>
              <w:right w:val="single" w:sz="4" w:space="0" w:color="auto"/>
            </w:tcBorders>
            <w:shd w:val="clear" w:color="auto" w:fill="auto"/>
            <w:noWrap/>
            <w:vAlign w:val="bottom"/>
            <w:hideMark/>
          </w:tcPr>
          <w:p w14:paraId="23730A6F"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1343 (43.5%)</w:t>
            </w:r>
          </w:p>
        </w:tc>
      </w:tr>
      <w:tr w:rsidR="00E30D79" w:rsidRPr="00C515A5" w14:paraId="6E8FE9BF"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0C00644D"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Atrial</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Fibri</w:t>
            </w:r>
            <w:r>
              <w:rPr>
                <w:rFonts w:ascii="Calibri" w:eastAsia="Times New Roman" w:hAnsi="Calibri"/>
                <w:color w:val="000000"/>
                <w:sz w:val="16"/>
                <w:szCs w:val="16"/>
              </w:rPr>
              <w:t>l</w:t>
            </w:r>
            <w:r w:rsidRPr="00C515A5">
              <w:rPr>
                <w:rFonts w:ascii="Calibri" w:eastAsia="Times New Roman" w:hAnsi="Calibri"/>
                <w:color w:val="000000"/>
                <w:sz w:val="16"/>
                <w:szCs w:val="16"/>
              </w:rPr>
              <w:t>lation</w:t>
            </w:r>
            <w:proofErr w:type="spellEnd"/>
          </w:p>
        </w:tc>
        <w:tc>
          <w:tcPr>
            <w:tcW w:w="992" w:type="dxa"/>
            <w:tcBorders>
              <w:top w:val="nil"/>
              <w:left w:val="single" w:sz="4" w:space="0" w:color="auto"/>
              <w:bottom w:val="nil"/>
              <w:right w:val="single" w:sz="4" w:space="0" w:color="auto"/>
            </w:tcBorders>
            <w:shd w:val="clear" w:color="000000" w:fill="D9D9D9"/>
            <w:vAlign w:val="bottom"/>
          </w:tcPr>
          <w:p w14:paraId="0614861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1765 (26%)</w:t>
            </w:r>
          </w:p>
        </w:tc>
        <w:tc>
          <w:tcPr>
            <w:tcW w:w="992" w:type="dxa"/>
            <w:tcBorders>
              <w:top w:val="nil"/>
              <w:left w:val="single" w:sz="4" w:space="0" w:color="auto"/>
              <w:bottom w:val="nil"/>
              <w:right w:val="single" w:sz="4" w:space="0" w:color="auto"/>
            </w:tcBorders>
            <w:shd w:val="clear" w:color="000000" w:fill="D9D9D9"/>
            <w:noWrap/>
            <w:vAlign w:val="bottom"/>
            <w:hideMark/>
          </w:tcPr>
          <w:p w14:paraId="5C67CE1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102 (20.5%)</w:t>
            </w:r>
          </w:p>
        </w:tc>
        <w:tc>
          <w:tcPr>
            <w:tcW w:w="1038" w:type="dxa"/>
            <w:gridSpan w:val="2"/>
            <w:tcBorders>
              <w:top w:val="nil"/>
              <w:left w:val="nil"/>
              <w:bottom w:val="nil"/>
              <w:right w:val="single" w:sz="4" w:space="0" w:color="auto"/>
            </w:tcBorders>
            <w:shd w:val="clear" w:color="000000" w:fill="D9D9D9"/>
            <w:noWrap/>
            <w:vAlign w:val="bottom"/>
            <w:hideMark/>
          </w:tcPr>
          <w:p w14:paraId="155AC7C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197 (25.2%)</w:t>
            </w:r>
          </w:p>
        </w:tc>
        <w:tc>
          <w:tcPr>
            <w:tcW w:w="952" w:type="dxa"/>
            <w:tcBorders>
              <w:top w:val="nil"/>
              <w:left w:val="nil"/>
              <w:bottom w:val="nil"/>
              <w:right w:val="nil"/>
            </w:tcBorders>
            <w:shd w:val="clear" w:color="000000" w:fill="D9D9D9"/>
            <w:noWrap/>
            <w:vAlign w:val="bottom"/>
            <w:hideMark/>
          </w:tcPr>
          <w:p w14:paraId="56AF4C0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80 (32.7%)</w:t>
            </w:r>
          </w:p>
        </w:tc>
        <w:tc>
          <w:tcPr>
            <w:tcW w:w="992" w:type="dxa"/>
            <w:tcBorders>
              <w:top w:val="nil"/>
              <w:left w:val="single" w:sz="4" w:space="0" w:color="auto"/>
              <w:bottom w:val="nil"/>
              <w:right w:val="single" w:sz="4" w:space="0" w:color="auto"/>
            </w:tcBorders>
            <w:shd w:val="clear" w:color="000000" w:fill="D9D9D9"/>
            <w:noWrap/>
            <w:vAlign w:val="bottom"/>
            <w:hideMark/>
          </w:tcPr>
          <w:p w14:paraId="1E04728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33 (24.8%)</w:t>
            </w:r>
          </w:p>
        </w:tc>
        <w:tc>
          <w:tcPr>
            <w:tcW w:w="992" w:type="dxa"/>
            <w:tcBorders>
              <w:top w:val="nil"/>
              <w:left w:val="single" w:sz="4" w:space="0" w:color="auto"/>
              <w:bottom w:val="nil"/>
              <w:right w:val="double" w:sz="4" w:space="0" w:color="auto"/>
            </w:tcBorders>
            <w:shd w:val="clear" w:color="000000" w:fill="D9D9D9"/>
            <w:vAlign w:val="bottom"/>
          </w:tcPr>
          <w:p w14:paraId="2BA956B1"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0.004</w:t>
            </w:r>
          </w:p>
        </w:tc>
        <w:tc>
          <w:tcPr>
            <w:tcW w:w="992" w:type="dxa"/>
            <w:tcBorders>
              <w:top w:val="nil"/>
              <w:left w:val="double" w:sz="4" w:space="0" w:color="auto"/>
              <w:bottom w:val="nil"/>
              <w:right w:val="single" w:sz="4" w:space="0" w:color="auto"/>
            </w:tcBorders>
            <w:shd w:val="clear" w:color="000000" w:fill="D9D9D9"/>
            <w:noWrap/>
            <w:vAlign w:val="bottom"/>
            <w:hideMark/>
          </w:tcPr>
          <w:p w14:paraId="1A6F950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87 (22.9%)</w:t>
            </w:r>
          </w:p>
        </w:tc>
        <w:tc>
          <w:tcPr>
            <w:tcW w:w="993" w:type="dxa"/>
            <w:tcBorders>
              <w:top w:val="nil"/>
              <w:left w:val="nil"/>
              <w:bottom w:val="nil"/>
              <w:right w:val="single" w:sz="4" w:space="0" w:color="auto"/>
            </w:tcBorders>
            <w:shd w:val="clear" w:color="000000" w:fill="D9D9D9"/>
            <w:noWrap/>
            <w:vAlign w:val="bottom"/>
            <w:hideMark/>
          </w:tcPr>
          <w:p w14:paraId="45B3EC87"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38 (16.2%)</w:t>
            </w:r>
          </w:p>
        </w:tc>
        <w:tc>
          <w:tcPr>
            <w:tcW w:w="992" w:type="dxa"/>
            <w:tcBorders>
              <w:top w:val="nil"/>
              <w:left w:val="nil"/>
              <w:bottom w:val="nil"/>
              <w:right w:val="single" w:sz="4" w:space="0" w:color="auto"/>
            </w:tcBorders>
            <w:shd w:val="clear" w:color="000000" w:fill="D9D9D9"/>
            <w:noWrap/>
            <w:vAlign w:val="bottom"/>
            <w:hideMark/>
          </w:tcPr>
          <w:p w14:paraId="2285D47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15 (11.1%)</w:t>
            </w:r>
          </w:p>
        </w:tc>
        <w:tc>
          <w:tcPr>
            <w:tcW w:w="666" w:type="dxa"/>
            <w:tcBorders>
              <w:top w:val="nil"/>
              <w:left w:val="nil"/>
              <w:bottom w:val="nil"/>
              <w:right w:val="single" w:sz="4" w:space="0" w:color="auto"/>
            </w:tcBorders>
            <w:shd w:val="clear" w:color="000000" w:fill="D9D9D9"/>
            <w:noWrap/>
            <w:vAlign w:val="bottom"/>
            <w:hideMark/>
          </w:tcPr>
          <w:p w14:paraId="03353992"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0.013</w:t>
            </w:r>
          </w:p>
        </w:tc>
        <w:tc>
          <w:tcPr>
            <w:tcW w:w="1268" w:type="dxa"/>
            <w:tcBorders>
              <w:top w:val="nil"/>
              <w:left w:val="nil"/>
              <w:bottom w:val="nil"/>
              <w:right w:val="single" w:sz="4" w:space="0" w:color="auto"/>
            </w:tcBorders>
            <w:shd w:val="clear" w:color="000000" w:fill="D9D9D9"/>
            <w:noWrap/>
            <w:vAlign w:val="bottom"/>
            <w:hideMark/>
          </w:tcPr>
          <w:p w14:paraId="2BEE4313"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1213 (27.7%)</w:t>
            </w:r>
          </w:p>
        </w:tc>
      </w:tr>
      <w:tr w:rsidR="00E30D79" w:rsidRPr="00C515A5" w14:paraId="4D39944A"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22073DEC" w14:textId="77777777" w:rsidR="00E30D79" w:rsidRPr="00C515A5" w:rsidRDefault="00E30D79" w:rsidP="00C26C4B">
            <w:pPr>
              <w:rPr>
                <w:rFonts w:ascii="Calibri" w:eastAsia="Times New Roman" w:hAnsi="Calibri"/>
                <w:color w:val="000000"/>
                <w:sz w:val="16"/>
                <w:szCs w:val="16"/>
              </w:rPr>
            </w:pPr>
            <w:r>
              <w:rPr>
                <w:rFonts w:ascii="Calibri" w:eastAsia="Times New Roman" w:hAnsi="Calibri"/>
                <w:color w:val="000000"/>
                <w:sz w:val="16"/>
                <w:szCs w:val="16"/>
              </w:rPr>
              <w:t>Diabetes mellitus</w:t>
            </w:r>
          </w:p>
        </w:tc>
        <w:tc>
          <w:tcPr>
            <w:tcW w:w="992" w:type="dxa"/>
            <w:tcBorders>
              <w:top w:val="nil"/>
              <w:left w:val="single" w:sz="4" w:space="0" w:color="auto"/>
              <w:bottom w:val="nil"/>
              <w:right w:val="single" w:sz="4" w:space="0" w:color="auto"/>
            </w:tcBorders>
            <w:vAlign w:val="bottom"/>
          </w:tcPr>
          <w:p w14:paraId="0ADF523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2607 (38.4%)</w:t>
            </w:r>
          </w:p>
        </w:tc>
        <w:tc>
          <w:tcPr>
            <w:tcW w:w="992" w:type="dxa"/>
            <w:tcBorders>
              <w:top w:val="nil"/>
              <w:left w:val="single" w:sz="4" w:space="0" w:color="auto"/>
              <w:bottom w:val="nil"/>
              <w:right w:val="single" w:sz="4" w:space="0" w:color="auto"/>
            </w:tcBorders>
            <w:shd w:val="clear" w:color="auto" w:fill="auto"/>
            <w:noWrap/>
            <w:vAlign w:val="bottom"/>
            <w:hideMark/>
          </w:tcPr>
          <w:p w14:paraId="3460D1E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199 (40%)</w:t>
            </w:r>
          </w:p>
        </w:tc>
        <w:tc>
          <w:tcPr>
            <w:tcW w:w="1038" w:type="dxa"/>
            <w:gridSpan w:val="2"/>
            <w:tcBorders>
              <w:top w:val="nil"/>
              <w:left w:val="nil"/>
              <w:bottom w:val="nil"/>
              <w:right w:val="single" w:sz="4" w:space="0" w:color="auto"/>
            </w:tcBorders>
            <w:shd w:val="clear" w:color="auto" w:fill="auto"/>
            <w:noWrap/>
            <w:vAlign w:val="bottom"/>
            <w:hideMark/>
          </w:tcPr>
          <w:p w14:paraId="01617C4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339 (43.4%)</w:t>
            </w:r>
          </w:p>
        </w:tc>
        <w:tc>
          <w:tcPr>
            <w:tcW w:w="952" w:type="dxa"/>
            <w:tcBorders>
              <w:top w:val="nil"/>
              <w:left w:val="nil"/>
              <w:bottom w:val="nil"/>
              <w:right w:val="nil"/>
            </w:tcBorders>
            <w:shd w:val="clear" w:color="auto" w:fill="auto"/>
            <w:noWrap/>
            <w:vAlign w:val="bottom"/>
            <w:hideMark/>
          </w:tcPr>
          <w:p w14:paraId="13E9CF8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94 (38.4%)</w:t>
            </w:r>
          </w:p>
        </w:tc>
        <w:tc>
          <w:tcPr>
            <w:tcW w:w="992" w:type="dxa"/>
            <w:tcBorders>
              <w:top w:val="nil"/>
              <w:left w:val="single" w:sz="4" w:space="0" w:color="auto"/>
              <w:bottom w:val="nil"/>
              <w:right w:val="single" w:sz="4" w:space="0" w:color="auto"/>
            </w:tcBorders>
            <w:shd w:val="clear" w:color="auto" w:fill="auto"/>
            <w:noWrap/>
            <w:vAlign w:val="bottom"/>
            <w:hideMark/>
          </w:tcPr>
          <w:p w14:paraId="0BCBC4DE"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67 (50.4%)</w:t>
            </w:r>
          </w:p>
        </w:tc>
        <w:tc>
          <w:tcPr>
            <w:tcW w:w="992" w:type="dxa"/>
            <w:tcBorders>
              <w:top w:val="nil"/>
              <w:left w:val="single" w:sz="4" w:space="0" w:color="auto"/>
              <w:bottom w:val="nil"/>
              <w:right w:val="double" w:sz="4" w:space="0" w:color="auto"/>
            </w:tcBorders>
            <w:vAlign w:val="bottom"/>
          </w:tcPr>
          <w:p w14:paraId="234C2E90"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0.09</w:t>
            </w:r>
          </w:p>
        </w:tc>
        <w:tc>
          <w:tcPr>
            <w:tcW w:w="992" w:type="dxa"/>
            <w:tcBorders>
              <w:top w:val="nil"/>
              <w:left w:val="double" w:sz="4" w:space="0" w:color="auto"/>
              <w:bottom w:val="nil"/>
              <w:right w:val="single" w:sz="4" w:space="0" w:color="auto"/>
            </w:tcBorders>
            <w:shd w:val="clear" w:color="auto" w:fill="auto"/>
            <w:noWrap/>
            <w:vAlign w:val="bottom"/>
            <w:hideMark/>
          </w:tcPr>
          <w:p w14:paraId="3CA3051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149 (39.2%)</w:t>
            </w:r>
          </w:p>
        </w:tc>
        <w:tc>
          <w:tcPr>
            <w:tcW w:w="993" w:type="dxa"/>
            <w:tcBorders>
              <w:top w:val="nil"/>
              <w:left w:val="nil"/>
              <w:bottom w:val="nil"/>
              <w:right w:val="single" w:sz="4" w:space="0" w:color="auto"/>
            </w:tcBorders>
            <w:shd w:val="clear" w:color="auto" w:fill="auto"/>
            <w:noWrap/>
            <w:vAlign w:val="bottom"/>
            <w:hideMark/>
          </w:tcPr>
          <w:p w14:paraId="5507437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90 (38.5%)</w:t>
            </w:r>
          </w:p>
        </w:tc>
        <w:tc>
          <w:tcPr>
            <w:tcW w:w="992" w:type="dxa"/>
            <w:tcBorders>
              <w:top w:val="nil"/>
              <w:left w:val="nil"/>
              <w:bottom w:val="nil"/>
              <w:right w:val="single" w:sz="4" w:space="0" w:color="auto"/>
            </w:tcBorders>
            <w:shd w:val="clear" w:color="auto" w:fill="auto"/>
            <w:noWrap/>
            <w:vAlign w:val="bottom"/>
            <w:hideMark/>
          </w:tcPr>
          <w:p w14:paraId="12B346C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59 (43.7%)</w:t>
            </w:r>
          </w:p>
        </w:tc>
        <w:tc>
          <w:tcPr>
            <w:tcW w:w="666" w:type="dxa"/>
            <w:tcBorders>
              <w:top w:val="nil"/>
              <w:left w:val="nil"/>
              <w:bottom w:val="nil"/>
              <w:right w:val="single" w:sz="4" w:space="0" w:color="auto"/>
            </w:tcBorders>
            <w:shd w:val="clear" w:color="auto" w:fill="auto"/>
            <w:noWrap/>
            <w:vAlign w:val="bottom"/>
            <w:hideMark/>
          </w:tcPr>
          <w:p w14:paraId="02AF1C62"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0.78</w:t>
            </w:r>
          </w:p>
        </w:tc>
        <w:tc>
          <w:tcPr>
            <w:tcW w:w="1268" w:type="dxa"/>
            <w:tcBorders>
              <w:top w:val="nil"/>
              <w:left w:val="nil"/>
              <w:bottom w:val="nil"/>
              <w:right w:val="single" w:sz="4" w:space="0" w:color="auto"/>
            </w:tcBorders>
            <w:shd w:val="clear" w:color="auto" w:fill="auto"/>
            <w:noWrap/>
            <w:vAlign w:val="bottom"/>
            <w:hideMark/>
          </w:tcPr>
          <w:p w14:paraId="12E09826"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1610 (36.8%)</w:t>
            </w:r>
          </w:p>
        </w:tc>
      </w:tr>
      <w:tr w:rsidR="00E30D79" w:rsidRPr="00C515A5" w14:paraId="2555AA18"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34FACB5A"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Hypertension</w:t>
            </w:r>
            <w:proofErr w:type="spellEnd"/>
          </w:p>
        </w:tc>
        <w:tc>
          <w:tcPr>
            <w:tcW w:w="992" w:type="dxa"/>
            <w:tcBorders>
              <w:top w:val="nil"/>
              <w:left w:val="single" w:sz="4" w:space="0" w:color="auto"/>
              <w:bottom w:val="nil"/>
              <w:right w:val="single" w:sz="4" w:space="0" w:color="auto"/>
            </w:tcBorders>
            <w:shd w:val="clear" w:color="000000" w:fill="D9D9D9"/>
            <w:vAlign w:val="bottom"/>
          </w:tcPr>
          <w:p w14:paraId="145807D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3708 (54.7%)</w:t>
            </w:r>
          </w:p>
        </w:tc>
        <w:tc>
          <w:tcPr>
            <w:tcW w:w="992" w:type="dxa"/>
            <w:tcBorders>
              <w:top w:val="nil"/>
              <w:left w:val="single" w:sz="4" w:space="0" w:color="auto"/>
              <w:bottom w:val="nil"/>
              <w:right w:val="single" w:sz="4" w:space="0" w:color="auto"/>
            </w:tcBorders>
            <w:shd w:val="clear" w:color="000000" w:fill="D9D9D9"/>
            <w:noWrap/>
            <w:vAlign w:val="bottom"/>
            <w:hideMark/>
          </w:tcPr>
          <w:p w14:paraId="1030F21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273 (54.8%)</w:t>
            </w:r>
          </w:p>
        </w:tc>
        <w:tc>
          <w:tcPr>
            <w:tcW w:w="1038" w:type="dxa"/>
            <w:gridSpan w:val="2"/>
            <w:tcBorders>
              <w:top w:val="nil"/>
              <w:left w:val="nil"/>
              <w:bottom w:val="nil"/>
              <w:right w:val="single" w:sz="4" w:space="0" w:color="auto"/>
            </w:tcBorders>
            <w:shd w:val="clear" w:color="000000" w:fill="D9D9D9"/>
            <w:noWrap/>
            <w:vAlign w:val="bottom"/>
            <w:hideMark/>
          </w:tcPr>
          <w:p w14:paraId="40C4E87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429 (54.9%)</w:t>
            </w:r>
          </w:p>
        </w:tc>
        <w:tc>
          <w:tcPr>
            <w:tcW w:w="952" w:type="dxa"/>
            <w:tcBorders>
              <w:top w:val="nil"/>
              <w:left w:val="nil"/>
              <w:bottom w:val="nil"/>
              <w:right w:val="nil"/>
            </w:tcBorders>
            <w:shd w:val="clear" w:color="000000" w:fill="D9D9D9"/>
            <w:noWrap/>
            <w:vAlign w:val="bottom"/>
            <w:hideMark/>
          </w:tcPr>
          <w:p w14:paraId="5D165A2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145 (59.2%)</w:t>
            </w:r>
          </w:p>
        </w:tc>
        <w:tc>
          <w:tcPr>
            <w:tcW w:w="992" w:type="dxa"/>
            <w:tcBorders>
              <w:top w:val="nil"/>
              <w:left w:val="single" w:sz="4" w:space="0" w:color="auto"/>
              <w:bottom w:val="nil"/>
              <w:right w:val="single" w:sz="4" w:space="0" w:color="auto"/>
            </w:tcBorders>
            <w:shd w:val="clear" w:color="000000" w:fill="D9D9D9"/>
            <w:noWrap/>
            <w:vAlign w:val="bottom"/>
            <w:hideMark/>
          </w:tcPr>
          <w:p w14:paraId="3D8E0E0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80 (60.2%)</w:t>
            </w:r>
          </w:p>
        </w:tc>
        <w:tc>
          <w:tcPr>
            <w:tcW w:w="992" w:type="dxa"/>
            <w:tcBorders>
              <w:top w:val="nil"/>
              <w:left w:val="single" w:sz="4" w:space="0" w:color="auto"/>
              <w:bottom w:val="nil"/>
              <w:right w:val="double" w:sz="4" w:space="0" w:color="auto"/>
            </w:tcBorders>
            <w:shd w:val="clear" w:color="000000" w:fill="D9D9D9"/>
            <w:vAlign w:val="bottom"/>
          </w:tcPr>
          <w:p w14:paraId="0DBCACF6"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0.45</w:t>
            </w:r>
          </w:p>
        </w:tc>
        <w:tc>
          <w:tcPr>
            <w:tcW w:w="992" w:type="dxa"/>
            <w:tcBorders>
              <w:top w:val="nil"/>
              <w:left w:val="double" w:sz="4" w:space="0" w:color="auto"/>
              <w:bottom w:val="nil"/>
              <w:right w:val="single" w:sz="4" w:space="0" w:color="auto"/>
            </w:tcBorders>
            <w:shd w:val="clear" w:color="000000" w:fill="D9D9D9"/>
            <w:noWrap/>
            <w:vAlign w:val="bottom"/>
            <w:hideMark/>
          </w:tcPr>
          <w:p w14:paraId="1A44165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163 (42.9%)</w:t>
            </w:r>
          </w:p>
        </w:tc>
        <w:tc>
          <w:tcPr>
            <w:tcW w:w="993" w:type="dxa"/>
            <w:tcBorders>
              <w:top w:val="nil"/>
              <w:left w:val="nil"/>
              <w:bottom w:val="nil"/>
              <w:right w:val="single" w:sz="4" w:space="0" w:color="auto"/>
            </w:tcBorders>
            <w:shd w:val="clear" w:color="000000" w:fill="D9D9D9"/>
            <w:noWrap/>
            <w:vAlign w:val="bottom"/>
            <w:hideMark/>
          </w:tcPr>
          <w:p w14:paraId="411A9BB7"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99 (42.3%)</w:t>
            </w:r>
          </w:p>
        </w:tc>
        <w:tc>
          <w:tcPr>
            <w:tcW w:w="992" w:type="dxa"/>
            <w:tcBorders>
              <w:top w:val="nil"/>
              <w:left w:val="nil"/>
              <w:bottom w:val="nil"/>
              <w:right w:val="single" w:sz="4" w:space="0" w:color="auto"/>
            </w:tcBorders>
            <w:shd w:val="clear" w:color="000000" w:fill="D9D9D9"/>
            <w:noWrap/>
            <w:vAlign w:val="bottom"/>
            <w:hideMark/>
          </w:tcPr>
          <w:p w14:paraId="34D4A29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63 (46.7%)</w:t>
            </w:r>
          </w:p>
        </w:tc>
        <w:tc>
          <w:tcPr>
            <w:tcW w:w="666" w:type="dxa"/>
            <w:tcBorders>
              <w:top w:val="nil"/>
              <w:left w:val="nil"/>
              <w:bottom w:val="nil"/>
              <w:right w:val="single" w:sz="4" w:space="0" w:color="auto"/>
            </w:tcBorders>
            <w:shd w:val="clear" w:color="000000" w:fill="D9D9D9"/>
            <w:noWrap/>
            <w:vAlign w:val="bottom"/>
            <w:hideMark/>
          </w:tcPr>
          <w:p w14:paraId="5C6E0592"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0.001</w:t>
            </w:r>
          </w:p>
        </w:tc>
        <w:tc>
          <w:tcPr>
            <w:tcW w:w="1268" w:type="dxa"/>
            <w:tcBorders>
              <w:top w:val="nil"/>
              <w:left w:val="nil"/>
              <w:bottom w:val="nil"/>
              <w:right w:val="single" w:sz="4" w:space="0" w:color="auto"/>
            </w:tcBorders>
            <w:shd w:val="clear" w:color="000000" w:fill="D9D9D9"/>
            <w:noWrap/>
            <w:vAlign w:val="bottom"/>
            <w:hideMark/>
          </w:tcPr>
          <w:p w14:paraId="03D88AE8"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2456 (56.2%)</w:t>
            </w:r>
          </w:p>
        </w:tc>
      </w:tr>
      <w:tr w:rsidR="00E30D79" w:rsidRPr="00C515A5" w14:paraId="6B1DC4C5"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626B1CF4" w14:textId="77777777" w:rsidR="00E30D79" w:rsidRPr="00C515A5" w:rsidRDefault="00E30D79" w:rsidP="00C26C4B">
            <w:pPr>
              <w:rPr>
                <w:rFonts w:ascii="Calibri" w:eastAsia="Times New Roman" w:hAnsi="Calibri"/>
                <w:color w:val="000000"/>
                <w:sz w:val="16"/>
                <w:szCs w:val="16"/>
                <w:lang w:val="en-US"/>
              </w:rPr>
            </w:pPr>
            <w:r w:rsidRPr="00C515A5">
              <w:rPr>
                <w:rFonts w:ascii="Calibri" w:eastAsia="Times New Roman" w:hAnsi="Calibri"/>
                <w:color w:val="000000"/>
                <w:sz w:val="16"/>
                <w:szCs w:val="16"/>
                <w:lang w:val="en-US"/>
              </w:rPr>
              <w:t>Body mass index (kg/m</w:t>
            </w:r>
            <w:r w:rsidRPr="00206A91">
              <w:rPr>
                <w:rFonts w:ascii="Calibri" w:eastAsia="Times New Roman" w:hAnsi="Calibri"/>
                <w:color w:val="000000"/>
                <w:sz w:val="16"/>
                <w:szCs w:val="16"/>
                <w:vertAlign w:val="superscript"/>
                <w:lang w:val="en-US"/>
              </w:rPr>
              <w:t>2</w:t>
            </w:r>
            <w:r w:rsidRPr="00C515A5">
              <w:rPr>
                <w:rFonts w:ascii="Calibri" w:eastAsia="Times New Roman" w:hAnsi="Calibri"/>
                <w:color w:val="000000"/>
                <w:sz w:val="16"/>
                <w:szCs w:val="16"/>
                <w:lang w:val="en-US"/>
              </w:rPr>
              <w:t>)</w:t>
            </w:r>
          </w:p>
        </w:tc>
        <w:tc>
          <w:tcPr>
            <w:tcW w:w="992" w:type="dxa"/>
            <w:tcBorders>
              <w:top w:val="nil"/>
              <w:left w:val="single" w:sz="4" w:space="0" w:color="auto"/>
              <w:bottom w:val="nil"/>
              <w:right w:val="single" w:sz="4" w:space="0" w:color="auto"/>
            </w:tcBorders>
            <w:vAlign w:val="bottom"/>
          </w:tcPr>
          <w:p w14:paraId="4242AC5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25.9 (5.4)</w:t>
            </w:r>
          </w:p>
        </w:tc>
        <w:tc>
          <w:tcPr>
            <w:tcW w:w="992" w:type="dxa"/>
            <w:tcBorders>
              <w:top w:val="nil"/>
              <w:left w:val="single" w:sz="4" w:space="0" w:color="auto"/>
              <w:bottom w:val="nil"/>
              <w:right w:val="single" w:sz="4" w:space="0" w:color="auto"/>
            </w:tcBorders>
            <w:shd w:val="clear" w:color="auto" w:fill="auto"/>
            <w:noWrap/>
            <w:vAlign w:val="bottom"/>
            <w:hideMark/>
          </w:tcPr>
          <w:p w14:paraId="12DB1898"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24.3 (4.73)</w:t>
            </w:r>
          </w:p>
        </w:tc>
        <w:tc>
          <w:tcPr>
            <w:tcW w:w="1038" w:type="dxa"/>
            <w:gridSpan w:val="2"/>
            <w:tcBorders>
              <w:top w:val="nil"/>
              <w:left w:val="nil"/>
              <w:bottom w:val="nil"/>
              <w:right w:val="single" w:sz="4" w:space="0" w:color="auto"/>
            </w:tcBorders>
            <w:shd w:val="clear" w:color="auto" w:fill="auto"/>
            <w:noWrap/>
            <w:vAlign w:val="bottom"/>
            <w:hideMark/>
          </w:tcPr>
          <w:p w14:paraId="7A4B4A8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24.6 (4.96)</w:t>
            </w:r>
          </w:p>
        </w:tc>
        <w:tc>
          <w:tcPr>
            <w:tcW w:w="952" w:type="dxa"/>
            <w:tcBorders>
              <w:top w:val="nil"/>
              <w:left w:val="nil"/>
              <w:bottom w:val="nil"/>
              <w:right w:val="nil"/>
            </w:tcBorders>
            <w:shd w:val="clear" w:color="auto" w:fill="auto"/>
            <w:noWrap/>
            <w:vAlign w:val="bottom"/>
            <w:hideMark/>
          </w:tcPr>
          <w:p w14:paraId="3576BF3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25.8 (5.33)</w:t>
            </w:r>
          </w:p>
        </w:tc>
        <w:tc>
          <w:tcPr>
            <w:tcW w:w="992" w:type="dxa"/>
            <w:tcBorders>
              <w:top w:val="nil"/>
              <w:left w:val="single" w:sz="4" w:space="0" w:color="auto"/>
              <w:bottom w:val="nil"/>
              <w:right w:val="single" w:sz="4" w:space="0" w:color="auto"/>
            </w:tcBorders>
            <w:shd w:val="clear" w:color="auto" w:fill="auto"/>
            <w:noWrap/>
            <w:vAlign w:val="bottom"/>
            <w:hideMark/>
          </w:tcPr>
          <w:p w14:paraId="27924DD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25.2 (4.97)</w:t>
            </w:r>
          </w:p>
        </w:tc>
        <w:tc>
          <w:tcPr>
            <w:tcW w:w="992" w:type="dxa"/>
            <w:tcBorders>
              <w:top w:val="nil"/>
              <w:left w:val="single" w:sz="4" w:space="0" w:color="auto"/>
              <w:bottom w:val="nil"/>
              <w:right w:val="double" w:sz="4" w:space="0" w:color="auto"/>
            </w:tcBorders>
            <w:vAlign w:val="bottom"/>
          </w:tcPr>
          <w:p w14:paraId="32C1E98F"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0.001</w:t>
            </w:r>
          </w:p>
        </w:tc>
        <w:tc>
          <w:tcPr>
            <w:tcW w:w="992" w:type="dxa"/>
            <w:tcBorders>
              <w:top w:val="nil"/>
              <w:left w:val="double" w:sz="4" w:space="0" w:color="auto"/>
              <w:bottom w:val="nil"/>
              <w:right w:val="single" w:sz="4" w:space="0" w:color="auto"/>
            </w:tcBorders>
            <w:shd w:val="clear" w:color="auto" w:fill="auto"/>
            <w:noWrap/>
            <w:vAlign w:val="bottom"/>
            <w:hideMark/>
          </w:tcPr>
          <w:p w14:paraId="5429D75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24.5 (4.92)</w:t>
            </w:r>
          </w:p>
        </w:tc>
        <w:tc>
          <w:tcPr>
            <w:tcW w:w="993" w:type="dxa"/>
            <w:tcBorders>
              <w:top w:val="nil"/>
              <w:left w:val="nil"/>
              <w:bottom w:val="nil"/>
              <w:right w:val="single" w:sz="4" w:space="0" w:color="auto"/>
            </w:tcBorders>
            <w:shd w:val="clear" w:color="auto" w:fill="auto"/>
            <w:noWrap/>
            <w:vAlign w:val="bottom"/>
            <w:hideMark/>
          </w:tcPr>
          <w:p w14:paraId="6437B80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25.5 (5.11)</w:t>
            </w:r>
          </w:p>
        </w:tc>
        <w:tc>
          <w:tcPr>
            <w:tcW w:w="992" w:type="dxa"/>
            <w:tcBorders>
              <w:top w:val="nil"/>
              <w:left w:val="nil"/>
              <w:bottom w:val="nil"/>
              <w:right w:val="single" w:sz="4" w:space="0" w:color="auto"/>
            </w:tcBorders>
            <w:shd w:val="clear" w:color="auto" w:fill="auto"/>
            <w:noWrap/>
            <w:vAlign w:val="bottom"/>
            <w:hideMark/>
          </w:tcPr>
          <w:p w14:paraId="489C4CBF"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26.5 (7.45)</w:t>
            </w:r>
          </w:p>
        </w:tc>
        <w:tc>
          <w:tcPr>
            <w:tcW w:w="666" w:type="dxa"/>
            <w:tcBorders>
              <w:top w:val="nil"/>
              <w:left w:val="nil"/>
              <w:bottom w:val="nil"/>
              <w:right w:val="single" w:sz="4" w:space="0" w:color="auto"/>
            </w:tcBorders>
            <w:shd w:val="clear" w:color="auto" w:fill="auto"/>
            <w:noWrap/>
            <w:vAlign w:val="bottom"/>
            <w:hideMark/>
          </w:tcPr>
          <w:p w14:paraId="2F39118E"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&lt;0.0001</w:t>
            </w:r>
          </w:p>
        </w:tc>
        <w:tc>
          <w:tcPr>
            <w:tcW w:w="1268" w:type="dxa"/>
            <w:tcBorders>
              <w:top w:val="nil"/>
              <w:left w:val="nil"/>
              <w:bottom w:val="nil"/>
              <w:right w:val="single" w:sz="4" w:space="0" w:color="auto"/>
            </w:tcBorders>
            <w:shd w:val="clear" w:color="auto" w:fill="auto"/>
            <w:noWrap/>
            <w:vAlign w:val="bottom"/>
            <w:hideMark/>
          </w:tcPr>
          <w:p w14:paraId="3B634A14"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26.4 (5.44)</w:t>
            </w:r>
          </w:p>
        </w:tc>
      </w:tr>
      <w:tr w:rsidR="00E30D79" w:rsidRPr="00C515A5" w14:paraId="7655A40D"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70129BCB"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Heart</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rate</w:t>
            </w:r>
            <w:proofErr w:type="spellEnd"/>
            <w:r w:rsidRPr="00C515A5">
              <w:rPr>
                <w:rFonts w:ascii="Calibri" w:eastAsia="Times New Roman" w:hAnsi="Calibri"/>
                <w:color w:val="000000"/>
                <w:sz w:val="16"/>
                <w:szCs w:val="16"/>
              </w:rPr>
              <w:t xml:space="preserve"> (beats/min)</w:t>
            </w:r>
          </w:p>
        </w:tc>
        <w:tc>
          <w:tcPr>
            <w:tcW w:w="992" w:type="dxa"/>
            <w:tcBorders>
              <w:top w:val="nil"/>
              <w:left w:val="single" w:sz="4" w:space="0" w:color="auto"/>
              <w:bottom w:val="nil"/>
              <w:right w:val="single" w:sz="4" w:space="0" w:color="auto"/>
            </w:tcBorders>
            <w:shd w:val="clear" w:color="000000" w:fill="D9D9D9"/>
            <w:vAlign w:val="bottom"/>
          </w:tcPr>
          <w:p w14:paraId="14EFC00C"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79.6 (17.26)</w:t>
            </w:r>
          </w:p>
        </w:tc>
        <w:tc>
          <w:tcPr>
            <w:tcW w:w="992" w:type="dxa"/>
            <w:tcBorders>
              <w:top w:val="nil"/>
              <w:left w:val="single" w:sz="4" w:space="0" w:color="auto"/>
              <w:bottom w:val="nil"/>
              <w:right w:val="single" w:sz="4" w:space="0" w:color="auto"/>
            </w:tcBorders>
            <w:shd w:val="clear" w:color="000000" w:fill="D9D9D9"/>
            <w:noWrap/>
            <w:vAlign w:val="bottom"/>
            <w:hideMark/>
          </w:tcPr>
          <w:p w14:paraId="4CA7453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82.8 (18.17)</w:t>
            </w:r>
          </w:p>
        </w:tc>
        <w:tc>
          <w:tcPr>
            <w:tcW w:w="1038" w:type="dxa"/>
            <w:gridSpan w:val="2"/>
            <w:tcBorders>
              <w:top w:val="nil"/>
              <w:left w:val="nil"/>
              <w:bottom w:val="nil"/>
              <w:right w:val="single" w:sz="4" w:space="0" w:color="auto"/>
            </w:tcBorders>
            <w:shd w:val="clear" w:color="000000" w:fill="D9D9D9"/>
            <w:noWrap/>
            <w:vAlign w:val="bottom"/>
            <w:hideMark/>
          </w:tcPr>
          <w:p w14:paraId="4817BD1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78.5 (16.72)</w:t>
            </w:r>
          </w:p>
        </w:tc>
        <w:tc>
          <w:tcPr>
            <w:tcW w:w="952" w:type="dxa"/>
            <w:tcBorders>
              <w:top w:val="nil"/>
              <w:left w:val="nil"/>
              <w:bottom w:val="nil"/>
              <w:right w:val="nil"/>
            </w:tcBorders>
            <w:shd w:val="clear" w:color="000000" w:fill="D9D9D9"/>
            <w:noWrap/>
            <w:vAlign w:val="bottom"/>
            <w:hideMark/>
          </w:tcPr>
          <w:p w14:paraId="51BE720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78.3 (16.01)</w:t>
            </w:r>
          </w:p>
        </w:tc>
        <w:tc>
          <w:tcPr>
            <w:tcW w:w="992" w:type="dxa"/>
            <w:tcBorders>
              <w:top w:val="nil"/>
              <w:left w:val="single" w:sz="4" w:space="0" w:color="auto"/>
              <w:bottom w:val="nil"/>
              <w:right w:val="single" w:sz="4" w:space="0" w:color="auto"/>
            </w:tcBorders>
            <w:shd w:val="clear" w:color="000000" w:fill="D9D9D9"/>
            <w:noWrap/>
            <w:vAlign w:val="bottom"/>
            <w:hideMark/>
          </w:tcPr>
          <w:p w14:paraId="1229396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80 (17.28)</w:t>
            </w:r>
          </w:p>
        </w:tc>
        <w:tc>
          <w:tcPr>
            <w:tcW w:w="992" w:type="dxa"/>
            <w:tcBorders>
              <w:top w:val="nil"/>
              <w:left w:val="single" w:sz="4" w:space="0" w:color="auto"/>
              <w:bottom w:val="nil"/>
              <w:right w:val="double" w:sz="4" w:space="0" w:color="auto"/>
            </w:tcBorders>
            <w:shd w:val="clear" w:color="000000" w:fill="D9D9D9"/>
            <w:vAlign w:val="bottom"/>
          </w:tcPr>
          <w:p w14:paraId="528B18FA"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0.004</w:t>
            </w:r>
          </w:p>
        </w:tc>
        <w:tc>
          <w:tcPr>
            <w:tcW w:w="992" w:type="dxa"/>
            <w:tcBorders>
              <w:top w:val="nil"/>
              <w:left w:val="double" w:sz="4" w:space="0" w:color="auto"/>
              <w:bottom w:val="nil"/>
              <w:right w:val="single" w:sz="4" w:space="0" w:color="auto"/>
            </w:tcBorders>
            <w:shd w:val="clear" w:color="000000" w:fill="D9D9D9"/>
            <w:noWrap/>
            <w:vAlign w:val="bottom"/>
            <w:hideMark/>
          </w:tcPr>
          <w:p w14:paraId="3D4A076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82 (18.46)</w:t>
            </w:r>
          </w:p>
        </w:tc>
        <w:tc>
          <w:tcPr>
            <w:tcW w:w="993" w:type="dxa"/>
            <w:tcBorders>
              <w:top w:val="nil"/>
              <w:left w:val="nil"/>
              <w:bottom w:val="nil"/>
              <w:right w:val="single" w:sz="4" w:space="0" w:color="auto"/>
            </w:tcBorders>
            <w:shd w:val="clear" w:color="000000" w:fill="D9D9D9"/>
            <w:noWrap/>
            <w:vAlign w:val="bottom"/>
            <w:hideMark/>
          </w:tcPr>
          <w:p w14:paraId="5C0A2F4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82.1 (18.48)</w:t>
            </w:r>
          </w:p>
        </w:tc>
        <w:tc>
          <w:tcPr>
            <w:tcW w:w="992" w:type="dxa"/>
            <w:tcBorders>
              <w:top w:val="nil"/>
              <w:left w:val="nil"/>
              <w:bottom w:val="nil"/>
              <w:right w:val="single" w:sz="4" w:space="0" w:color="auto"/>
            </w:tcBorders>
            <w:shd w:val="clear" w:color="000000" w:fill="D9D9D9"/>
            <w:noWrap/>
            <w:vAlign w:val="bottom"/>
            <w:hideMark/>
          </w:tcPr>
          <w:p w14:paraId="0DC4166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81.9 (18.69)</w:t>
            </w:r>
          </w:p>
        </w:tc>
        <w:tc>
          <w:tcPr>
            <w:tcW w:w="666" w:type="dxa"/>
            <w:tcBorders>
              <w:top w:val="nil"/>
              <w:left w:val="nil"/>
              <w:bottom w:val="nil"/>
              <w:right w:val="single" w:sz="4" w:space="0" w:color="auto"/>
            </w:tcBorders>
            <w:shd w:val="clear" w:color="000000" w:fill="D9D9D9"/>
            <w:noWrap/>
            <w:vAlign w:val="bottom"/>
            <w:hideMark/>
          </w:tcPr>
          <w:p w14:paraId="369D1B74"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0.55</w:t>
            </w:r>
          </w:p>
        </w:tc>
        <w:tc>
          <w:tcPr>
            <w:tcW w:w="1268" w:type="dxa"/>
            <w:tcBorders>
              <w:top w:val="nil"/>
              <w:left w:val="nil"/>
              <w:bottom w:val="nil"/>
              <w:right w:val="single" w:sz="4" w:space="0" w:color="auto"/>
            </w:tcBorders>
            <w:shd w:val="clear" w:color="000000" w:fill="D9D9D9"/>
            <w:noWrap/>
            <w:vAlign w:val="bottom"/>
            <w:hideMark/>
          </w:tcPr>
          <w:p w14:paraId="44331266"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79.1 (17.03)</w:t>
            </w:r>
          </w:p>
        </w:tc>
      </w:tr>
      <w:tr w:rsidR="00E30D79" w:rsidRPr="00C515A5" w14:paraId="1F7824FC"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4E836E20"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Systolic</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blood</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pressure</w:t>
            </w:r>
            <w:proofErr w:type="spellEnd"/>
            <w:r w:rsidRPr="00C515A5">
              <w:rPr>
                <w:rFonts w:ascii="Calibri" w:eastAsia="Times New Roman" w:hAnsi="Calibri"/>
                <w:color w:val="000000"/>
                <w:sz w:val="16"/>
                <w:szCs w:val="16"/>
              </w:rPr>
              <w:t xml:space="preserve"> (mmHg)</w:t>
            </w:r>
          </w:p>
        </w:tc>
        <w:tc>
          <w:tcPr>
            <w:tcW w:w="992" w:type="dxa"/>
            <w:tcBorders>
              <w:top w:val="nil"/>
              <w:left w:val="single" w:sz="4" w:space="0" w:color="auto"/>
              <w:bottom w:val="nil"/>
              <w:right w:val="single" w:sz="4" w:space="0" w:color="auto"/>
            </w:tcBorders>
            <w:vAlign w:val="bottom"/>
          </w:tcPr>
          <w:p w14:paraId="23248E9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120 (20.58)</w:t>
            </w:r>
          </w:p>
        </w:tc>
        <w:tc>
          <w:tcPr>
            <w:tcW w:w="992" w:type="dxa"/>
            <w:tcBorders>
              <w:top w:val="nil"/>
              <w:left w:val="single" w:sz="4" w:space="0" w:color="auto"/>
              <w:bottom w:val="nil"/>
              <w:right w:val="single" w:sz="4" w:space="0" w:color="auto"/>
            </w:tcBorders>
            <w:shd w:val="clear" w:color="auto" w:fill="auto"/>
            <w:noWrap/>
            <w:vAlign w:val="bottom"/>
            <w:hideMark/>
          </w:tcPr>
          <w:p w14:paraId="4C7E8C2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118.1 (21.1)</w:t>
            </w:r>
          </w:p>
        </w:tc>
        <w:tc>
          <w:tcPr>
            <w:tcW w:w="1038" w:type="dxa"/>
            <w:gridSpan w:val="2"/>
            <w:tcBorders>
              <w:top w:val="nil"/>
              <w:left w:val="nil"/>
              <w:bottom w:val="nil"/>
              <w:right w:val="single" w:sz="4" w:space="0" w:color="auto"/>
            </w:tcBorders>
            <w:shd w:val="clear" w:color="auto" w:fill="auto"/>
            <w:noWrap/>
            <w:vAlign w:val="bottom"/>
            <w:hideMark/>
          </w:tcPr>
          <w:p w14:paraId="2DD3531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116.4 (18.45)</w:t>
            </w:r>
          </w:p>
        </w:tc>
        <w:tc>
          <w:tcPr>
            <w:tcW w:w="952" w:type="dxa"/>
            <w:tcBorders>
              <w:top w:val="nil"/>
              <w:left w:val="nil"/>
              <w:bottom w:val="nil"/>
              <w:right w:val="nil"/>
            </w:tcBorders>
            <w:shd w:val="clear" w:color="auto" w:fill="auto"/>
            <w:noWrap/>
            <w:vAlign w:val="bottom"/>
            <w:hideMark/>
          </w:tcPr>
          <w:p w14:paraId="1F285A0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120.9 (21.3)</w:t>
            </w:r>
          </w:p>
        </w:tc>
        <w:tc>
          <w:tcPr>
            <w:tcW w:w="992" w:type="dxa"/>
            <w:tcBorders>
              <w:top w:val="nil"/>
              <w:left w:val="single" w:sz="4" w:space="0" w:color="auto"/>
              <w:bottom w:val="nil"/>
              <w:right w:val="single" w:sz="4" w:space="0" w:color="auto"/>
            </w:tcBorders>
            <w:shd w:val="clear" w:color="auto" w:fill="auto"/>
            <w:noWrap/>
            <w:vAlign w:val="bottom"/>
            <w:hideMark/>
          </w:tcPr>
          <w:p w14:paraId="6A136861"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121.4 (21.38)</w:t>
            </w:r>
          </w:p>
        </w:tc>
        <w:tc>
          <w:tcPr>
            <w:tcW w:w="992" w:type="dxa"/>
            <w:tcBorders>
              <w:top w:val="nil"/>
              <w:left w:val="single" w:sz="4" w:space="0" w:color="auto"/>
              <w:bottom w:val="nil"/>
              <w:right w:val="double" w:sz="4" w:space="0" w:color="auto"/>
            </w:tcBorders>
            <w:vAlign w:val="bottom"/>
          </w:tcPr>
          <w:p w14:paraId="0598524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0.028</w:t>
            </w:r>
          </w:p>
        </w:tc>
        <w:tc>
          <w:tcPr>
            <w:tcW w:w="992" w:type="dxa"/>
            <w:tcBorders>
              <w:top w:val="nil"/>
              <w:left w:val="double" w:sz="4" w:space="0" w:color="auto"/>
              <w:bottom w:val="nil"/>
              <w:right w:val="single" w:sz="4" w:space="0" w:color="auto"/>
            </w:tcBorders>
            <w:shd w:val="clear" w:color="auto" w:fill="auto"/>
            <w:noWrap/>
            <w:vAlign w:val="bottom"/>
            <w:hideMark/>
          </w:tcPr>
          <w:p w14:paraId="3F98CC4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115.4 (19.46)</w:t>
            </w:r>
          </w:p>
        </w:tc>
        <w:tc>
          <w:tcPr>
            <w:tcW w:w="993" w:type="dxa"/>
            <w:tcBorders>
              <w:top w:val="nil"/>
              <w:left w:val="nil"/>
              <w:bottom w:val="nil"/>
              <w:right w:val="single" w:sz="4" w:space="0" w:color="auto"/>
            </w:tcBorders>
            <w:shd w:val="clear" w:color="auto" w:fill="auto"/>
            <w:noWrap/>
            <w:vAlign w:val="bottom"/>
            <w:hideMark/>
          </w:tcPr>
          <w:p w14:paraId="63E2786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119.3 (19)</w:t>
            </w:r>
          </w:p>
        </w:tc>
        <w:tc>
          <w:tcPr>
            <w:tcW w:w="992" w:type="dxa"/>
            <w:tcBorders>
              <w:top w:val="nil"/>
              <w:left w:val="nil"/>
              <w:bottom w:val="nil"/>
              <w:right w:val="single" w:sz="4" w:space="0" w:color="auto"/>
            </w:tcBorders>
            <w:shd w:val="clear" w:color="auto" w:fill="auto"/>
            <w:noWrap/>
            <w:vAlign w:val="bottom"/>
            <w:hideMark/>
          </w:tcPr>
          <w:p w14:paraId="02318D0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119.6 (20.66)</w:t>
            </w:r>
          </w:p>
        </w:tc>
        <w:tc>
          <w:tcPr>
            <w:tcW w:w="666" w:type="dxa"/>
            <w:tcBorders>
              <w:top w:val="nil"/>
              <w:left w:val="nil"/>
              <w:bottom w:val="nil"/>
              <w:right w:val="single" w:sz="4" w:space="0" w:color="auto"/>
            </w:tcBorders>
            <w:shd w:val="clear" w:color="auto" w:fill="auto"/>
            <w:noWrap/>
            <w:vAlign w:val="bottom"/>
            <w:hideMark/>
          </w:tcPr>
          <w:p w14:paraId="41FC8403"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0.33</w:t>
            </w:r>
          </w:p>
        </w:tc>
        <w:tc>
          <w:tcPr>
            <w:tcW w:w="1268" w:type="dxa"/>
            <w:tcBorders>
              <w:top w:val="nil"/>
              <w:left w:val="nil"/>
              <w:bottom w:val="nil"/>
              <w:right w:val="single" w:sz="4" w:space="0" w:color="auto"/>
            </w:tcBorders>
            <w:shd w:val="clear" w:color="auto" w:fill="auto"/>
            <w:noWrap/>
            <w:vAlign w:val="bottom"/>
            <w:hideMark/>
          </w:tcPr>
          <w:p w14:paraId="0F613698"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121.1 (20.86)</w:t>
            </w:r>
          </w:p>
        </w:tc>
      </w:tr>
      <w:tr w:rsidR="00E30D79" w:rsidRPr="00C515A5" w14:paraId="410FD2D3"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5F2FA120"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Diastolic</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blood</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pressure</w:t>
            </w:r>
            <w:proofErr w:type="spellEnd"/>
            <w:r w:rsidRPr="00C515A5">
              <w:rPr>
                <w:rFonts w:ascii="Calibri" w:eastAsia="Times New Roman" w:hAnsi="Calibri"/>
                <w:color w:val="000000"/>
                <w:sz w:val="16"/>
                <w:szCs w:val="16"/>
              </w:rPr>
              <w:t xml:space="preserve"> (mmHg)</w:t>
            </w:r>
          </w:p>
        </w:tc>
        <w:tc>
          <w:tcPr>
            <w:tcW w:w="992" w:type="dxa"/>
            <w:tcBorders>
              <w:top w:val="nil"/>
              <w:left w:val="single" w:sz="4" w:space="0" w:color="auto"/>
              <w:bottom w:val="nil"/>
              <w:right w:val="single" w:sz="4" w:space="0" w:color="auto"/>
            </w:tcBorders>
            <w:shd w:val="clear" w:color="000000" w:fill="D9D9D9"/>
            <w:vAlign w:val="bottom"/>
          </w:tcPr>
          <w:p w14:paraId="414530B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73.1 (12.74)</w:t>
            </w:r>
          </w:p>
        </w:tc>
        <w:tc>
          <w:tcPr>
            <w:tcW w:w="992" w:type="dxa"/>
            <w:tcBorders>
              <w:top w:val="nil"/>
              <w:left w:val="single" w:sz="4" w:space="0" w:color="auto"/>
              <w:bottom w:val="nil"/>
              <w:right w:val="single" w:sz="4" w:space="0" w:color="auto"/>
            </w:tcBorders>
            <w:shd w:val="clear" w:color="000000" w:fill="D9D9D9"/>
            <w:noWrap/>
            <w:vAlign w:val="bottom"/>
            <w:hideMark/>
          </w:tcPr>
          <w:p w14:paraId="166A285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72.5 (12.72)</w:t>
            </w:r>
          </w:p>
        </w:tc>
        <w:tc>
          <w:tcPr>
            <w:tcW w:w="1038" w:type="dxa"/>
            <w:gridSpan w:val="2"/>
            <w:tcBorders>
              <w:top w:val="nil"/>
              <w:left w:val="nil"/>
              <w:bottom w:val="nil"/>
              <w:right w:val="single" w:sz="4" w:space="0" w:color="auto"/>
            </w:tcBorders>
            <w:shd w:val="clear" w:color="000000" w:fill="D9D9D9"/>
            <w:noWrap/>
            <w:vAlign w:val="bottom"/>
            <w:hideMark/>
          </w:tcPr>
          <w:p w14:paraId="019A0E8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70.5 (11.7)</w:t>
            </w:r>
          </w:p>
        </w:tc>
        <w:tc>
          <w:tcPr>
            <w:tcW w:w="952" w:type="dxa"/>
            <w:tcBorders>
              <w:top w:val="nil"/>
              <w:left w:val="nil"/>
              <w:bottom w:val="nil"/>
              <w:right w:val="nil"/>
            </w:tcBorders>
            <w:shd w:val="clear" w:color="000000" w:fill="D9D9D9"/>
            <w:noWrap/>
            <w:vAlign w:val="bottom"/>
            <w:hideMark/>
          </w:tcPr>
          <w:p w14:paraId="0E2C667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73.3 (12.15)</w:t>
            </w:r>
          </w:p>
        </w:tc>
        <w:tc>
          <w:tcPr>
            <w:tcW w:w="992" w:type="dxa"/>
            <w:tcBorders>
              <w:top w:val="nil"/>
              <w:left w:val="single" w:sz="4" w:space="0" w:color="auto"/>
              <w:bottom w:val="nil"/>
              <w:right w:val="single" w:sz="4" w:space="0" w:color="auto"/>
            </w:tcBorders>
            <w:shd w:val="clear" w:color="000000" w:fill="D9D9D9"/>
            <w:noWrap/>
            <w:vAlign w:val="bottom"/>
            <w:hideMark/>
          </w:tcPr>
          <w:p w14:paraId="58632AF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73.8 (13.44)</w:t>
            </w:r>
          </w:p>
        </w:tc>
        <w:tc>
          <w:tcPr>
            <w:tcW w:w="992" w:type="dxa"/>
            <w:tcBorders>
              <w:top w:val="nil"/>
              <w:left w:val="single" w:sz="4" w:space="0" w:color="auto"/>
              <w:bottom w:val="nil"/>
              <w:right w:val="double" w:sz="4" w:space="0" w:color="auto"/>
            </w:tcBorders>
            <w:shd w:val="clear" w:color="000000" w:fill="D9D9D9"/>
            <w:vAlign w:val="bottom"/>
          </w:tcPr>
          <w:p w14:paraId="6F73F4E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0.21</w:t>
            </w:r>
          </w:p>
        </w:tc>
        <w:tc>
          <w:tcPr>
            <w:tcW w:w="992" w:type="dxa"/>
            <w:tcBorders>
              <w:top w:val="nil"/>
              <w:left w:val="double" w:sz="4" w:space="0" w:color="auto"/>
              <w:bottom w:val="nil"/>
              <w:right w:val="single" w:sz="4" w:space="0" w:color="auto"/>
            </w:tcBorders>
            <w:shd w:val="clear" w:color="000000" w:fill="D9D9D9"/>
            <w:noWrap/>
            <w:vAlign w:val="bottom"/>
            <w:hideMark/>
          </w:tcPr>
          <w:p w14:paraId="4E86EF5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70.2 (12.01)</w:t>
            </w:r>
          </w:p>
        </w:tc>
        <w:tc>
          <w:tcPr>
            <w:tcW w:w="993" w:type="dxa"/>
            <w:tcBorders>
              <w:top w:val="nil"/>
              <w:left w:val="nil"/>
              <w:bottom w:val="nil"/>
              <w:right w:val="single" w:sz="4" w:space="0" w:color="auto"/>
            </w:tcBorders>
            <w:shd w:val="clear" w:color="000000" w:fill="D9D9D9"/>
            <w:noWrap/>
            <w:vAlign w:val="bottom"/>
            <w:hideMark/>
          </w:tcPr>
          <w:p w14:paraId="29981FF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72.5 (11.77)</w:t>
            </w:r>
          </w:p>
        </w:tc>
        <w:tc>
          <w:tcPr>
            <w:tcW w:w="992" w:type="dxa"/>
            <w:tcBorders>
              <w:top w:val="nil"/>
              <w:left w:val="nil"/>
              <w:bottom w:val="nil"/>
              <w:right w:val="single" w:sz="4" w:space="0" w:color="auto"/>
            </w:tcBorders>
            <w:shd w:val="clear" w:color="000000" w:fill="D9D9D9"/>
            <w:noWrap/>
            <w:vAlign w:val="bottom"/>
            <w:hideMark/>
          </w:tcPr>
          <w:p w14:paraId="4C1008C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73.8 (12.6)</w:t>
            </w:r>
          </w:p>
        </w:tc>
        <w:tc>
          <w:tcPr>
            <w:tcW w:w="666" w:type="dxa"/>
            <w:tcBorders>
              <w:top w:val="nil"/>
              <w:left w:val="nil"/>
              <w:bottom w:val="nil"/>
              <w:right w:val="single" w:sz="4" w:space="0" w:color="auto"/>
            </w:tcBorders>
            <w:shd w:val="clear" w:color="000000" w:fill="D9D9D9"/>
            <w:noWrap/>
            <w:vAlign w:val="bottom"/>
            <w:hideMark/>
          </w:tcPr>
          <w:p w14:paraId="1E2D61EF"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0.41</w:t>
            </w:r>
          </w:p>
        </w:tc>
        <w:tc>
          <w:tcPr>
            <w:tcW w:w="1268" w:type="dxa"/>
            <w:tcBorders>
              <w:top w:val="nil"/>
              <w:left w:val="nil"/>
              <w:bottom w:val="nil"/>
              <w:right w:val="single" w:sz="4" w:space="0" w:color="auto"/>
            </w:tcBorders>
            <w:shd w:val="clear" w:color="000000" w:fill="D9D9D9"/>
            <w:noWrap/>
            <w:vAlign w:val="bottom"/>
            <w:hideMark/>
          </w:tcPr>
          <w:p w14:paraId="4E12C4AC"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73.8 (12.96)</w:t>
            </w:r>
          </w:p>
        </w:tc>
      </w:tr>
      <w:tr w:rsidR="00E30D79" w:rsidRPr="00C515A5" w14:paraId="1F531902" w14:textId="77777777" w:rsidTr="00C26C4B">
        <w:trPr>
          <w:trHeight w:val="200"/>
        </w:trPr>
        <w:tc>
          <w:tcPr>
            <w:tcW w:w="2830" w:type="dxa"/>
            <w:gridSpan w:val="2"/>
            <w:tcBorders>
              <w:top w:val="nil"/>
              <w:left w:val="single" w:sz="4" w:space="0" w:color="auto"/>
              <w:bottom w:val="nil"/>
              <w:right w:val="nil"/>
            </w:tcBorders>
            <w:shd w:val="clear" w:color="auto" w:fill="auto"/>
            <w:noWrap/>
            <w:vAlign w:val="bottom"/>
            <w:hideMark/>
          </w:tcPr>
          <w:p w14:paraId="1717C86A" w14:textId="77777777" w:rsidR="00E30D79" w:rsidRPr="00C515A5" w:rsidRDefault="00E30D79" w:rsidP="00C26C4B">
            <w:pPr>
              <w:rPr>
                <w:rFonts w:ascii="Calibri" w:eastAsia="Times New Roman" w:hAnsi="Calibri"/>
                <w:color w:val="000000"/>
                <w:sz w:val="16"/>
                <w:szCs w:val="16"/>
              </w:rPr>
            </w:pPr>
            <w:r w:rsidRPr="00C515A5">
              <w:rPr>
                <w:rFonts w:ascii="Calibri" w:eastAsia="Times New Roman" w:hAnsi="Calibri"/>
                <w:color w:val="000000"/>
                <w:sz w:val="16"/>
                <w:szCs w:val="16"/>
              </w:rPr>
              <w:t>LVEF (%)</w:t>
            </w:r>
          </w:p>
        </w:tc>
        <w:tc>
          <w:tcPr>
            <w:tcW w:w="992" w:type="dxa"/>
            <w:tcBorders>
              <w:top w:val="nil"/>
              <w:left w:val="single" w:sz="4" w:space="0" w:color="auto"/>
              <w:bottom w:val="nil"/>
              <w:right w:val="single" w:sz="4" w:space="0" w:color="auto"/>
            </w:tcBorders>
            <w:vAlign w:val="bottom"/>
          </w:tcPr>
          <w:p w14:paraId="0670433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27.7 (7.21)</w:t>
            </w:r>
          </w:p>
        </w:tc>
        <w:tc>
          <w:tcPr>
            <w:tcW w:w="992" w:type="dxa"/>
            <w:tcBorders>
              <w:top w:val="nil"/>
              <w:left w:val="single" w:sz="4" w:space="0" w:color="auto"/>
              <w:bottom w:val="nil"/>
              <w:right w:val="single" w:sz="4" w:space="0" w:color="auto"/>
            </w:tcBorders>
            <w:shd w:val="clear" w:color="auto" w:fill="auto"/>
            <w:noWrap/>
            <w:vAlign w:val="bottom"/>
            <w:hideMark/>
          </w:tcPr>
          <w:p w14:paraId="1BCFF52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28.2 (7.02)</w:t>
            </w:r>
          </w:p>
        </w:tc>
        <w:tc>
          <w:tcPr>
            <w:tcW w:w="1038" w:type="dxa"/>
            <w:gridSpan w:val="2"/>
            <w:tcBorders>
              <w:top w:val="nil"/>
              <w:left w:val="nil"/>
              <w:bottom w:val="nil"/>
              <w:right w:val="single" w:sz="4" w:space="0" w:color="auto"/>
            </w:tcBorders>
            <w:shd w:val="clear" w:color="auto" w:fill="auto"/>
            <w:noWrap/>
            <w:vAlign w:val="bottom"/>
            <w:hideMark/>
          </w:tcPr>
          <w:p w14:paraId="13FD381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27.9 (7.14)</w:t>
            </w:r>
          </w:p>
        </w:tc>
        <w:tc>
          <w:tcPr>
            <w:tcW w:w="952" w:type="dxa"/>
            <w:tcBorders>
              <w:top w:val="nil"/>
              <w:left w:val="nil"/>
              <w:bottom w:val="nil"/>
              <w:right w:val="nil"/>
            </w:tcBorders>
            <w:shd w:val="clear" w:color="auto" w:fill="auto"/>
            <w:noWrap/>
            <w:vAlign w:val="bottom"/>
            <w:hideMark/>
          </w:tcPr>
          <w:p w14:paraId="745D3FB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28 (6.93)</w:t>
            </w:r>
          </w:p>
        </w:tc>
        <w:tc>
          <w:tcPr>
            <w:tcW w:w="992" w:type="dxa"/>
            <w:tcBorders>
              <w:top w:val="nil"/>
              <w:left w:val="single" w:sz="4" w:space="0" w:color="auto"/>
              <w:right w:val="single" w:sz="4" w:space="0" w:color="auto"/>
            </w:tcBorders>
            <w:shd w:val="clear" w:color="auto" w:fill="auto"/>
            <w:noWrap/>
            <w:vAlign w:val="bottom"/>
            <w:hideMark/>
          </w:tcPr>
          <w:p w14:paraId="3862314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28.5 (6.9)</w:t>
            </w:r>
          </w:p>
        </w:tc>
        <w:tc>
          <w:tcPr>
            <w:tcW w:w="992" w:type="dxa"/>
            <w:tcBorders>
              <w:top w:val="nil"/>
              <w:left w:val="single" w:sz="4" w:space="0" w:color="auto"/>
              <w:right w:val="double" w:sz="4" w:space="0" w:color="auto"/>
            </w:tcBorders>
            <w:vAlign w:val="bottom"/>
          </w:tcPr>
          <w:p w14:paraId="2A08B2D4"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0.97</w:t>
            </w:r>
          </w:p>
        </w:tc>
        <w:tc>
          <w:tcPr>
            <w:tcW w:w="992" w:type="dxa"/>
            <w:tcBorders>
              <w:top w:val="nil"/>
              <w:left w:val="double" w:sz="4" w:space="0" w:color="auto"/>
              <w:bottom w:val="nil"/>
              <w:right w:val="single" w:sz="4" w:space="0" w:color="auto"/>
            </w:tcBorders>
            <w:shd w:val="clear" w:color="auto" w:fill="auto"/>
            <w:noWrap/>
            <w:vAlign w:val="bottom"/>
            <w:hideMark/>
          </w:tcPr>
          <w:p w14:paraId="2AC1408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27.4 (7.04)</w:t>
            </w:r>
          </w:p>
        </w:tc>
        <w:tc>
          <w:tcPr>
            <w:tcW w:w="993" w:type="dxa"/>
            <w:tcBorders>
              <w:top w:val="nil"/>
              <w:left w:val="nil"/>
              <w:bottom w:val="nil"/>
              <w:right w:val="single" w:sz="4" w:space="0" w:color="auto"/>
            </w:tcBorders>
            <w:shd w:val="clear" w:color="auto" w:fill="auto"/>
            <w:noWrap/>
            <w:vAlign w:val="bottom"/>
            <w:hideMark/>
          </w:tcPr>
          <w:p w14:paraId="52D5B996"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28.2 (6.61)</w:t>
            </w:r>
          </w:p>
        </w:tc>
        <w:tc>
          <w:tcPr>
            <w:tcW w:w="992" w:type="dxa"/>
            <w:tcBorders>
              <w:top w:val="nil"/>
              <w:left w:val="nil"/>
              <w:bottom w:val="nil"/>
              <w:right w:val="single" w:sz="4" w:space="0" w:color="auto"/>
            </w:tcBorders>
            <w:shd w:val="clear" w:color="auto" w:fill="auto"/>
            <w:noWrap/>
            <w:vAlign w:val="bottom"/>
            <w:hideMark/>
          </w:tcPr>
          <w:p w14:paraId="6C3D85F5"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28.3 (6.55)</w:t>
            </w:r>
          </w:p>
        </w:tc>
        <w:tc>
          <w:tcPr>
            <w:tcW w:w="666" w:type="dxa"/>
            <w:tcBorders>
              <w:top w:val="nil"/>
              <w:left w:val="nil"/>
              <w:bottom w:val="nil"/>
              <w:right w:val="single" w:sz="4" w:space="0" w:color="auto"/>
            </w:tcBorders>
            <w:shd w:val="clear" w:color="auto" w:fill="auto"/>
            <w:noWrap/>
            <w:vAlign w:val="bottom"/>
            <w:hideMark/>
          </w:tcPr>
          <w:p w14:paraId="0F48F960"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0.94</w:t>
            </w:r>
          </w:p>
        </w:tc>
        <w:tc>
          <w:tcPr>
            <w:tcW w:w="1268" w:type="dxa"/>
            <w:tcBorders>
              <w:top w:val="nil"/>
              <w:left w:val="nil"/>
              <w:bottom w:val="nil"/>
              <w:right w:val="single" w:sz="4" w:space="0" w:color="auto"/>
            </w:tcBorders>
            <w:shd w:val="clear" w:color="auto" w:fill="auto"/>
            <w:noWrap/>
            <w:vAlign w:val="bottom"/>
            <w:hideMark/>
          </w:tcPr>
          <w:p w14:paraId="7D93849B"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27.5 (7.33)</w:t>
            </w:r>
          </w:p>
        </w:tc>
      </w:tr>
      <w:tr w:rsidR="00E30D79" w:rsidRPr="00C515A5" w14:paraId="199BFAFA" w14:textId="77777777" w:rsidTr="00C26C4B">
        <w:trPr>
          <w:trHeight w:val="200"/>
        </w:trPr>
        <w:tc>
          <w:tcPr>
            <w:tcW w:w="2830" w:type="dxa"/>
            <w:gridSpan w:val="2"/>
            <w:tcBorders>
              <w:top w:val="nil"/>
              <w:left w:val="single" w:sz="4" w:space="0" w:color="auto"/>
              <w:bottom w:val="nil"/>
              <w:right w:val="nil"/>
            </w:tcBorders>
            <w:shd w:val="clear" w:color="000000" w:fill="D9D9D9"/>
            <w:noWrap/>
            <w:vAlign w:val="bottom"/>
            <w:hideMark/>
          </w:tcPr>
          <w:p w14:paraId="51F32E61"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lastRenderedPageBreak/>
              <w:t>NT-proBNP</w:t>
            </w:r>
            <w:proofErr w:type="spellEnd"/>
            <w:r w:rsidRPr="00C515A5">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ng</w:t>
            </w:r>
            <w:proofErr w:type="spellEnd"/>
            <w:r w:rsidRPr="00C515A5">
              <w:rPr>
                <w:rFonts w:ascii="Calibri" w:eastAsia="Times New Roman" w:hAnsi="Calibri"/>
                <w:color w:val="000000"/>
                <w:sz w:val="16"/>
                <w:szCs w:val="16"/>
              </w:rPr>
              <w:t>/L)</w:t>
            </w:r>
          </w:p>
        </w:tc>
        <w:tc>
          <w:tcPr>
            <w:tcW w:w="992" w:type="dxa"/>
            <w:tcBorders>
              <w:top w:val="nil"/>
              <w:left w:val="single" w:sz="4" w:space="0" w:color="auto"/>
              <w:bottom w:val="nil"/>
              <w:right w:val="single" w:sz="4" w:space="0" w:color="auto"/>
            </w:tcBorders>
            <w:shd w:val="clear" w:color="000000" w:fill="D9D9D9"/>
            <w:vAlign w:val="bottom"/>
          </w:tcPr>
          <w:p w14:paraId="7947121B"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3641 (1720-8103)</w:t>
            </w:r>
          </w:p>
        </w:tc>
        <w:tc>
          <w:tcPr>
            <w:tcW w:w="992" w:type="dxa"/>
            <w:tcBorders>
              <w:top w:val="nil"/>
              <w:left w:val="single" w:sz="4" w:space="0" w:color="auto"/>
              <w:bottom w:val="nil"/>
              <w:right w:val="single" w:sz="4" w:space="0" w:color="auto"/>
            </w:tcBorders>
            <w:shd w:val="clear" w:color="000000" w:fill="D9D9D9"/>
            <w:noWrap/>
            <w:vAlign w:val="bottom"/>
            <w:hideMark/>
          </w:tcPr>
          <w:p w14:paraId="368E91F7"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5410 (2178-11721)</w:t>
            </w:r>
          </w:p>
        </w:tc>
        <w:tc>
          <w:tcPr>
            <w:tcW w:w="1038" w:type="dxa"/>
            <w:gridSpan w:val="2"/>
            <w:tcBorders>
              <w:top w:val="nil"/>
              <w:left w:val="nil"/>
              <w:bottom w:val="nil"/>
              <w:right w:val="single" w:sz="4" w:space="0" w:color="auto"/>
            </w:tcBorders>
            <w:shd w:val="clear" w:color="000000" w:fill="D9D9D9"/>
            <w:noWrap/>
            <w:vAlign w:val="bottom"/>
            <w:hideMark/>
          </w:tcPr>
          <w:p w14:paraId="168289D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5300 (2009-16530)</w:t>
            </w:r>
          </w:p>
        </w:tc>
        <w:tc>
          <w:tcPr>
            <w:tcW w:w="952" w:type="dxa"/>
            <w:tcBorders>
              <w:top w:val="nil"/>
              <w:left w:val="nil"/>
              <w:bottom w:val="nil"/>
              <w:right w:val="nil"/>
            </w:tcBorders>
            <w:shd w:val="clear" w:color="000000" w:fill="D9D9D9"/>
            <w:noWrap/>
            <w:vAlign w:val="bottom"/>
            <w:hideMark/>
          </w:tcPr>
          <w:p w14:paraId="28EE1602"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4295 (1806-10279)</w:t>
            </w:r>
          </w:p>
        </w:tc>
        <w:tc>
          <w:tcPr>
            <w:tcW w:w="992" w:type="dxa"/>
            <w:tcBorders>
              <w:top w:val="nil"/>
              <w:left w:val="single" w:sz="4" w:space="0" w:color="auto"/>
              <w:right w:val="single" w:sz="4" w:space="0" w:color="auto"/>
            </w:tcBorders>
            <w:shd w:val="clear" w:color="000000" w:fill="D9D9D9"/>
            <w:noWrap/>
            <w:vAlign w:val="bottom"/>
            <w:hideMark/>
          </w:tcPr>
          <w:p w14:paraId="50CF0099"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4663.8 (1947-11059)</w:t>
            </w:r>
          </w:p>
        </w:tc>
        <w:tc>
          <w:tcPr>
            <w:tcW w:w="992" w:type="dxa"/>
            <w:tcBorders>
              <w:top w:val="nil"/>
              <w:left w:val="single" w:sz="4" w:space="0" w:color="auto"/>
              <w:right w:val="double" w:sz="4" w:space="0" w:color="auto"/>
            </w:tcBorders>
            <w:shd w:val="clear" w:color="000000" w:fill="D9D9D9"/>
            <w:vAlign w:val="bottom"/>
          </w:tcPr>
          <w:p w14:paraId="3056DE6D"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0.64</w:t>
            </w:r>
          </w:p>
        </w:tc>
        <w:tc>
          <w:tcPr>
            <w:tcW w:w="992" w:type="dxa"/>
            <w:tcBorders>
              <w:top w:val="nil"/>
              <w:left w:val="double" w:sz="4" w:space="0" w:color="auto"/>
              <w:bottom w:val="nil"/>
              <w:right w:val="single" w:sz="4" w:space="0" w:color="auto"/>
            </w:tcBorders>
            <w:shd w:val="clear" w:color="000000" w:fill="D9D9D9"/>
            <w:noWrap/>
            <w:vAlign w:val="bottom"/>
            <w:hideMark/>
          </w:tcPr>
          <w:p w14:paraId="0F9FC43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3278 (1987-6980)</w:t>
            </w:r>
          </w:p>
        </w:tc>
        <w:tc>
          <w:tcPr>
            <w:tcW w:w="993" w:type="dxa"/>
            <w:tcBorders>
              <w:top w:val="nil"/>
              <w:left w:val="nil"/>
              <w:bottom w:val="nil"/>
              <w:right w:val="single" w:sz="4" w:space="0" w:color="auto"/>
            </w:tcBorders>
            <w:shd w:val="clear" w:color="000000" w:fill="D9D9D9"/>
            <w:noWrap/>
            <w:vAlign w:val="bottom"/>
            <w:hideMark/>
          </w:tcPr>
          <w:p w14:paraId="7F36D91A"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3282 (1567-7729)</w:t>
            </w:r>
          </w:p>
        </w:tc>
        <w:tc>
          <w:tcPr>
            <w:tcW w:w="992" w:type="dxa"/>
            <w:tcBorders>
              <w:top w:val="nil"/>
              <w:left w:val="nil"/>
              <w:bottom w:val="nil"/>
              <w:right w:val="single" w:sz="4" w:space="0" w:color="auto"/>
            </w:tcBorders>
            <w:shd w:val="clear" w:color="000000" w:fill="D9D9D9"/>
            <w:noWrap/>
            <w:vAlign w:val="bottom"/>
            <w:hideMark/>
          </w:tcPr>
          <w:p w14:paraId="7633AEF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1997.5 (1235-4910)</w:t>
            </w:r>
          </w:p>
        </w:tc>
        <w:tc>
          <w:tcPr>
            <w:tcW w:w="666" w:type="dxa"/>
            <w:tcBorders>
              <w:top w:val="nil"/>
              <w:left w:val="nil"/>
              <w:bottom w:val="nil"/>
              <w:right w:val="single" w:sz="4" w:space="0" w:color="auto"/>
            </w:tcBorders>
            <w:shd w:val="clear" w:color="000000" w:fill="D9D9D9"/>
            <w:noWrap/>
            <w:vAlign w:val="bottom"/>
            <w:hideMark/>
          </w:tcPr>
          <w:p w14:paraId="37CBD83A"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0.035</w:t>
            </w:r>
          </w:p>
        </w:tc>
        <w:tc>
          <w:tcPr>
            <w:tcW w:w="1268" w:type="dxa"/>
            <w:tcBorders>
              <w:top w:val="nil"/>
              <w:left w:val="nil"/>
              <w:bottom w:val="nil"/>
              <w:right w:val="single" w:sz="4" w:space="0" w:color="auto"/>
            </w:tcBorders>
            <w:shd w:val="clear" w:color="000000" w:fill="D9D9D9"/>
            <w:noWrap/>
            <w:vAlign w:val="bottom"/>
            <w:hideMark/>
          </w:tcPr>
          <w:p w14:paraId="22330037"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3366 (1631-7086)</w:t>
            </w:r>
          </w:p>
        </w:tc>
      </w:tr>
      <w:tr w:rsidR="00E30D79" w:rsidRPr="00C515A5" w14:paraId="2CBC6542" w14:textId="77777777" w:rsidTr="00C26C4B">
        <w:trPr>
          <w:trHeight w:val="200"/>
        </w:trPr>
        <w:tc>
          <w:tcPr>
            <w:tcW w:w="2830" w:type="dxa"/>
            <w:gridSpan w:val="2"/>
            <w:tcBorders>
              <w:top w:val="nil"/>
              <w:left w:val="single" w:sz="4" w:space="0" w:color="auto"/>
              <w:bottom w:val="single" w:sz="4" w:space="0" w:color="auto"/>
              <w:right w:val="nil"/>
            </w:tcBorders>
            <w:shd w:val="clear" w:color="auto" w:fill="auto"/>
            <w:noWrap/>
            <w:vAlign w:val="bottom"/>
            <w:hideMark/>
          </w:tcPr>
          <w:p w14:paraId="0FF7F6C1" w14:textId="77777777" w:rsidR="00E30D79" w:rsidRPr="00C515A5" w:rsidRDefault="00E30D79" w:rsidP="00C26C4B">
            <w:pPr>
              <w:rPr>
                <w:rFonts w:ascii="Calibri" w:eastAsia="Times New Roman" w:hAnsi="Calibri"/>
                <w:color w:val="000000"/>
                <w:sz w:val="16"/>
                <w:szCs w:val="16"/>
              </w:rPr>
            </w:pPr>
            <w:proofErr w:type="spellStart"/>
            <w:r w:rsidRPr="00C515A5">
              <w:rPr>
                <w:rFonts w:ascii="Calibri" w:eastAsia="Times New Roman" w:hAnsi="Calibri"/>
                <w:color w:val="000000"/>
                <w:sz w:val="16"/>
                <w:szCs w:val="16"/>
              </w:rPr>
              <w:t>eGFR</w:t>
            </w:r>
            <w:proofErr w:type="spellEnd"/>
            <w:r w:rsidRPr="00C515A5">
              <w:rPr>
                <w:rFonts w:ascii="Calibri" w:eastAsia="Times New Roman" w:hAnsi="Calibri"/>
                <w:color w:val="000000"/>
                <w:sz w:val="16"/>
                <w:szCs w:val="16"/>
              </w:rPr>
              <w:t xml:space="preserve"> (ml/min/1.73m</w:t>
            </w:r>
            <w:r w:rsidRPr="00206A91">
              <w:rPr>
                <w:rFonts w:ascii="Calibri" w:eastAsia="Times New Roman" w:hAnsi="Calibri"/>
                <w:color w:val="000000"/>
                <w:sz w:val="16"/>
                <w:szCs w:val="16"/>
                <w:vertAlign w:val="superscript"/>
              </w:rPr>
              <w:t>2</w:t>
            </w:r>
            <w:r w:rsidRPr="00C515A5">
              <w:rPr>
                <w:rFonts w:ascii="Calibri" w:eastAsia="Times New Roman" w:hAnsi="Calibri"/>
                <w:color w:val="000000"/>
                <w:sz w:val="16"/>
                <w:szCs w:val="16"/>
              </w:rPr>
              <w:t>)</w:t>
            </w:r>
          </w:p>
        </w:tc>
        <w:tc>
          <w:tcPr>
            <w:tcW w:w="992" w:type="dxa"/>
            <w:tcBorders>
              <w:top w:val="nil"/>
              <w:left w:val="single" w:sz="4" w:space="0" w:color="auto"/>
              <w:bottom w:val="single" w:sz="4" w:space="0" w:color="auto"/>
              <w:right w:val="single" w:sz="4" w:space="0" w:color="auto"/>
            </w:tcBorders>
            <w:vAlign w:val="bottom"/>
          </w:tcPr>
          <w:p w14:paraId="36C20ADA"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68.2 (28.64)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D2724A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58.2 (28.88)</w:t>
            </w:r>
          </w:p>
        </w:tc>
        <w:tc>
          <w:tcPr>
            <w:tcW w:w="1038" w:type="dxa"/>
            <w:gridSpan w:val="2"/>
            <w:tcBorders>
              <w:top w:val="nil"/>
              <w:left w:val="nil"/>
              <w:bottom w:val="single" w:sz="4" w:space="0" w:color="auto"/>
              <w:right w:val="single" w:sz="4" w:space="0" w:color="auto"/>
            </w:tcBorders>
            <w:shd w:val="clear" w:color="auto" w:fill="auto"/>
            <w:noWrap/>
            <w:vAlign w:val="bottom"/>
            <w:hideMark/>
          </w:tcPr>
          <w:p w14:paraId="71B55A14"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59.7 (30.59)</w:t>
            </w:r>
          </w:p>
        </w:tc>
        <w:tc>
          <w:tcPr>
            <w:tcW w:w="952" w:type="dxa"/>
            <w:tcBorders>
              <w:top w:val="nil"/>
              <w:left w:val="nil"/>
              <w:bottom w:val="single" w:sz="4" w:space="0" w:color="auto"/>
              <w:right w:val="nil"/>
            </w:tcBorders>
            <w:shd w:val="clear" w:color="auto" w:fill="auto"/>
            <w:noWrap/>
            <w:vAlign w:val="bottom"/>
            <w:hideMark/>
          </w:tcPr>
          <w:p w14:paraId="554D9B70"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60.5 (29.39)</w:t>
            </w:r>
          </w:p>
        </w:tc>
        <w:tc>
          <w:tcPr>
            <w:tcW w:w="992" w:type="dxa"/>
            <w:tcBorders>
              <w:left w:val="single" w:sz="4" w:space="0" w:color="auto"/>
              <w:bottom w:val="single" w:sz="4" w:space="0" w:color="auto"/>
              <w:right w:val="single" w:sz="4" w:space="0" w:color="auto"/>
            </w:tcBorders>
            <w:shd w:val="clear" w:color="auto" w:fill="auto"/>
            <w:noWrap/>
            <w:vAlign w:val="bottom"/>
            <w:hideMark/>
          </w:tcPr>
          <w:p w14:paraId="1D51005D"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59.4 (30.15)</w:t>
            </w:r>
          </w:p>
        </w:tc>
        <w:tc>
          <w:tcPr>
            <w:tcW w:w="992" w:type="dxa"/>
            <w:tcBorders>
              <w:left w:val="single" w:sz="4" w:space="0" w:color="auto"/>
              <w:bottom w:val="single" w:sz="4" w:space="0" w:color="auto"/>
              <w:right w:val="double" w:sz="4" w:space="0" w:color="auto"/>
            </w:tcBorders>
            <w:vAlign w:val="bottom"/>
          </w:tcPr>
          <w:p w14:paraId="4787C01C"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0.44</w:t>
            </w:r>
          </w:p>
        </w:tc>
        <w:tc>
          <w:tcPr>
            <w:tcW w:w="992" w:type="dxa"/>
            <w:tcBorders>
              <w:top w:val="nil"/>
              <w:left w:val="double" w:sz="4" w:space="0" w:color="auto"/>
              <w:bottom w:val="single" w:sz="4" w:space="0" w:color="auto"/>
              <w:right w:val="single" w:sz="4" w:space="0" w:color="auto"/>
            </w:tcBorders>
            <w:shd w:val="clear" w:color="auto" w:fill="auto"/>
            <w:noWrap/>
            <w:vAlign w:val="bottom"/>
            <w:hideMark/>
          </w:tcPr>
          <w:p w14:paraId="3DE1C139"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66.6 (28.68)</w:t>
            </w:r>
          </w:p>
        </w:tc>
        <w:tc>
          <w:tcPr>
            <w:tcW w:w="993" w:type="dxa"/>
            <w:tcBorders>
              <w:top w:val="nil"/>
              <w:left w:val="nil"/>
              <w:bottom w:val="single" w:sz="4" w:space="0" w:color="auto"/>
              <w:right w:val="single" w:sz="4" w:space="0" w:color="auto"/>
            </w:tcBorders>
            <w:shd w:val="clear" w:color="auto" w:fill="auto"/>
            <w:noWrap/>
            <w:vAlign w:val="bottom"/>
            <w:hideMark/>
          </w:tcPr>
          <w:p w14:paraId="18BE7363"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72 (27.77)</w:t>
            </w:r>
          </w:p>
        </w:tc>
        <w:tc>
          <w:tcPr>
            <w:tcW w:w="992" w:type="dxa"/>
            <w:tcBorders>
              <w:top w:val="nil"/>
              <w:left w:val="nil"/>
              <w:bottom w:val="single" w:sz="4" w:space="0" w:color="auto"/>
              <w:right w:val="single" w:sz="4" w:space="0" w:color="auto"/>
            </w:tcBorders>
            <w:shd w:val="clear" w:color="auto" w:fill="auto"/>
            <w:noWrap/>
            <w:vAlign w:val="bottom"/>
            <w:hideMark/>
          </w:tcPr>
          <w:p w14:paraId="5D5D61F9" w14:textId="77777777" w:rsidR="00E30D79" w:rsidRPr="00BB44A4" w:rsidRDefault="00E30D79" w:rsidP="00C26C4B">
            <w:pPr>
              <w:rPr>
                <w:rFonts w:ascii="Calibri" w:eastAsia="Times New Roman" w:hAnsi="Calibri"/>
                <w:color w:val="000000"/>
                <w:sz w:val="16"/>
                <w:szCs w:val="16"/>
              </w:rPr>
            </w:pPr>
            <w:r w:rsidRPr="00BB44A4">
              <w:rPr>
                <w:rFonts w:ascii="Calibri" w:eastAsia="Times New Roman" w:hAnsi="Calibri"/>
                <w:color w:val="000000"/>
                <w:sz w:val="16"/>
                <w:szCs w:val="16"/>
              </w:rPr>
              <w:t>71.3 (23.83)</w:t>
            </w:r>
          </w:p>
        </w:tc>
        <w:tc>
          <w:tcPr>
            <w:tcW w:w="666" w:type="dxa"/>
            <w:tcBorders>
              <w:top w:val="nil"/>
              <w:left w:val="nil"/>
              <w:bottom w:val="single" w:sz="4" w:space="0" w:color="auto"/>
              <w:right w:val="single" w:sz="4" w:space="0" w:color="auto"/>
            </w:tcBorders>
            <w:shd w:val="clear" w:color="auto" w:fill="auto"/>
            <w:noWrap/>
            <w:vAlign w:val="bottom"/>
            <w:hideMark/>
          </w:tcPr>
          <w:p w14:paraId="62847275"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&lt;0.0001</w:t>
            </w:r>
          </w:p>
        </w:tc>
        <w:tc>
          <w:tcPr>
            <w:tcW w:w="1268" w:type="dxa"/>
            <w:tcBorders>
              <w:top w:val="nil"/>
              <w:left w:val="nil"/>
              <w:bottom w:val="single" w:sz="4" w:space="0" w:color="auto"/>
              <w:right w:val="single" w:sz="4" w:space="0" w:color="auto"/>
            </w:tcBorders>
            <w:shd w:val="clear" w:color="auto" w:fill="auto"/>
            <w:noWrap/>
            <w:vAlign w:val="bottom"/>
            <w:hideMark/>
          </w:tcPr>
          <w:p w14:paraId="0E27ED04" w14:textId="77777777" w:rsidR="00E30D79" w:rsidRPr="00BB44A4" w:rsidRDefault="00E30D79" w:rsidP="00C26C4B">
            <w:pPr>
              <w:rPr>
                <w:rFonts w:ascii="Calibri" w:hAnsi="Calibri" w:cs="Calibri"/>
                <w:color w:val="000000"/>
                <w:sz w:val="16"/>
                <w:szCs w:val="16"/>
              </w:rPr>
            </w:pPr>
            <w:r w:rsidRPr="00BB44A4">
              <w:rPr>
                <w:rFonts w:ascii="Calibri" w:hAnsi="Calibri" w:cs="Calibri"/>
                <w:color w:val="000000"/>
                <w:sz w:val="16"/>
                <w:szCs w:val="16"/>
              </w:rPr>
              <w:t>71.3 (27.63)</w:t>
            </w:r>
          </w:p>
        </w:tc>
      </w:tr>
      <w:tr w:rsidR="00E30D79" w:rsidRPr="001662D0" w14:paraId="2D41F35D" w14:textId="77777777" w:rsidTr="00C26C4B">
        <w:trPr>
          <w:trHeight w:val="200"/>
        </w:trPr>
        <w:tc>
          <w:tcPr>
            <w:tcW w:w="2830" w:type="dxa"/>
            <w:gridSpan w:val="2"/>
            <w:tcBorders>
              <w:top w:val="nil"/>
              <w:left w:val="single" w:sz="4" w:space="0" w:color="auto"/>
              <w:bottom w:val="nil"/>
              <w:right w:val="nil"/>
            </w:tcBorders>
            <w:shd w:val="clear" w:color="000000" w:fill="FFFFFF"/>
            <w:noWrap/>
            <w:vAlign w:val="bottom"/>
            <w:hideMark/>
          </w:tcPr>
          <w:p w14:paraId="52854E4C" w14:textId="77777777" w:rsidR="00E30D79" w:rsidRPr="00C515A5" w:rsidRDefault="00E30D79" w:rsidP="00C26C4B">
            <w:pPr>
              <w:rPr>
                <w:rFonts w:ascii="Calibri" w:eastAsia="Times New Roman" w:hAnsi="Calibri"/>
                <w:color w:val="000000"/>
                <w:sz w:val="16"/>
                <w:szCs w:val="16"/>
                <w:lang w:val="en-US"/>
              </w:rPr>
            </w:pPr>
            <w:r w:rsidRPr="00C515A5">
              <w:rPr>
                <w:rFonts w:ascii="Calibri" w:eastAsia="Times New Roman" w:hAnsi="Calibri"/>
                <w:color w:val="000000"/>
                <w:sz w:val="16"/>
                <w:szCs w:val="16"/>
                <w:lang w:val="en-US"/>
              </w:rPr>
              <w:t>A0=</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 0%;A1=</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 1-49%; A2=</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/ARB-50-99%; A3=</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/ARB≥100%</w:t>
            </w:r>
          </w:p>
        </w:tc>
        <w:tc>
          <w:tcPr>
            <w:tcW w:w="992" w:type="dxa"/>
            <w:tcBorders>
              <w:top w:val="nil"/>
              <w:left w:val="nil"/>
              <w:bottom w:val="nil"/>
              <w:right w:val="nil"/>
            </w:tcBorders>
          </w:tcPr>
          <w:p w14:paraId="5F1991B9" w14:textId="77777777" w:rsidR="00E30D79" w:rsidRPr="00C515A5" w:rsidRDefault="00E30D79" w:rsidP="00C26C4B">
            <w:pPr>
              <w:rPr>
                <w:rFonts w:ascii="Calibri" w:eastAsia="Times New Roman"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72F8576C" w14:textId="77777777" w:rsidR="00E30D79" w:rsidRPr="00C515A5" w:rsidRDefault="00E30D79" w:rsidP="00C26C4B">
            <w:pPr>
              <w:rPr>
                <w:rFonts w:ascii="Calibri" w:eastAsia="Times New Roman" w:hAnsi="Calibri"/>
                <w:color w:val="000000"/>
                <w:sz w:val="16"/>
                <w:szCs w:val="16"/>
                <w:lang w:val="en-US"/>
              </w:rPr>
            </w:pPr>
          </w:p>
        </w:tc>
        <w:tc>
          <w:tcPr>
            <w:tcW w:w="1038" w:type="dxa"/>
            <w:gridSpan w:val="2"/>
            <w:tcBorders>
              <w:top w:val="nil"/>
              <w:left w:val="nil"/>
              <w:bottom w:val="nil"/>
              <w:right w:val="nil"/>
            </w:tcBorders>
            <w:shd w:val="clear" w:color="auto" w:fill="auto"/>
            <w:noWrap/>
            <w:vAlign w:val="bottom"/>
            <w:hideMark/>
          </w:tcPr>
          <w:p w14:paraId="3C3EB5AF" w14:textId="77777777" w:rsidR="00E30D79" w:rsidRPr="00C515A5" w:rsidRDefault="00E30D79" w:rsidP="00C26C4B">
            <w:pPr>
              <w:rPr>
                <w:rFonts w:eastAsia="Times New Roman"/>
                <w:sz w:val="20"/>
                <w:szCs w:val="20"/>
                <w:lang w:val="en-US"/>
              </w:rPr>
            </w:pPr>
          </w:p>
        </w:tc>
        <w:tc>
          <w:tcPr>
            <w:tcW w:w="952" w:type="dxa"/>
            <w:tcBorders>
              <w:top w:val="nil"/>
              <w:left w:val="nil"/>
              <w:bottom w:val="nil"/>
              <w:right w:val="nil"/>
            </w:tcBorders>
            <w:shd w:val="clear" w:color="auto" w:fill="auto"/>
            <w:noWrap/>
            <w:vAlign w:val="bottom"/>
            <w:hideMark/>
          </w:tcPr>
          <w:p w14:paraId="4CCCC055"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65FB5AD6"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tcPr>
          <w:p w14:paraId="76D8BB66"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739A3B54" w14:textId="77777777" w:rsidR="00E30D79" w:rsidRPr="00C515A5" w:rsidRDefault="00E30D79" w:rsidP="00C26C4B">
            <w:pPr>
              <w:rPr>
                <w:rFonts w:eastAsia="Times New Roman"/>
                <w:sz w:val="20"/>
                <w:szCs w:val="20"/>
                <w:lang w:val="en-US"/>
              </w:rPr>
            </w:pPr>
          </w:p>
        </w:tc>
        <w:tc>
          <w:tcPr>
            <w:tcW w:w="993" w:type="dxa"/>
            <w:tcBorders>
              <w:top w:val="nil"/>
              <w:left w:val="nil"/>
              <w:bottom w:val="nil"/>
              <w:right w:val="nil"/>
            </w:tcBorders>
            <w:shd w:val="clear" w:color="auto" w:fill="auto"/>
            <w:noWrap/>
            <w:vAlign w:val="bottom"/>
            <w:hideMark/>
          </w:tcPr>
          <w:p w14:paraId="7EE2E858"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61F86849" w14:textId="77777777" w:rsidR="00E30D79" w:rsidRPr="00C515A5" w:rsidRDefault="00E30D79" w:rsidP="00C26C4B">
            <w:pPr>
              <w:rPr>
                <w:rFonts w:eastAsia="Times New Roman"/>
                <w:sz w:val="20"/>
                <w:szCs w:val="20"/>
                <w:lang w:val="en-US"/>
              </w:rPr>
            </w:pPr>
          </w:p>
        </w:tc>
        <w:tc>
          <w:tcPr>
            <w:tcW w:w="666" w:type="dxa"/>
            <w:tcBorders>
              <w:top w:val="nil"/>
              <w:left w:val="nil"/>
              <w:bottom w:val="nil"/>
              <w:right w:val="nil"/>
            </w:tcBorders>
            <w:shd w:val="clear" w:color="auto" w:fill="auto"/>
            <w:noWrap/>
            <w:vAlign w:val="bottom"/>
            <w:hideMark/>
          </w:tcPr>
          <w:p w14:paraId="11C59D27" w14:textId="77777777" w:rsidR="00E30D79" w:rsidRPr="00C515A5" w:rsidRDefault="00E30D79" w:rsidP="00C26C4B">
            <w:pPr>
              <w:rPr>
                <w:rFonts w:eastAsia="Times New Roman"/>
                <w:sz w:val="20"/>
                <w:szCs w:val="20"/>
                <w:lang w:val="en-US"/>
              </w:rPr>
            </w:pPr>
          </w:p>
        </w:tc>
        <w:tc>
          <w:tcPr>
            <w:tcW w:w="1268" w:type="dxa"/>
            <w:tcBorders>
              <w:top w:val="nil"/>
              <w:left w:val="nil"/>
              <w:bottom w:val="nil"/>
              <w:right w:val="nil"/>
            </w:tcBorders>
            <w:shd w:val="clear" w:color="auto" w:fill="auto"/>
            <w:noWrap/>
            <w:vAlign w:val="bottom"/>
            <w:hideMark/>
          </w:tcPr>
          <w:p w14:paraId="652A9278" w14:textId="77777777" w:rsidR="00E30D79" w:rsidRPr="00C515A5" w:rsidRDefault="00E30D79" w:rsidP="00C26C4B">
            <w:pPr>
              <w:rPr>
                <w:rFonts w:eastAsia="Times New Roman"/>
                <w:sz w:val="20"/>
                <w:szCs w:val="20"/>
                <w:lang w:val="en-US"/>
              </w:rPr>
            </w:pPr>
          </w:p>
        </w:tc>
      </w:tr>
      <w:tr w:rsidR="00E30D79" w:rsidRPr="001662D0" w14:paraId="743C63A8" w14:textId="77777777" w:rsidTr="00C26C4B">
        <w:trPr>
          <w:trHeight w:val="200"/>
        </w:trPr>
        <w:tc>
          <w:tcPr>
            <w:tcW w:w="992" w:type="dxa"/>
            <w:tcBorders>
              <w:top w:val="nil"/>
              <w:left w:val="nil"/>
              <w:bottom w:val="nil"/>
              <w:right w:val="nil"/>
            </w:tcBorders>
          </w:tcPr>
          <w:p w14:paraId="56221498" w14:textId="77777777" w:rsidR="00E30D79" w:rsidRPr="00C515A5" w:rsidRDefault="00E30D79" w:rsidP="00C26C4B">
            <w:pPr>
              <w:rPr>
                <w:rFonts w:ascii="Calibri" w:eastAsia="Times New Roman" w:hAnsi="Calibri"/>
                <w:color w:val="000000"/>
                <w:sz w:val="16"/>
                <w:szCs w:val="16"/>
                <w:lang w:val="en-US"/>
              </w:rPr>
            </w:pPr>
          </w:p>
        </w:tc>
        <w:tc>
          <w:tcPr>
            <w:tcW w:w="4848" w:type="dxa"/>
            <w:gridSpan w:val="4"/>
            <w:tcBorders>
              <w:top w:val="nil"/>
              <w:left w:val="nil"/>
              <w:bottom w:val="nil"/>
              <w:right w:val="nil"/>
            </w:tcBorders>
            <w:shd w:val="clear" w:color="auto" w:fill="auto"/>
            <w:noWrap/>
            <w:vAlign w:val="bottom"/>
            <w:hideMark/>
          </w:tcPr>
          <w:p w14:paraId="747CF4F1" w14:textId="77777777" w:rsidR="00E30D79" w:rsidRPr="00C515A5" w:rsidRDefault="00E30D79" w:rsidP="00C26C4B">
            <w:pPr>
              <w:rPr>
                <w:rFonts w:ascii="Calibri" w:eastAsia="Times New Roman" w:hAnsi="Calibri"/>
                <w:color w:val="000000"/>
                <w:sz w:val="16"/>
                <w:szCs w:val="16"/>
                <w:lang w:val="en-US"/>
              </w:rPr>
            </w:pPr>
            <w:r w:rsidRPr="00C515A5">
              <w:rPr>
                <w:rFonts w:ascii="Calibri" w:eastAsia="Times New Roman" w:hAnsi="Calibri"/>
                <w:color w:val="000000"/>
                <w:sz w:val="16"/>
                <w:szCs w:val="16"/>
                <w:lang w:val="en-US"/>
              </w:rPr>
              <w:t>B0=BB 0%; B1=BB 1-49%; B2=BB-50-99%; B3=BB≥100%</w:t>
            </w:r>
          </w:p>
        </w:tc>
        <w:tc>
          <w:tcPr>
            <w:tcW w:w="964" w:type="dxa"/>
            <w:gridSpan w:val="2"/>
            <w:tcBorders>
              <w:top w:val="nil"/>
              <w:left w:val="nil"/>
              <w:bottom w:val="nil"/>
              <w:right w:val="nil"/>
            </w:tcBorders>
            <w:shd w:val="clear" w:color="auto" w:fill="auto"/>
            <w:noWrap/>
            <w:vAlign w:val="bottom"/>
            <w:hideMark/>
          </w:tcPr>
          <w:p w14:paraId="78CDA6B3" w14:textId="77777777" w:rsidR="00E30D79" w:rsidRPr="00C515A5" w:rsidRDefault="00E30D79" w:rsidP="00C26C4B">
            <w:pPr>
              <w:rPr>
                <w:rFonts w:ascii="Calibri" w:eastAsia="Times New Roman"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048129A0"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tcPr>
          <w:p w14:paraId="6A2697B2"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659666D2" w14:textId="77777777" w:rsidR="00E30D79" w:rsidRPr="00C515A5" w:rsidRDefault="00E30D79" w:rsidP="00C26C4B">
            <w:pPr>
              <w:rPr>
                <w:rFonts w:eastAsia="Times New Roman"/>
                <w:sz w:val="20"/>
                <w:szCs w:val="20"/>
                <w:lang w:val="en-US"/>
              </w:rPr>
            </w:pPr>
          </w:p>
        </w:tc>
        <w:tc>
          <w:tcPr>
            <w:tcW w:w="993" w:type="dxa"/>
            <w:tcBorders>
              <w:top w:val="nil"/>
              <w:left w:val="nil"/>
              <w:bottom w:val="nil"/>
              <w:right w:val="nil"/>
            </w:tcBorders>
            <w:shd w:val="clear" w:color="auto" w:fill="auto"/>
            <w:noWrap/>
            <w:vAlign w:val="bottom"/>
            <w:hideMark/>
          </w:tcPr>
          <w:p w14:paraId="55F37A5A"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78A9B665" w14:textId="77777777" w:rsidR="00E30D79" w:rsidRPr="00C515A5" w:rsidRDefault="00E30D79" w:rsidP="00C26C4B">
            <w:pPr>
              <w:rPr>
                <w:rFonts w:eastAsia="Times New Roman"/>
                <w:sz w:val="20"/>
                <w:szCs w:val="20"/>
                <w:lang w:val="en-US"/>
              </w:rPr>
            </w:pPr>
          </w:p>
        </w:tc>
        <w:tc>
          <w:tcPr>
            <w:tcW w:w="666" w:type="dxa"/>
            <w:tcBorders>
              <w:top w:val="nil"/>
              <w:left w:val="nil"/>
              <w:bottom w:val="nil"/>
              <w:right w:val="nil"/>
            </w:tcBorders>
            <w:shd w:val="clear" w:color="auto" w:fill="auto"/>
            <w:noWrap/>
            <w:vAlign w:val="bottom"/>
            <w:hideMark/>
          </w:tcPr>
          <w:p w14:paraId="21C72985" w14:textId="77777777" w:rsidR="00E30D79" w:rsidRPr="00C515A5" w:rsidRDefault="00E30D79" w:rsidP="00C26C4B">
            <w:pPr>
              <w:rPr>
                <w:rFonts w:eastAsia="Times New Roman"/>
                <w:sz w:val="20"/>
                <w:szCs w:val="20"/>
                <w:lang w:val="en-US"/>
              </w:rPr>
            </w:pPr>
          </w:p>
        </w:tc>
        <w:tc>
          <w:tcPr>
            <w:tcW w:w="1268" w:type="dxa"/>
            <w:tcBorders>
              <w:top w:val="nil"/>
              <w:left w:val="nil"/>
              <w:bottom w:val="nil"/>
              <w:right w:val="nil"/>
            </w:tcBorders>
            <w:shd w:val="clear" w:color="auto" w:fill="auto"/>
            <w:noWrap/>
            <w:vAlign w:val="bottom"/>
            <w:hideMark/>
          </w:tcPr>
          <w:p w14:paraId="70908B49" w14:textId="77777777" w:rsidR="00E30D79" w:rsidRPr="00C515A5" w:rsidRDefault="00E30D79" w:rsidP="00C26C4B">
            <w:pPr>
              <w:rPr>
                <w:rFonts w:eastAsia="Times New Roman"/>
                <w:sz w:val="20"/>
                <w:szCs w:val="20"/>
                <w:lang w:val="en-US"/>
              </w:rPr>
            </w:pPr>
          </w:p>
        </w:tc>
      </w:tr>
      <w:tr w:rsidR="00E30D79" w:rsidRPr="001662D0" w14:paraId="71123E7E" w14:textId="77777777" w:rsidTr="00C26C4B">
        <w:trPr>
          <w:trHeight w:val="200"/>
        </w:trPr>
        <w:tc>
          <w:tcPr>
            <w:tcW w:w="992" w:type="dxa"/>
            <w:tcBorders>
              <w:top w:val="nil"/>
              <w:left w:val="nil"/>
              <w:bottom w:val="nil"/>
              <w:right w:val="nil"/>
            </w:tcBorders>
          </w:tcPr>
          <w:p w14:paraId="4BC812DA" w14:textId="77777777" w:rsidR="00E30D79" w:rsidRPr="00C515A5" w:rsidRDefault="00E30D79" w:rsidP="00C26C4B">
            <w:pPr>
              <w:rPr>
                <w:rFonts w:ascii="Calibri" w:eastAsia="Times New Roman" w:hAnsi="Calibri"/>
                <w:color w:val="000000"/>
                <w:sz w:val="16"/>
                <w:szCs w:val="16"/>
                <w:lang w:val="en-US"/>
              </w:rPr>
            </w:pPr>
          </w:p>
        </w:tc>
        <w:tc>
          <w:tcPr>
            <w:tcW w:w="4848" w:type="dxa"/>
            <w:gridSpan w:val="4"/>
            <w:tcBorders>
              <w:top w:val="nil"/>
              <w:left w:val="nil"/>
              <w:bottom w:val="nil"/>
              <w:right w:val="nil"/>
            </w:tcBorders>
            <w:shd w:val="clear" w:color="auto" w:fill="auto"/>
            <w:noWrap/>
            <w:vAlign w:val="bottom"/>
            <w:hideMark/>
          </w:tcPr>
          <w:p w14:paraId="5588018C" w14:textId="77777777" w:rsidR="00E30D79" w:rsidRPr="00C515A5" w:rsidRDefault="00E30D79" w:rsidP="00C26C4B">
            <w:pPr>
              <w:rPr>
                <w:rFonts w:ascii="Calibri" w:eastAsia="Times New Roman" w:hAnsi="Calibri"/>
                <w:color w:val="000000"/>
                <w:sz w:val="16"/>
                <w:szCs w:val="16"/>
                <w:lang w:val="en-US"/>
              </w:rPr>
            </w:pPr>
            <w:r w:rsidRPr="00C515A5">
              <w:rPr>
                <w:rFonts w:ascii="Calibri" w:eastAsia="Times New Roman" w:hAnsi="Calibri"/>
                <w:color w:val="000000"/>
                <w:sz w:val="16"/>
                <w:szCs w:val="16"/>
                <w:lang w:val="en-US"/>
              </w:rPr>
              <w:t>p=statistical differences between the subgroups</w:t>
            </w:r>
          </w:p>
        </w:tc>
        <w:tc>
          <w:tcPr>
            <w:tcW w:w="964" w:type="dxa"/>
            <w:gridSpan w:val="2"/>
            <w:tcBorders>
              <w:top w:val="nil"/>
              <w:left w:val="nil"/>
              <w:bottom w:val="nil"/>
              <w:right w:val="nil"/>
            </w:tcBorders>
            <w:shd w:val="clear" w:color="auto" w:fill="auto"/>
            <w:noWrap/>
            <w:vAlign w:val="bottom"/>
            <w:hideMark/>
          </w:tcPr>
          <w:p w14:paraId="5DB03538" w14:textId="77777777" w:rsidR="00E30D79" w:rsidRPr="00C515A5" w:rsidRDefault="00E30D79" w:rsidP="00C26C4B">
            <w:pPr>
              <w:rPr>
                <w:rFonts w:ascii="Calibri" w:eastAsia="Times New Roman"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4BF68B9F"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tcPr>
          <w:p w14:paraId="4C572A47"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46FDC5A0" w14:textId="77777777" w:rsidR="00E30D79" w:rsidRPr="00C515A5" w:rsidRDefault="00E30D79" w:rsidP="00C26C4B">
            <w:pPr>
              <w:rPr>
                <w:rFonts w:eastAsia="Times New Roman"/>
                <w:sz w:val="20"/>
                <w:szCs w:val="20"/>
                <w:lang w:val="en-US"/>
              </w:rPr>
            </w:pPr>
          </w:p>
        </w:tc>
        <w:tc>
          <w:tcPr>
            <w:tcW w:w="993" w:type="dxa"/>
            <w:tcBorders>
              <w:top w:val="nil"/>
              <w:left w:val="nil"/>
              <w:bottom w:val="nil"/>
              <w:right w:val="nil"/>
            </w:tcBorders>
            <w:shd w:val="clear" w:color="auto" w:fill="auto"/>
            <w:noWrap/>
            <w:vAlign w:val="bottom"/>
            <w:hideMark/>
          </w:tcPr>
          <w:p w14:paraId="1093712E" w14:textId="77777777" w:rsidR="00E30D79" w:rsidRPr="00C515A5" w:rsidRDefault="00E30D79" w:rsidP="00C26C4B">
            <w:pPr>
              <w:rPr>
                <w:rFonts w:eastAsia="Times New Roman"/>
                <w:sz w:val="20"/>
                <w:szCs w:val="20"/>
                <w:lang w:val="en-US"/>
              </w:rPr>
            </w:pPr>
          </w:p>
        </w:tc>
        <w:tc>
          <w:tcPr>
            <w:tcW w:w="992" w:type="dxa"/>
            <w:tcBorders>
              <w:top w:val="nil"/>
              <w:left w:val="nil"/>
              <w:bottom w:val="nil"/>
              <w:right w:val="nil"/>
            </w:tcBorders>
            <w:shd w:val="clear" w:color="auto" w:fill="auto"/>
            <w:noWrap/>
            <w:vAlign w:val="bottom"/>
            <w:hideMark/>
          </w:tcPr>
          <w:p w14:paraId="0369B454" w14:textId="77777777" w:rsidR="00E30D79" w:rsidRPr="00C515A5" w:rsidRDefault="00E30D79" w:rsidP="00C26C4B">
            <w:pPr>
              <w:rPr>
                <w:rFonts w:eastAsia="Times New Roman"/>
                <w:sz w:val="20"/>
                <w:szCs w:val="20"/>
                <w:lang w:val="en-US"/>
              </w:rPr>
            </w:pPr>
          </w:p>
        </w:tc>
        <w:tc>
          <w:tcPr>
            <w:tcW w:w="666" w:type="dxa"/>
            <w:tcBorders>
              <w:top w:val="nil"/>
              <w:left w:val="nil"/>
              <w:bottom w:val="nil"/>
              <w:right w:val="nil"/>
            </w:tcBorders>
            <w:shd w:val="clear" w:color="auto" w:fill="auto"/>
            <w:noWrap/>
            <w:vAlign w:val="bottom"/>
            <w:hideMark/>
          </w:tcPr>
          <w:p w14:paraId="093799FD" w14:textId="77777777" w:rsidR="00E30D79" w:rsidRPr="00C515A5" w:rsidRDefault="00E30D79" w:rsidP="00C26C4B">
            <w:pPr>
              <w:rPr>
                <w:rFonts w:eastAsia="Times New Roman"/>
                <w:sz w:val="20"/>
                <w:szCs w:val="20"/>
                <w:lang w:val="en-US"/>
              </w:rPr>
            </w:pPr>
          </w:p>
        </w:tc>
        <w:tc>
          <w:tcPr>
            <w:tcW w:w="1268" w:type="dxa"/>
            <w:tcBorders>
              <w:top w:val="nil"/>
              <w:left w:val="nil"/>
              <w:bottom w:val="nil"/>
              <w:right w:val="nil"/>
            </w:tcBorders>
            <w:shd w:val="clear" w:color="auto" w:fill="auto"/>
            <w:noWrap/>
            <w:vAlign w:val="bottom"/>
            <w:hideMark/>
          </w:tcPr>
          <w:p w14:paraId="351B3D7A" w14:textId="77777777" w:rsidR="00E30D79" w:rsidRPr="00C515A5" w:rsidRDefault="00E30D79" w:rsidP="00C26C4B">
            <w:pPr>
              <w:rPr>
                <w:rFonts w:eastAsia="Times New Roman"/>
                <w:sz w:val="20"/>
                <w:szCs w:val="20"/>
                <w:lang w:val="en-US"/>
              </w:rPr>
            </w:pPr>
          </w:p>
        </w:tc>
      </w:tr>
    </w:tbl>
    <w:p w14:paraId="63F46B6C" w14:textId="77777777" w:rsidR="00E30D79" w:rsidRDefault="00E30D79" w:rsidP="00E30D79">
      <w:pPr>
        <w:rPr>
          <w:b/>
          <w:bCs/>
          <w:lang w:val="en-US"/>
        </w:rPr>
      </w:pPr>
    </w:p>
    <w:p w14:paraId="32C9ED9F" w14:textId="77777777" w:rsidR="00E30D79" w:rsidRDefault="00E30D79" w:rsidP="00E30D79">
      <w:pPr>
        <w:rPr>
          <w:b/>
          <w:bCs/>
          <w:lang w:val="en-US"/>
        </w:rPr>
        <w:sectPr w:rsidR="00E30D79" w:rsidSect="00C515A5">
          <w:pgSz w:w="16840" w:h="11900" w:orient="landscape"/>
          <w:pgMar w:top="1417" w:right="1417" w:bottom="1417" w:left="1417" w:header="708" w:footer="708" w:gutter="0"/>
          <w:cols w:space="708"/>
          <w:docGrid w:linePitch="360"/>
        </w:sectPr>
      </w:pPr>
    </w:p>
    <w:p w14:paraId="07ADA902" w14:textId="77777777" w:rsidR="00E30D79" w:rsidRDefault="00E30D79" w:rsidP="00E30D79">
      <w:pPr>
        <w:rPr>
          <w:rFonts w:ascii="Calibri" w:eastAsia="Times New Roman" w:hAnsi="Calibri"/>
          <w:b/>
          <w:bCs/>
          <w:color w:val="000000"/>
          <w:lang w:val="en-US"/>
        </w:rPr>
      </w:pPr>
      <w:r w:rsidRPr="00ED6D24">
        <w:rPr>
          <w:b/>
          <w:bCs/>
          <w:lang w:val="en-US"/>
        </w:rPr>
        <w:lastRenderedPageBreak/>
        <w:t xml:space="preserve">Table </w:t>
      </w:r>
      <w:r>
        <w:rPr>
          <w:b/>
          <w:bCs/>
          <w:lang w:val="en-US"/>
        </w:rPr>
        <w:t>2</w:t>
      </w:r>
      <w:r w:rsidRPr="00ED6D24">
        <w:rPr>
          <w:b/>
          <w:bCs/>
          <w:lang w:val="en-US"/>
        </w:rPr>
        <w:t>:</w:t>
      </w:r>
      <w:r>
        <w:rPr>
          <w:b/>
          <w:bCs/>
          <w:lang w:val="en-US"/>
        </w:rPr>
        <w:t xml:space="preserve"> </w:t>
      </w:r>
      <w:r w:rsidRPr="00DD3CC5">
        <w:rPr>
          <w:b/>
          <w:bCs/>
          <w:lang w:val="en-US"/>
        </w:rPr>
        <w:t xml:space="preserve">Hazard ratio </w:t>
      </w:r>
      <w:r>
        <w:rPr>
          <w:b/>
          <w:bCs/>
          <w:lang w:val="en-US"/>
        </w:rPr>
        <w:t>(</w:t>
      </w:r>
      <w:r w:rsidRPr="00DD3CC5">
        <w:rPr>
          <w:b/>
          <w:bCs/>
          <w:lang w:val="en-US"/>
        </w:rPr>
        <w:t>95% confidence interval</w:t>
      </w:r>
      <w:r>
        <w:rPr>
          <w:b/>
          <w:bCs/>
          <w:lang w:val="en-US"/>
        </w:rPr>
        <w:t>)</w:t>
      </w:r>
      <w:r w:rsidRPr="00DD3CC5">
        <w:rPr>
          <w:b/>
          <w:bCs/>
          <w:lang w:val="en-US"/>
        </w:rPr>
        <w:t xml:space="preserve"> </w:t>
      </w:r>
      <w:r>
        <w:rPr>
          <w:b/>
          <w:bCs/>
          <w:lang w:val="en-US"/>
        </w:rPr>
        <w:t xml:space="preserve">of </w:t>
      </w:r>
      <w:r w:rsidRPr="00DD3CC5">
        <w:rPr>
          <w:b/>
          <w:bCs/>
          <w:lang w:val="en-US"/>
        </w:rPr>
        <w:t xml:space="preserve">patients achieving specific target dose for </w:t>
      </w:r>
      <w:r w:rsidRPr="00DD3CC5">
        <w:rPr>
          <w:rFonts w:ascii="Calibri" w:eastAsia="Times New Roman" w:hAnsi="Calibri"/>
          <w:b/>
          <w:bCs/>
          <w:color w:val="000000"/>
          <w:lang w:val="en-US"/>
        </w:rPr>
        <w:t>Mortality or HF-hospitalization</w:t>
      </w:r>
      <w:r>
        <w:rPr>
          <w:rFonts w:ascii="Calibri" w:eastAsia="Times New Roman" w:hAnsi="Calibri"/>
          <w:b/>
          <w:bCs/>
          <w:color w:val="000000"/>
          <w:lang w:val="en-US"/>
        </w:rPr>
        <w:t xml:space="preserve">, </w:t>
      </w:r>
      <w:r w:rsidRPr="00DD3CC5">
        <w:rPr>
          <w:rFonts w:ascii="Calibri" w:eastAsia="Times New Roman" w:hAnsi="Calibri"/>
          <w:b/>
          <w:bCs/>
          <w:color w:val="000000"/>
          <w:lang w:val="en-US"/>
        </w:rPr>
        <w:t xml:space="preserve">Mortality </w:t>
      </w:r>
      <w:r>
        <w:rPr>
          <w:rFonts w:ascii="Calibri" w:eastAsia="Times New Roman" w:hAnsi="Calibri"/>
          <w:b/>
          <w:bCs/>
          <w:color w:val="000000"/>
          <w:lang w:val="en-US"/>
        </w:rPr>
        <w:t xml:space="preserve">and </w:t>
      </w:r>
      <w:r w:rsidRPr="00DD3CC5">
        <w:rPr>
          <w:rFonts w:ascii="Calibri" w:eastAsia="Times New Roman" w:hAnsi="Calibri"/>
          <w:b/>
          <w:bCs/>
          <w:color w:val="000000"/>
          <w:lang w:val="en-US"/>
        </w:rPr>
        <w:t>HF-hospitalization</w:t>
      </w:r>
    </w:p>
    <w:p w14:paraId="2C3966B4" w14:textId="77777777" w:rsidR="00E30D79" w:rsidRPr="00DD3CC5" w:rsidRDefault="00E30D79" w:rsidP="00E30D79">
      <w:pPr>
        <w:rPr>
          <w:b/>
          <w:bCs/>
          <w:lang w:val="en-US"/>
        </w:rPr>
      </w:pPr>
    </w:p>
    <w:tbl>
      <w:tblPr>
        <w:tblW w:w="9072" w:type="dxa"/>
        <w:tblInd w:w="-5" w:type="dxa"/>
        <w:tblLayout w:type="fixed"/>
        <w:tblCellMar>
          <w:left w:w="70" w:type="dxa"/>
          <w:right w:w="70" w:type="dxa"/>
        </w:tblCellMar>
        <w:tblLook w:val="04A0" w:firstRow="1" w:lastRow="0" w:firstColumn="1" w:lastColumn="0" w:noHBand="0" w:noVBand="1"/>
      </w:tblPr>
      <w:tblGrid>
        <w:gridCol w:w="1701"/>
        <w:gridCol w:w="1893"/>
        <w:gridCol w:w="1792"/>
        <w:gridCol w:w="1794"/>
        <w:gridCol w:w="1892"/>
      </w:tblGrid>
      <w:tr w:rsidR="00E30D79" w:rsidRPr="009B4AFB" w14:paraId="262F19AC" w14:textId="77777777" w:rsidTr="00C26C4B">
        <w:trPr>
          <w:trHeight w:val="240"/>
        </w:trPr>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3125CAFA" w14:textId="77777777" w:rsidR="00E30D79" w:rsidRPr="00614867" w:rsidRDefault="00E30D79" w:rsidP="00C26C4B">
            <w:pPr>
              <w:rPr>
                <w:rFonts w:ascii="Calibri" w:eastAsia="Times New Roman" w:hAnsi="Calibri"/>
                <w:b/>
                <w:bCs/>
                <w:color w:val="000000"/>
                <w:sz w:val="16"/>
                <w:szCs w:val="16"/>
                <w:lang w:val="en-US"/>
              </w:rPr>
            </w:pPr>
            <w:r w:rsidRPr="00614867">
              <w:rPr>
                <w:rFonts w:ascii="Calibri" w:eastAsia="Times New Roman" w:hAnsi="Calibri"/>
                <w:b/>
                <w:bCs/>
                <w:color w:val="000000"/>
                <w:sz w:val="16"/>
                <w:szCs w:val="16"/>
                <w:lang w:val="en-US"/>
              </w:rPr>
              <w:t> </w:t>
            </w:r>
          </w:p>
        </w:tc>
        <w:tc>
          <w:tcPr>
            <w:tcW w:w="7371" w:type="dxa"/>
            <w:gridSpan w:val="4"/>
            <w:tcBorders>
              <w:top w:val="single" w:sz="4" w:space="0" w:color="auto"/>
              <w:left w:val="nil"/>
              <w:bottom w:val="nil"/>
              <w:right w:val="single" w:sz="4" w:space="0" w:color="000000"/>
            </w:tcBorders>
            <w:shd w:val="clear" w:color="auto" w:fill="auto"/>
            <w:noWrap/>
            <w:vAlign w:val="bottom"/>
            <w:hideMark/>
          </w:tcPr>
          <w:p w14:paraId="11E8AC85" w14:textId="77777777" w:rsidR="00E30D79" w:rsidRPr="009B4AFB" w:rsidRDefault="00E30D79" w:rsidP="00C26C4B">
            <w:pPr>
              <w:jc w:val="center"/>
              <w:rPr>
                <w:rFonts w:ascii="Calibri" w:eastAsia="Times New Roman" w:hAnsi="Calibri"/>
                <w:b/>
                <w:bCs/>
                <w:color w:val="000000"/>
                <w:sz w:val="16"/>
                <w:szCs w:val="16"/>
                <w:lang w:val="en-US"/>
              </w:rPr>
            </w:pPr>
            <w:r w:rsidRPr="00065563">
              <w:rPr>
                <w:rFonts w:ascii="Calibri" w:eastAsia="Times New Roman" w:hAnsi="Calibri"/>
                <w:b/>
                <w:bCs/>
                <w:color w:val="000000"/>
                <w:sz w:val="16"/>
                <w:szCs w:val="16"/>
                <w:lang w:val="en-US"/>
              </w:rPr>
              <w:t>Mortality or HF-hospitalization</w:t>
            </w:r>
          </w:p>
        </w:tc>
      </w:tr>
      <w:tr w:rsidR="00E30D79" w:rsidRPr="00065563" w14:paraId="023C390F"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hideMark/>
          </w:tcPr>
          <w:p w14:paraId="77F8AD87" w14:textId="77777777" w:rsidR="00E30D79" w:rsidRPr="00C414BA" w:rsidRDefault="00E30D79" w:rsidP="00C26C4B">
            <w:pPr>
              <w:rPr>
                <w:rFonts w:ascii="Calibri" w:eastAsia="Times New Roman" w:hAnsi="Calibri"/>
                <w:b/>
                <w:bCs/>
                <w:color w:val="000000"/>
                <w:sz w:val="16"/>
                <w:szCs w:val="16"/>
                <w:lang w:val="en-US"/>
              </w:rPr>
            </w:pPr>
            <w:r w:rsidRPr="00C414BA">
              <w:rPr>
                <w:rFonts w:ascii="Calibri" w:eastAsia="Times New Roman" w:hAnsi="Calibri"/>
                <w:b/>
                <w:bCs/>
                <w:color w:val="000000"/>
                <w:sz w:val="16"/>
                <w:szCs w:val="16"/>
                <w:lang w:val="en-US"/>
              </w:rPr>
              <w:t> </w:t>
            </w:r>
          </w:p>
        </w:tc>
        <w:tc>
          <w:tcPr>
            <w:tcW w:w="1893" w:type="dxa"/>
            <w:tcBorders>
              <w:top w:val="nil"/>
              <w:left w:val="nil"/>
              <w:bottom w:val="nil"/>
              <w:right w:val="nil"/>
            </w:tcBorders>
            <w:shd w:val="clear" w:color="auto" w:fill="auto"/>
            <w:noWrap/>
            <w:vAlign w:val="bottom"/>
            <w:hideMark/>
          </w:tcPr>
          <w:p w14:paraId="1A261047"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0% BB</w:t>
            </w:r>
          </w:p>
        </w:tc>
        <w:tc>
          <w:tcPr>
            <w:tcW w:w="1792" w:type="dxa"/>
            <w:tcBorders>
              <w:top w:val="nil"/>
              <w:left w:val="nil"/>
              <w:bottom w:val="nil"/>
              <w:right w:val="nil"/>
            </w:tcBorders>
            <w:shd w:val="clear" w:color="auto" w:fill="auto"/>
            <w:noWrap/>
            <w:vAlign w:val="bottom"/>
            <w:hideMark/>
          </w:tcPr>
          <w:p w14:paraId="414B2D90"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1-49% BB</w:t>
            </w:r>
          </w:p>
        </w:tc>
        <w:tc>
          <w:tcPr>
            <w:tcW w:w="1794" w:type="dxa"/>
            <w:tcBorders>
              <w:top w:val="nil"/>
              <w:left w:val="nil"/>
              <w:bottom w:val="nil"/>
              <w:right w:val="nil"/>
            </w:tcBorders>
            <w:shd w:val="clear" w:color="auto" w:fill="auto"/>
            <w:noWrap/>
            <w:vAlign w:val="bottom"/>
            <w:hideMark/>
          </w:tcPr>
          <w:p w14:paraId="7C1FC8DF"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50-99% BB</w:t>
            </w:r>
          </w:p>
        </w:tc>
        <w:tc>
          <w:tcPr>
            <w:tcW w:w="1892" w:type="dxa"/>
            <w:tcBorders>
              <w:top w:val="nil"/>
              <w:left w:val="nil"/>
              <w:bottom w:val="nil"/>
              <w:right w:val="single" w:sz="4" w:space="0" w:color="auto"/>
            </w:tcBorders>
            <w:shd w:val="clear" w:color="auto" w:fill="auto"/>
            <w:noWrap/>
            <w:vAlign w:val="bottom"/>
            <w:hideMark/>
          </w:tcPr>
          <w:p w14:paraId="6A6A11DD"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100% BB</w:t>
            </w:r>
          </w:p>
        </w:tc>
      </w:tr>
      <w:tr w:rsidR="00E30D79" w:rsidRPr="00065563" w14:paraId="63907FB4" w14:textId="77777777" w:rsidTr="00C26C4B">
        <w:trPr>
          <w:trHeight w:val="240"/>
        </w:trPr>
        <w:tc>
          <w:tcPr>
            <w:tcW w:w="1701" w:type="dxa"/>
            <w:tcBorders>
              <w:top w:val="nil"/>
              <w:left w:val="single" w:sz="4" w:space="0" w:color="auto"/>
              <w:bottom w:val="nil"/>
              <w:right w:val="single" w:sz="4" w:space="0" w:color="auto"/>
            </w:tcBorders>
            <w:shd w:val="clear" w:color="000000" w:fill="D9D9D9"/>
            <w:noWrap/>
            <w:vAlign w:val="bottom"/>
            <w:hideMark/>
          </w:tcPr>
          <w:p w14:paraId="5B65ABE5"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0%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nil"/>
              <w:right w:val="nil"/>
            </w:tcBorders>
            <w:shd w:val="clear" w:color="000000" w:fill="D9D9D9"/>
            <w:noWrap/>
            <w:vAlign w:val="bottom"/>
            <w:hideMark/>
          </w:tcPr>
          <w:p w14:paraId="668059EA" w14:textId="77777777" w:rsidR="00E30D79" w:rsidRPr="00065563" w:rsidRDefault="00E30D79" w:rsidP="00C26C4B">
            <w:pPr>
              <w:rPr>
                <w:rFonts w:ascii="Calibri" w:hAnsi="Calibri" w:cs="Calibri"/>
                <w:color w:val="000000"/>
                <w:sz w:val="16"/>
                <w:szCs w:val="16"/>
              </w:rPr>
            </w:pPr>
            <w:r>
              <w:rPr>
                <w:rFonts w:ascii="Calibri" w:hAnsi="Calibri" w:cs="Calibri"/>
                <w:color w:val="000000"/>
                <w:sz w:val="16"/>
                <w:szCs w:val="16"/>
              </w:rPr>
              <w:t>1.00 (</w:t>
            </w:r>
            <w:proofErr w:type="spellStart"/>
            <w:r>
              <w:rPr>
                <w:rFonts w:ascii="Calibri" w:hAnsi="Calibri" w:cs="Calibri"/>
                <w:color w:val="000000"/>
                <w:sz w:val="16"/>
                <w:szCs w:val="16"/>
              </w:rPr>
              <w:t>reference</w:t>
            </w:r>
            <w:proofErr w:type="spellEnd"/>
            <w:r>
              <w:rPr>
                <w:rFonts w:ascii="Calibri" w:hAnsi="Calibri" w:cs="Calibri"/>
                <w:color w:val="000000"/>
                <w:sz w:val="16"/>
                <w:szCs w:val="16"/>
              </w:rPr>
              <w:t>)</w:t>
            </w:r>
          </w:p>
        </w:tc>
        <w:tc>
          <w:tcPr>
            <w:tcW w:w="1792" w:type="dxa"/>
            <w:tcBorders>
              <w:top w:val="nil"/>
              <w:left w:val="nil"/>
              <w:bottom w:val="nil"/>
              <w:right w:val="nil"/>
            </w:tcBorders>
            <w:shd w:val="clear" w:color="000000" w:fill="D9D9D9"/>
            <w:noWrap/>
            <w:vAlign w:val="bottom"/>
            <w:hideMark/>
          </w:tcPr>
          <w:p w14:paraId="65066229"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0.98 (0.83-1.17</w:t>
            </w:r>
            <w:r>
              <w:rPr>
                <w:rFonts w:ascii="Calibri" w:hAnsi="Calibri" w:cs="Calibri"/>
                <w:color w:val="000000"/>
                <w:sz w:val="16"/>
                <w:szCs w:val="16"/>
              </w:rPr>
              <w:t>; 0.85</w:t>
            </w:r>
            <w:r w:rsidRPr="00065563">
              <w:rPr>
                <w:rFonts w:ascii="Calibri" w:hAnsi="Calibri" w:cs="Calibri"/>
                <w:color w:val="000000"/>
                <w:sz w:val="16"/>
                <w:szCs w:val="16"/>
              </w:rPr>
              <w:t>)</w:t>
            </w:r>
          </w:p>
        </w:tc>
        <w:tc>
          <w:tcPr>
            <w:tcW w:w="1794" w:type="dxa"/>
            <w:tcBorders>
              <w:top w:val="nil"/>
              <w:left w:val="nil"/>
              <w:bottom w:val="nil"/>
              <w:right w:val="nil"/>
            </w:tcBorders>
            <w:shd w:val="clear" w:color="000000" w:fill="D9D9D9"/>
            <w:noWrap/>
            <w:vAlign w:val="bottom"/>
            <w:hideMark/>
          </w:tcPr>
          <w:p w14:paraId="40F0BE46"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0.9</w:t>
            </w:r>
            <w:r>
              <w:rPr>
                <w:rFonts w:ascii="Calibri" w:hAnsi="Calibri" w:cs="Calibri"/>
                <w:color w:val="000000"/>
                <w:sz w:val="16"/>
                <w:szCs w:val="16"/>
              </w:rPr>
              <w:t>0</w:t>
            </w:r>
            <w:r w:rsidRPr="00065563">
              <w:rPr>
                <w:rFonts w:ascii="Calibri" w:hAnsi="Calibri" w:cs="Calibri"/>
                <w:color w:val="000000"/>
                <w:sz w:val="16"/>
                <w:szCs w:val="16"/>
              </w:rPr>
              <w:t xml:space="preserve"> (0.71-1.15</w:t>
            </w:r>
            <w:r>
              <w:rPr>
                <w:rFonts w:ascii="Calibri" w:hAnsi="Calibri" w:cs="Calibri"/>
                <w:color w:val="000000"/>
                <w:sz w:val="16"/>
                <w:szCs w:val="16"/>
              </w:rPr>
              <w:t>; 0.41</w:t>
            </w:r>
            <w:r w:rsidRPr="00065563">
              <w:rPr>
                <w:rFonts w:ascii="Calibri" w:hAnsi="Calibri" w:cs="Calibri"/>
                <w:color w:val="000000"/>
                <w:sz w:val="16"/>
                <w:szCs w:val="16"/>
              </w:rPr>
              <w:t>)</w:t>
            </w:r>
          </w:p>
        </w:tc>
        <w:tc>
          <w:tcPr>
            <w:tcW w:w="1892" w:type="dxa"/>
            <w:tcBorders>
              <w:top w:val="nil"/>
              <w:left w:val="nil"/>
              <w:bottom w:val="nil"/>
              <w:right w:val="single" w:sz="4" w:space="0" w:color="auto"/>
            </w:tcBorders>
            <w:shd w:val="clear" w:color="000000" w:fill="D9D9D9"/>
            <w:noWrap/>
            <w:vAlign w:val="bottom"/>
            <w:hideMark/>
          </w:tcPr>
          <w:p w14:paraId="6EC0552D"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0.68 (0.49-0.93</w:t>
            </w:r>
            <w:r>
              <w:rPr>
                <w:rFonts w:ascii="Calibri" w:hAnsi="Calibri" w:cs="Calibri"/>
                <w:color w:val="000000"/>
                <w:sz w:val="16"/>
                <w:szCs w:val="16"/>
              </w:rPr>
              <w:t xml:space="preserve">; </w:t>
            </w:r>
            <w:r w:rsidRPr="00147769">
              <w:rPr>
                <w:rFonts w:ascii="Calibri" w:hAnsi="Calibri" w:cs="Calibri"/>
                <w:color w:val="000000"/>
                <w:sz w:val="16"/>
                <w:szCs w:val="16"/>
              </w:rPr>
              <w:t>0.0</w:t>
            </w:r>
            <w:r>
              <w:rPr>
                <w:rFonts w:ascii="Calibri" w:hAnsi="Calibri" w:cs="Calibri"/>
                <w:color w:val="000000"/>
                <w:sz w:val="16"/>
                <w:szCs w:val="16"/>
              </w:rPr>
              <w:t>2</w:t>
            </w:r>
            <w:r w:rsidRPr="00065563">
              <w:rPr>
                <w:rFonts w:ascii="Calibri" w:hAnsi="Calibri" w:cs="Calibri"/>
                <w:color w:val="000000"/>
                <w:sz w:val="16"/>
                <w:szCs w:val="16"/>
              </w:rPr>
              <w:t>)</w:t>
            </w:r>
          </w:p>
        </w:tc>
      </w:tr>
      <w:tr w:rsidR="00E30D79" w:rsidRPr="00065563" w14:paraId="63E77D65"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hideMark/>
          </w:tcPr>
          <w:p w14:paraId="39800D02"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1-49%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nil"/>
              <w:right w:val="nil"/>
            </w:tcBorders>
            <w:shd w:val="clear" w:color="auto" w:fill="auto"/>
            <w:noWrap/>
            <w:vAlign w:val="bottom"/>
            <w:hideMark/>
          </w:tcPr>
          <w:p w14:paraId="007FDFCB"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0.9</w:t>
            </w:r>
            <w:r>
              <w:rPr>
                <w:rFonts w:ascii="Calibri" w:hAnsi="Calibri" w:cs="Calibri"/>
                <w:color w:val="000000"/>
                <w:sz w:val="16"/>
                <w:szCs w:val="16"/>
              </w:rPr>
              <w:t>0</w:t>
            </w:r>
            <w:r w:rsidRPr="00065563">
              <w:rPr>
                <w:rFonts w:ascii="Calibri" w:hAnsi="Calibri" w:cs="Calibri"/>
                <w:color w:val="000000"/>
                <w:sz w:val="16"/>
                <w:szCs w:val="16"/>
              </w:rPr>
              <w:t xml:space="preserve"> (0.73-1.1</w:t>
            </w:r>
            <w:r>
              <w:rPr>
                <w:rFonts w:ascii="Calibri" w:hAnsi="Calibri" w:cs="Calibri"/>
                <w:color w:val="000000"/>
                <w:sz w:val="16"/>
                <w:szCs w:val="16"/>
              </w:rPr>
              <w:t xml:space="preserve">0; </w:t>
            </w:r>
            <w:r w:rsidRPr="00147769">
              <w:rPr>
                <w:rFonts w:ascii="Calibri" w:hAnsi="Calibri" w:cs="Calibri"/>
                <w:color w:val="000000"/>
                <w:sz w:val="16"/>
                <w:szCs w:val="16"/>
              </w:rPr>
              <w:t>0.30</w:t>
            </w:r>
            <w:r w:rsidRPr="00065563">
              <w:rPr>
                <w:rFonts w:ascii="Calibri" w:hAnsi="Calibri" w:cs="Calibri"/>
                <w:color w:val="000000"/>
                <w:sz w:val="16"/>
                <w:szCs w:val="16"/>
              </w:rPr>
              <w:t>)</w:t>
            </w:r>
          </w:p>
        </w:tc>
        <w:tc>
          <w:tcPr>
            <w:tcW w:w="1792" w:type="dxa"/>
            <w:tcBorders>
              <w:top w:val="nil"/>
              <w:left w:val="nil"/>
              <w:bottom w:val="nil"/>
              <w:right w:val="nil"/>
            </w:tcBorders>
            <w:shd w:val="clear" w:color="auto" w:fill="auto"/>
            <w:noWrap/>
            <w:vAlign w:val="bottom"/>
            <w:hideMark/>
          </w:tcPr>
          <w:p w14:paraId="44B92EF6"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0.71 (0.61-0.84</w:t>
            </w:r>
            <w:r>
              <w:rPr>
                <w:rFonts w:ascii="Calibri" w:hAnsi="Calibri" w:cs="Calibri"/>
                <w:color w:val="000000"/>
                <w:sz w:val="16"/>
                <w:szCs w:val="16"/>
              </w:rPr>
              <w:t>; &lt;0.001</w:t>
            </w:r>
            <w:r w:rsidRPr="00065563">
              <w:rPr>
                <w:rFonts w:ascii="Calibri" w:hAnsi="Calibri" w:cs="Calibri"/>
                <w:color w:val="000000"/>
                <w:sz w:val="16"/>
                <w:szCs w:val="16"/>
              </w:rPr>
              <w:t>)</w:t>
            </w:r>
          </w:p>
        </w:tc>
        <w:tc>
          <w:tcPr>
            <w:tcW w:w="1794" w:type="dxa"/>
            <w:tcBorders>
              <w:top w:val="nil"/>
              <w:left w:val="nil"/>
              <w:bottom w:val="nil"/>
              <w:right w:val="nil"/>
            </w:tcBorders>
            <w:shd w:val="clear" w:color="auto" w:fill="auto"/>
            <w:noWrap/>
            <w:vAlign w:val="bottom"/>
            <w:hideMark/>
          </w:tcPr>
          <w:p w14:paraId="0F4B6066"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0.61 (0.49-0.75</w:t>
            </w:r>
            <w:r>
              <w:rPr>
                <w:rFonts w:ascii="Calibri" w:hAnsi="Calibri" w:cs="Calibri"/>
                <w:color w:val="000000"/>
                <w:sz w:val="16"/>
                <w:szCs w:val="16"/>
              </w:rPr>
              <w:t>; &lt;0.001</w:t>
            </w:r>
          </w:p>
        </w:tc>
        <w:tc>
          <w:tcPr>
            <w:tcW w:w="1892" w:type="dxa"/>
            <w:tcBorders>
              <w:top w:val="nil"/>
              <w:left w:val="nil"/>
              <w:bottom w:val="nil"/>
              <w:right w:val="single" w:sz="4" w:space="0" w:color="auto"/>
            </w:tcBorders>
            <w:shd w:val="clear" w:color="auto" w:fill="auto"/>
            <w:noWrap/>
            <w:vAlign w:val="bottom"/>
            <w:hideMark/>
          </w:tcPr>
          <w:p w14:paraId="59BDDD81"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0.8</w:t>
            </w:r>
            <w:r>
              <w:rPr>
                <w:rFonts w:ascii="Calibri" w:hAnsi="Calibri" w:cs="Calibri"/>
                <w:color w:val="000000"/>
                <w:sz w:val="16"/>
                <w:szCs w:val="16"/>
              </w:rPr>
              <w:t>0</w:t>
            </w:r>
            <w:r w:rsidRPr="00065563">
              <w:rPr>
                <w:rFonts w:ascii="Calibri" w:hAnsi="Calibri" w:cs="Calibri"/>
                <w:color w:val="000000"/>
                <w:sz w:val="16"/>
                <w:szCs w:val="16"/>
              </w:rPr>
              <w:t xml:space="preserve"> (0.62-1.04</w:t>
            </w:r>
            <w:r>
              <w:rPr>
                <w:rFonts w:ascii="Calibri" w:hAnsi="Calibri" w:cs="Calibri"/>
                <w:color w:val="000000"/>
                <w:sz w:val="16"/>
                <w:szCs w:val="16"/>
              </w:rPr>
              <w:t xml:space="preserve">; </w:t>
            </w:r>
            <w:r w:rsidRPr="00147769">
              <w:rPr>
                <w:rFonts w:ascii="Calibri" w:hAnsi="Calibri" w:cs="Calibri"/>
                <w:color w:val="000000"/>
                <w:sz w:val="16"/>
                <w:szCs w:val="16"/>
              </w:rPr>
              <w:t>0.</w:t>
            </w:r>
            <w:r>
              <w:rPr>
                <w:rFonts w:ascii="Calibri" w:hAnsi="Calibri" w:cs="Calibri"/>
                <w:color w:val="000000"/>
                <w:sz w:val="16"/>
                <w:szCs w:val="16"/>
              </w:rPr>
              <w:t>10</w:t>
            </w:r>
            <w:r w:rsidRPr="00065563">
              <w:rPr>
                <w:rFonts w:ascii="Calibri" w:hAnsi="Calibri" w:cs="Calibri"/>
                <w:color w:val="000000"/>
                <w:sz w:val="16"/>
                <w:szCs w:val="16"/>
              </w:rPr>
              <w:t>)</w:t>
            </w:r>
          </w:p>
        </w:tc>
      </w:tr>
      <w:tr w:rsidR="00E30D79" w:rsidRPr="00065563" w14:paraId="295D04B7" w14:textId="77777777" w:rsidTr="00C26C4B">
        <w:trPr>
          <w:trHeight w:val="240"/>
        </w:trPr>
        <w:tc>
          <w:tcPr>
            <w:tcW w:w="1701" w:type="dxa"/>
            <w:tcBorders>
              <w:top w:val="nil"/>
              <w:left w:val="single" w:sz="4" w:space="0" w:color="auto"/>
              <w:bottom w:val="nil"/>
              <w:right w:val="single" w:sz="4" w:space="0" w:color="auto"/>
            </w:tcBorders>
            <w:shd w:val="clear" w:color="000000" w:fill="D9D9D9"/>
            <w:noWrap/>
            <w:vAlign w:val="bottom"/>
            <w:hideMark/>
          </w:tcPr>
          <w:p w14:paraId="42C27C3C"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50-99%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nil"/>
              <w:right w:val="nil"/>
            </w:tcBorders>
            <w:shd w:val="clear" w:color="000000" w:fill="D9D9D9"/>
            <w:noWrap/>
            <w:vAlign w:val="bottom"/>
            <w:hideMark/>
          </w:tcPr>
          <w:p w14:paraId="3A24DCE5"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0.67 (0.52-0.87</w:t>
            </w:r>
            <w:r>
              <w:rPr>
                <w:rFonts w:ascii="Calibri" w:hAnsi="Calibri" w:cs="Calibri"/>
                <w:color w:val="000000"/>
                <w:sz w:val="16"/>
                <w:szCs w:val="16"/>
              </w:rPr>
              <w:t xml:space="preserve">; </w:t>
            </w:r>
            <w:r w:rsidRPr="00147769">
              <w:rPr>
                <w:rFonts w:ascii="Calibri" w:hAnsi="Calibri" w:cs="Calibri"/>
                <w:color w:val="000000"/>
                <w:sz w:val="16"/>
                <w:szCs w:val="16"/>
              </w:rPr>
              <w:t>0.002</w:t>
            </w:r>
            <w:r w:rsidRPr="00065563">
              <w:rPr>
                <w:rFonts w:ascii="Calibri" w:hAnsi="Calibri" w:cs="Calibri"/>
                <w:color w:val="000000"/>
                <w:sz w:val="16"/>
                <w:szCs w:val="16"/>
              </w:rPr>
              <w:t>)</w:t>
            </w:r>
          </w:p>
        </w:tc>
        <w:tc>
          <w:tcPr>
            <w:tcW w:w="1792" w:type="dxa"/>
            <w:tcBorders>
              <w:top w:val="nil"/>
              <w:left w:val="nil"/>
              <w:bottom w:val="nil"/>
              <w:right w:val="nil"/>
            </w:tcBorders>
            <w:shd w:val="clear" w:color="000000" w:fill="D9D9D9"/>
            <w:noWrap/>
            <w:vAlign w:val="bottom"/>
            <w:hideMark/>
          </w:tcPr>
          <w:p w14:paraId="333B0187"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0.5</w:t>
            </w:r>
            <w:r>
              <w:rPr>
                <w:rFonts w:ascii="Calibri" w:hAnsi="Calibri" w:cs="Calibri"/>
                <w:color w:val="000000"/>
                <w:sz w:val="16"/>
                <w:szCs w:val="16"/>
              </w:rPr>
              <w:t>0</w:t>
            </w:r>
            <w:r w:rsidRPr="00065563">
              <w:rPr>
                <w:rFonts w:ascii="Calibri" w:hAnsi="Calibri" w:cs="Calibri"/>
                <w:color w:val="000000"/>
                <w:sz w:val="16"/>
                <w:szCs w:val="16"/>
              </w:rPr>
              <w:t xml:space="preserve"> (0.42-0.61</w:t>
            </w:r>
            <w:r>
              <w:rPr>
                <w:rFonts w:ascii="Calibri" w:hAnsi="Calibri" w:cs="Calibri"/>
                <w:color w:val="000000"/>
                <w:sz w:val="16"/>
                <w:szCs w:val="16"/>
              </w:rPr>
              <w:t>; &lt;0.001</w:t>
            </w:r>
            <w:r w:rsidRPr="00065563">
              <w:rPr>
                <w:rFonts w:ascii="Calibri" w:hAnsi="Calibri" w:cs="Calibri"/>
                <w:color w:val="000000"/>
                <w:sz w:val="16"/>
                <w:szCs w:val="16"/>
              </w:rPr>
              <w:t>)</w:t>
            </w:r>
          </w:p>
        </w:tc>
        <w:tc>
          <w:tcPr>
            <w:tcW w:w="1794" w:type="dxa"/>
            <w:tcBorders>
              <w:top w:val="nil"/>
              <w:left w:val="nil"/>
              <w:bottom w:val="nil"/>
              <w:right w:val="nil"/>
            </w:tcBorders>
            <w:shd w:val="clear" w:color="000000" w:fill="D9D9D9"/>
            <w:noWrap/>
            <w:vAlign w:val="bottom"/>
            <w:hideMark/>
          </w:tcPr>
          <w:p w14:paraId="79B664B1"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0.64 (0.54-0.75</w:t>
            </w:r>
            <w:r>
              <w:rPr>
                <w:rFonts w:ascii="Calibri" w:hAnsi="Calibri" w:cs="Calibri"/>
                <w:color w:val="000000"/>
                <w:sz w:val="16"/>
                <w:szCs w:val="16"/>
              </w:rPr>
              <w:t>; &lt;0.001</w:t>
            </w:r>
            <w:r w:rsidRPr="00065563">
              <w:rPr>
                <w:rFonts w:ascii="Calibri" w:hAnsi="Calibri" w:cs="Calibri"/>
                <w:color w:val="000000"/>
                <w:sz w:val="16"/>
                <w:szCs w:val="16"/>
              </w:rPr>
              <w:t>)</w:t>
            </w:r>
          </w:p>
        </w:tc>
        <w:tc>
          <w:tcPr>
            <w:tcW w:w="1892" w:type="dxa"/>
            <w:tcBorders>
              <w:top w:val="nil"/>
              <w:left w:val="nil"/>
              <w:bottom w:val="nil"/>
              <w:right w:val="single" w:sz="4" w:space="0" w:color="auto"/>
            </w:tcBorders>
            <w:shd w:val="clear" w:color="000000" w:fill="D9D9D9"/>
            <w:noWrap/>
            <w:vAlign w:val="bottom"/>
            <w:hideMark/>
          </w:tcPr>
          <w:p w14:paraId="6541D388"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0.57 (0.48-0.68</w:t>
            </w:r>
            <w:r>
              <w:rPr>
                <w:rFonts w:ascii="Calibri" w:hAnsi="Calibri" w:cs="Calibri"/>
                <w:color w:val="000000"/>
                <w:sz w:val="16"/>
                <w:szCs w:val="16"/>
              </w:rPr>
              <w:t>; &lt;0.001</w:t>
            </w:r>
            <w:r w:rsidRPr="00065563">
              <w:rPr>
                <w:rFonts w:ascii="Calibri" w:hAnsi="Calibri" w:cs="Calibri"/>
                <w:color w:val="000000"/>
                <w:sz w:val="16"/>
                <w:szCs w:val="16"/>
              </w:rPr>
              <w:t>)</w:t>
            </w:r>
          </w:p>
        </w:tc>
      </w:tr>
      <w:tr w:rsidR="00E30D79" w:rsidRPr="00065563" w14:paraId="1908E7BB" w14:textId="77777777" w:rsidTr="00C26C4B">
        <w:trPr>
          <w:trHeight w:val="2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08AA111"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100%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single" w:sz="4" w:space="0" w:color="auto"/>
              <w:right w:val="nil"/>
            </w:tcBorders>
            <w:shd w:val="clear" w:color="auto" w:fill="auto"/>
            <w:noWrap/>
            <w:vAlign w:val="bottom"/>
            <w:hideMark/>
          </w:tcPr>
          <w:p w14:paraId="1151F90C"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0.71 (0.52-0.96</w:t>
            </w:r>
            <w:r>
              <w:rPr>
                <w:rFonts w:ascii="Calibri" w:hAnsi="Calibri" w:cs="Calibri"/>
                <w:color w:val="000000"/>
                <w:sz w:val="16"/>
                <w:szCs w:val="16"/>
              </w:rPr>
              <w:t xml:space="preserve">; </w:t>
            </w:r>
            <w:r w:rsidRPr="00147769">
              <w:rPr>
                <w:rFonts w:ascii="Calibri" w:hAnsi="Calibri" w:cs="Calibri"/>
                <w:color w:val="000000"/>
                <w:sz w:val="16"/>
                <w:szCs w:val="16"/>
              </w:rPr>
              <w:t>0.0</w:t>
            </w:r>
            <w:r>
              <w:rPr>
                <w:rFonts w:ascii="Calibri" w:hAnsi="Calibri" w:cs="Calibri"/>
                <w:color w:val="000000"/>
                <w:sz w:val="16"/>
                <w:szCs w:val="16"/>
              </w:rPr>
              <w:t>3</w:t>
            </w:r>
            <w:r w:rsidRPr="00065563">
              <w:rPr>
                <w:rFonts w:ascii="Calibri" w:hAnsi="Calibri" w:cs="Calibri"/>
                <w:color w:val="000000"/>
                <w:sz w:val="16"/>
                <w:szCs w:val="16"/>
              </w:rPr>
              <w:t>)</w:t>
            </w:r>
          </w:p>
        </w:tc>
        <w:tc>
          <w:tcPr>
            <w:tcW w:w="1792" w:type="dxa"/>
            <w:tcBorders>
              <w:top w:val="nil"/>
              <w:left w:val="nil"/>
              <w:bottom w:val="single" w:sz="4" w:space="0" w:color="auto"/>
              <w:right w:val="nil"/>
            </w:tcBorders>
            <w:shd w:val="clear" w:color="auto" w:fill="auto"/>
            <w:noWrap/>
            <w:vAlign w:val="bottom"/>
            <w:hideMark/>
          </w:tcPr>
          <w:p w14:paraId="10CBFC2E"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0.52 (0.42-0.64</w:t>
            </w:r>
            <w:r>
              <w:rPr>
                <w:rFonts w:ascii="Calibri" w:hAnsi="Calibri" w:cs="Calibri"/>
                <w:color w:val="000000"/>
                <w:sz w:val="16"/>
                <w:szCs w:val="16"/>
              </w:rPr>
              <w:t>; &lt;0.001</w:t>
            </w:r>
            <w:r w:rsidRPr="00065563">
              <w:rPr>
                <w:rFonts w:ascii="Calibri" w:hAnsi="Calibri" w:cs="Calibri"/>
                <w:color w:val="000000"/>
                <w:sz w:val="16"/>
                <w:szCs w:val="16"/>
              </w:rPr>
              <w:t>)</w:t>
            </w:r>
          </w:p>
        </w:tc>
        <w:tc>
          <w:tcPr>
            <w:tcW w:w="1794" w:type="dxa"/>
            <w:tcBorders>
              <w:top w:val="nil"/>
              <w:left w:val="nil"/>
              <w:bottom w:val="single" w:sz="4" w:space="0" w:color="auto"/>
              <w:right w:val="nil"/>
            </w:tcBorders>
            <w:shd w:val="clear" w:color="auto" w:fill="auto"/>
            <w:noWrap/>
            <w:vAlign w:val="bottom"/>
            <w:hideMark/>
          </w:tcPr>
          <w:p w14:paraId="7C963ABD"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0.66 (0.56-0.77</w:t>
            </w:r>
            <w:r>
              <w:rPr>
                <w:rFonts w:ascii="Calibri" w:hAnsi="Calibri" w:cs="Calibri"/>
                <w:color w:val="000000"/>
                <w:sz w:val="16"/>
                <w:szCs w:val="16"/>
              </w:rPr>
              <w:t>; &lt;0.001</w:t>
            </w:r>
            <w:r w:rsidRPr="00065563">
              <w:rPr>
                <w:rFonts w:ascii="Calibri" w:hAnsi="Calibri" w:cs="Calibri"/>
                <w:color w:val="000000"/>
                <w:sz w:val="16"/>
                <w:szCs w:val="16"/>
              </w:rPr>
              <w:t>)</w:t>
            </w:r>
          </w:p>
        </w:tc>
        <w:tc>
          <w:tcPr>
            <w:tcW w:w="1892" w:type="dxa"/>
            <w:tcBorders>
              <w:top w:val="nil"/>
              <w:left w:val="nil"/>
              <w:bottom w:val="single" w:sz="4" w:space="0" w:color="auto"/>
              <w:right w:val="single" w:sz="4" w:space="0" w:color="auto"/>
            </w:tcBorders>
            <w:shd w:val="clear" w:color="auto" w:fill="auto"/>
            <w:noWrap/>
            <w:vAlign w:val="bottom"/>
            <w:hideMark/>
          </w:tcPr>
          <w:p w14:paraId="2A58502F"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0.32 (0.26-0.39</w:t>
            </w:r>
            <w:r>
              <w:rPr>
                <w:rFonts w:ascii="Calibri" w:hAnsi="Calibri" w:cs="Calibri"/>
                <w:color w:val="000000"/>
                <w:sz w:val="16"/>
                <w:szCs w:val="16"/>
              </w:rPr>
              <w:t>; &lt;0.001</w:t>
            </w:r>
            <w:r w:rsidRPr="00065563">
              <w:rPr>
                <w:rFonts w:ascii="Calibri" w:hAnsi="Calibri" w:cs="Calibri"/>
                <w:color w:val="000000"/>
                <w:sz w:val="16"/>
                <w:szCs w:val="16"/>
              </w:rPr>
              <w:t>)</w:t>
            </w:r>
          </w:p>
        </w:tc>
      </w:tr>
      <w:tr w:rsidR="00E30D79" w:rsidRPr="00065563" w14:paraId="6317B07B"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hideMark/>
          </w:tcPr>
          <w:p w14:paraId="05AE9D72"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w:t>
            </w:r>
          </w:p>
        </w:tc>
        <w:tc>
          <w:tcPr>
            <w:tcW w:w="7371" w:type="dxa"/>
            <w:gridSpan w:val="4"/>
            <w:tcBorders>
              <w:top w:val="single" w:sz="4" w:space="0" w:color="auto"/>
              <w:left w:val="nil"/>
              <w:bottom w:val="nil"/>
              <w:right w:val="single" w:sz="4" w:space="0" w:color="000000"/>
            </w:tcBorders>
            <w:shd w:val="clear" w:color="auto" w:fill="auto"/>
            <w:noWrap/>
            <w:vAlign w:val="bottom"/>
            <w:hideMark/>
          </w:tcPr>
          <w:p w14:paraId="16DACDD9" w14:textId="77777777" w:rsidR="00E30D79" w:rsidRPr="00065563" w:rsidRDefault="00E30D79" w:rsidP="00C26C4B">
            <w:pPr>
              <w:jc w:val="center"/>
              <w:rPr>
                <w:rFonts w:ascii="Calibri" w:eastAsia="Times New Roman" w:hAnsi="Calibri"/>
                <w:b/>
                <w:bCs/>
                <w:color w:val="000000"/>
                <w:sz w:val="16"/>
                <w:szCs w:val="16"/>
              </w:rPr>
            </w:pPr>
            <w:proofErr w:type="spellStart"/>
            <w:r w:rsidRPr="00065563">
              <w:rPr>
                <w:rFonts w:ascii="Calibri" w:eastAsia="Times New Roman" w:hAnsi="Calibri"/>
                <w:b/>
                <w:bCs/>
                <w:color w:val="000000"/>
                <w:sz w:val="16"/>
                <w:szCs w:val="16"/>
              </w:rPr>
              <w:t>Mortality</w:t>
            </w:r>
            <w:proofErr w:type="spellEnd"/>
          </w:p>
        </w:tc>
      </w:tr>
      <w:tr w:rsidR="00E30D79" w:rsidRPr="00065563" w14:paraId="615A4756"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hideMark/>
          </w:tcPr>
          <w:p w14:paraId="1EDA56CC"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w:t>
            </w:r>
          </w:p>
        </w:tc>
        <w:tc>
          <w:tcPr>
            <w:tcW w:w="1893" w:type="dxa"/>
            <w:tcBorders>
              <w:top w:val="nil"/>
              <w:left w:val="nil"/>
              <w:bottom w:val="nil"/>
              <w:right w:val="nil"/>
            </w:tcBorders>
            <w:shd w:val="clear" w:color="auto" w:fill="auto"/>
            <w:noWrap/>
            <w:vAlign w:val="bottom"/>
            <w:hideMark/>
          </w:tcPr>
          <w:p w14:paraId="39408A1B"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0% BB</w:t>
            </w:r>
          </w:p>
        </w:tc>
        <w:tc>
          <w:tcPr>
            <w:tcW w:w="1792" w:type="dxa"/>
            <w:tcBorders>
              <w:top w:val="nil"/>
              <w:left w:val="nil"/>
              <w:bottom w:val="nil"/>
              <w:right w:val="nil"/>
            </w:tcBorders>
            <w:shd w:val="clear" w:color="auto" w:fill="auto"/>
            <w:noWrap/>
            <w:vAlign w:val="bottom"/>
            <w:hideMark/>
          </w:tcPr>
          <w:p w14:paraId="7BFEF7E9"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1-49% BB</w:t>
            </w:r>
          </w:p>
        </w:tc>
        <w:tc>
          <w:tcPr>
            <w:tcW w:w="1794" w:type="dxa"/>
            <w:tcBorders>
              <w:top w:val="nil"/>
              <w:left w:val="nil"/>
              <w:bottom w:val="nil"/>
              <w:right w:val="nil"/>
            </w:tcBorders>
            <w:shd w:val="clear" w:color="auto" w:fill="auto"/>
            <w:noWrap/>
            <w:vAlign w:val="bottom"/>
            <w:hideMark/>
          </w:tcPr>
          <w:p w14:paraId="7F799822"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50-99% BB</w:t>
            </w:r>
          </w:p>
        </w:tc>
        <w:tc>
          <w:tcPr>
            <w:tcW w:w="1892" w:type="dxa"/>
            <w:tcBorders>
              <w:top w:val="nil"/>
              <w:left w:val="nil"/>
              <w:bottom w:val="nil"/>
              <w:right w:val="single" w:sz="4" w:space="0" w:color="auto"/>
            </w:tcBorders>
            <w:shd w:val="clear" w:color="auto" w:fill="auto"/>
            <w:noWrap/>
            <w:vAlign w:val="bottom"/>
            <w:hideMark/>
          </w:tcPr>
          <w:p w14:paraId="76CE3F2B" w14:textId="77777777" w:rsidR="00E30D79" w:rsidRPr="00065563" w:rsidRDefault="00E30D79" w:rsidP="00C26C4B">
            <w:pPr>
              <w:rPr>
                <w:rFonts w:ascii="Calibri" w:eastAsia="Times New Roman" w:hAnsi="Calibri"/>
                <w:b/>
                <w:bCs/>
                <w:color w:val="000000"/>
                <w:sz w:val="16"/>
                <w:szCs w:val="16"/>
              </w:rPr>
            </w:pPr>
            <w:r w:rsidRPr="00065563">
              <w:rPr>
                <w:rFonts w:ascii="Calibri" w:eastAsia="Times New Roman" w:hAnsi="Calibri"/>
                <w:b/>
                <w:bCs/>
                <w:color w:val="000000"/>
                <w:sz w:val="16"/>
                <w:szCs w:val="16"/>
              </w:rPr>
              <w:t>100% BB</w:t>
            </w:r>
          </w:p>
        </w:tc>
      </w:tr>
      <w:tr w:rsidR="00E30D79" w:rsidRPr="00065563" w14:paraId="05FEE7F6" w14:textId="77777777" w:rsidTr="00C26C4B">
        <w:trPr>
          <w:trHeight w:val="240"/>
        </w:trPr>
        <w:tc>
          <w:tcPr>
            <w:tcW w:w="1701" w:type="dxa"/>
            <w:tcBorders>
              <w:top w:val="nil"/>
              <w:left w:val="single" w:sz="4" w:space="0" w:color="auto"/>
              <w:bottom w:val="nil"/>
              <w:right w:val="single" w:sz="4" w:space="0" w:color="auto"/>
            </w:tcBorders>
            <w:shd w:val="clear" w:color="000000" w:fill="D9D9D9"/>
            <w:noWrap/>
            <w:vAlign w:val="bottom"/>
            <w:hideMark/>
          </w:tcPr>
          <w:p w14:paraId="5F6F8BAD"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0%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nil"/>
              <w:right w:val="nil"/>
            </w:tcBorders>
            <w:shd w:val="clear" w:color="000000" w:fill="D9D9D9"/>
            <w:noWrap/>
            <w:vAlign w:val="bottom"/>
            <w:hideMark/>
          </w:tcPr>
          <w:p w14:paraId="554E5918" w14:textId="77777777" w:rsidR="00E30D79" w:rsidRPr="00065563" w:rsidRDefault="00E30D79" w:rsidP="00C26C4B">
            <w:pPr>
              <w:rPr>
                <w:rFonts w:ascii="Calibri" w:hAnsi="Calibri" w:cs="Calibri"/>
                <w:color w:val="000000"/>
                <w:sz w:val="16"/>
                <w:szCs w:val="16"/>
              </w:rPr>
            </w:pPr>
            <w:r>
              <w:rPr>
                <w:rFonts w:ascii="Calibri" w:hAnsi="Calibri" w:cs="Calibri"/>
                <w:color w:val="000000"/>
                <w:sz w:val="16"/>
                <w:szCs w:val="16"/>
              </w:rPr>
              <w:t>1.00 (</w:t>
            </w:r>
            <w:proofErr w:type="spellStart"/>
            <w:r>
              <w:rPr>
                <w:rFonts w:ascii="Calibri" w:hAnsi="Calibri" w:cs="Calibri"/>
                <w:color w:val="000000"/>
                <w:sz w:val="16"/>
                <w:szCs w:val="16"/>
              </w:rPr>
              <w:t>reference</w:t>
            </w:r>
            <w:proofErr w:type="spellEnd"/>
            <w:r>
              <w:rPr>
                <w:rFonts w:ascii="Calibri" w:hAnsi="Calibri" w:cs="Calibri"/>
                <w:color w:val="000000"/>
                <w:sz w:val="16"/>
                <w:szCs w:val="16"/>
              </w:rPr>
              <w:t>)</w:t>
            </w:r>
          </w:p>
        </w:tc>
        <w:tc>
          <w:tcPr>
            <w:tcW w:w="1792" w:type="dxa"/>
            <w:tcBorders>
              <w:top w:val="nil"/>
              <w:left w:val="nil"/>
              <w:bottom w:val="nil"/>
              <w:right w:val="nil"/>
            </w:tcBorders>
            <w:shd w:val="clear" w:color="000000" w:fill="D9D9D9"/>
            <w:noWrap/>
            <w:vAlign w:val="bottom"/>
            <w:hideMark/>
          </w:tcPr>
          <w:p w14:paraId="39BCC11D"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0.75 (0.6</w:t>
            </w:r>
            <w:r>
              <w:rPr>
                <w:rFonts w:ascii="Calibri" w:hAnsi="Calibri" w:cs="Calibri"/>
                <w:color w:val="000000"/>
                <w:sz w:val="16"/>
                <w:szCs w:val="16"/>
              </w:rPr>
              <w:t>0</w:t>
            </w:r>
            <w:r w:rsidRPr="00065563">
              <w:rPr>
                <w:rFonts w:ascii="Calibri" w:hAnsi="Calibri" w:cs="Calibri"/>
                <w:color w:val="000000"/>
                <w:sz w:val="16"/>
                <w:szCs w:val="16"/>
              </w:rPr>
              <w:t>-0.92</w:t>
            </w:r>
            <w:r>
              <w:rPr>
                <w:rFonts w:ascii="Calibri" w:hAnsi="Calibri" w:cs="Calibri"/>
                <w:color w:val="000000"/>
                <w:sz w:val="16"/>
                <w:szCs w:val="16"/>
              </w:rPr>
              <w:t>; 0.006</w:t>
            </w:r>
            <w:r w:rsidRPr="00065563">
              <w:rPr>
                <w:rFonts w:ascii="Calibri" w:hAnsi="Calibri" w:cs="Calibri"/>
                <w:color w:val="000000"/>
                <w:sz w:val="16"/>
                <w:szCs w:val="16"/>
              </w:rPr>
              <w:t>)</w:t>
            </w:r>
          </w:p>
        </w:tc>
        <w:tc>
          <w:tcPr>
            <w:tcW w:w="1794" w:type="dxa"/>
            <w:tcBorders>
              <w:top w:val="nil"/>
              <w:left w:val="nil"/>
              <w:bottom w:val="nil"/>
              <w:right w:val="nil"/>
            </w:tcBorders>
            <w:shd w:val="clear" w:color="000000" w:fill="D9D9D9"/>
            <w:noWrap/>
            <w:vAlign w:val="bottom"/>
            <w:hideMark/>
          </w:tcPr>
          <w:p w14:paraId="194955BF"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0.65 (0.48-0.87</w:t>
            </w:r>
            <w:r>
              <w:rPr>
                <w:rFonts w:ascii="Calibri" w:hAnsi="Calibri" w:cs="Calibri"/>
                <w:color w:val="000000"/>
                <w:sz w:val="16"/>
                <w:szCs w:val="16"/>
              </w:rPr>
              <w:t>; 0.004</w:t>
            </w:r>
            <w:r w:rsidRPr="00065563">
              <w:rPr>
                <w:rFonts w:ascii="Calibri" w:hAnsi="Calibri" w:cs="Calibri"/>
                <w:color w:val="000000"/>
                <w:sz w:val="16"/>
                <w:szCs w:val="16"/>
              </w:rPr>
              <w:t>)</w:t>
            </w:r>
          </w:p>
        </w:tc>
        <w:tc>
          <w:tcPr>
            <w:tcW w:w="1892" w:type="dxa"/>
            <w:tcBorders>
              <w:top w:val="nil"/>
              <w:left w:val="nil"/>
              <w:bottom w:val="nil"/>
              <w:right w:val="single" w:sz="4" w:space="0" w:color="auto"/>
            </w:tcBorders>
            <w:shd w:val="clear" w:color="000000" w:fill="D9D9D9"/>
            <w:noWrap/>
            <w:vAlign w:val="bottom"/>
            <w:hideMark/>
          </w:tcPr>
          <w:p w14:paraId="2D6B3C8E"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0.4</w:t>
            </w:r>
            <w:r>
              <w:rPr>
                <w:rFonts w:ascii="Calibri" w:hAnsi="Calibri" w:cs="Calibri"/>
                <w:color w:val="000000"/>
                <w:sz w:val="16"/>
                <w:szCs w:val="16"/>
              </w:rPr>
              <w:t>0</w:t>
            </w:r>
            <w:r w:rsidRPr="00065563">
              <w:rPr>
                <w:rFonts w:ascii="Calibri" w:hAnsi="Calibri" w:cs="Calibri"/>
                <w:color w:val="000000"/>
                <w:sz w:val="16"/>
                <w:szCs w:val="16"/>
              </w:rPr>
              <w:t xml:space="preserve"> (0.25-0.63</w:t>
            </w:r>
            <w:r>
              <w:rPr>
                <w:rFonts w:ascii="Calibri" w:hAnsi="Calibri" w:cs="Calibri"/>
                <w:color w:val="000000"/>
                <w:sz w:val="16"/>
                <w:szCs w:val="16"/>
              </w:rPr>
              <w:t>; &lt;0.001</w:t>
            </w:r>
            <w:r w:rsidRPr="00065563">
              <w:rPr>
                <w:rFonts w:ascii="Calibri" w:hAnsi="Calibri" w:cs="Calibri"/>
                <w:color w:val="000000"/>
                <w:sz w:val="16"/>
                <w:szCs w:val="16"/>
              </w:rPr>
              <w:t>)</w:t>
            </w:r>
          </w:p>
        </w:tc>
      </w:tr>
      <w:tr w:rsidR="00E30D79" w:rsidRPr="00065563" w14:paraId="7F5CBC5A"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hideMark/>
          </w:tcPr>
          <w:p w14:paraId="1F1569B6"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1-49%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nil"/>
              <w:right w:val="nil"/>
            </w:tcBorders>
            <w:shd w:val="clear" w:color="auto" w:fill="auto"/>
            <w:noWrap/>
            <w:vAlign w:val="bottom"/>
            <w:hideMark/>
          </w:tcPr>
          <w:p w14:paraId="13853E71"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0.74 (0.57-0.95</w:t>
            </w:r>
            <w:r>
              <w:rPr>
                <w:rFonts w:ascii="Calibri" w:hAnsi="Calibri" w:cs="Calibri"/>
                <w:color w:val="000000"/>
                <w:sz w:val="16"/>
                <w:szCs w:val="16"/>
              </w:rPr>
              <w:t>; 0.02)</w:t>
            </w:r>
          </w:p>
        </w:tc>
        <w:tc>
          <w:tcPr>
            <w:tcW w:w="1792" w:type="dxa"/>
            <w:tcBorders>
              <w:top w:val="nil"/>
              <w:left w:val="nil"/>
              <w:bottom w:val="nil"/>
              <w:right w:val="nil"/>
            </w:tcBorders>
            <w:shd w:val="clear" w:color="auto" w:fill="auto"/>
            <w:noWrap/>
            <w:vAlign w:val="bottom"/>
            <w:hideMark/>
          </w:tcPr>
          <w:p w14:paraId="79B927ED"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0.57 (0.47-0.69</w:t>
            </w:r>
            <w:r>
              <w:rPr>
                <w:rFonts w:ascii="Calibri" w:hAnsi="Calibri" w:cs="Calibri"/>
                <w:color w:val="000000"/>
                <w:sz w:val="16"/>
                <w:szCs w:val="16"/>
              </w:rPr>
              <w:t>; &lt;0.001</w:t>
            </w:r>
            <w:r w:rsidRPr="00065563">
              <w:rPr>
                <w:rFonts w:ascii="Calibri" w:hAnsi="Calibri" w:cs="Calibri"/>
                <w:color w:val="000000"/>
                <w:sz w:val="16"/>
                <w:szCs w:val="16"/>
              </w:rPr>
              <w:t>)</w:t>
            </w:r>
          </w:p>
        </w:tc>
        <w:tc>
          <w:tcPr>
            <w:tcW w:w="1794" w:type="dxa"/>
            <w:tcBorders>
              <w:top w:val="nil"/>
              <w:left w:val="nil"/>
              <w:bottom w:val="nil"/>
              <w:right w:val="nil"/>
            </w:tcBorders>
            <w:shd w:val="clear" w:color="auto" w:fill="auto"/>
            <w:noWrap/>
            <w:vAlign w:val="bottom"/>
            <w:hideMark/>
          </w:tcPr>
          <w:p w14:paraId="4F3D95C0"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0.39 (0.29-0.51</w:t>
            </w:r>
            <w:r>
              <w:rPr>
                <w:rFonts w:ascii="Calibri" w:hAnsi="Calibri" w:cs="Calibri"/>
                <w:color w:val="000000"/>
                <w:sz w:val="16"/>
                <w:szCs w:val="16"/>
              </w:rPr>
              <w:t>; &lt;0.001</w:t>
            </w:r>
            <w:r w:rsidRPr="00065563">
              <w:rPr>
                <w:rFonts w:ascii="Calibri" w:hAnsi="Calibri" w:cs="Calibri"/>
                <w:color w:val="000000"/>
                <w:sz w:val="16"/>
                <w:szCs w:val="16"/>
              </w:rPr>
              <w:t>)</w:t>
            </w:r>
          </w:p>
        </w:tc>
        <w:tc>
          <w:tcPr>
            <w:tcW w:w="1892" w:type="dxa"/>
            <w:tcBorders>
              <w:top w:val="nil"/>
              <w:left w:val="nil"/>
              <w:bottom w:val="nil"/>
              <w:right w:val="single" w:sz="4" w:space="0" w:color="auto"/>
            </w:tcBorders>
            <w:shd w:val="clear" w:color="auto" w:fill="auto"/>
            <w:noWrap/>
            <w:vAlign w:val="bottom"/>
            <w:hideMark/>
          </w:tcPr>
          <w:p w14:paraId="08A6BAE6"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0.58 (0.42-0.81</w:t>
            </w:r>
            <w:r>
              <w:rPr>
                <w:rFonts w:ascii="Calibri" w:hAnsi="Calibri" w:cs="Calibri"/>
                <w:color w:val="000000"/>
                <w:sz w:val="16"/>
                <w:szCs w:val="16"/>
              </w:rPr>
              <w:t>; 0.001)</w:t>
            </w:r>
          </w:p>
        </w:tc>
      </w:tr>
      <w:tr w:rsidR="00E30D79" w:rsidRPr="00065563" w14:paraId="3D861402" w14:textId="77777777" w:rsidTr="00C26C4B">
        <w:trPr>
          <w:trHeight w:val="240"/>
        </w:trPr>
        <w:tc>
          <w:tcPr>
            <w:tcW w:w="1701" w:type="dxa"/>
            <w:tcBorders>
              <w:top w:val="nil"/>
              <w:left w:val="single" w:sz="4" w:space="0" w:color="auto"/>
              <w:bottom w:val="nil"/>
              <w:right w:val="single" w:sz="4" w:space="0" w:color="auto"/>
            </w:tcBorders>
            <w:shd w:val="clear" w:color="000000" w:fill="D9D9D9"/>
            <w:noWrap/>
            <w:vAlign w:val="bottom"/>
            <w:hideMark/>
          </w:tcPr>
          <w:p w14:paraId="23B2CEBE"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50-99%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nil"/>
              <w:right w:val="nil"/>
            </w:tcBorders>
            <w:shd w:val="clear" w:color="000000" w:fill="D9D9D9"/>
            <w:noWrap/>
            <w:vAlign w:val="bottom"/>
            <w:hideMark/>
          </w:tcPr>
          <w:p w14:paraId="1DB22737"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0.57 (0.42-0.78</w:t>
            </w:r>
            <w:r>
              <w:rPr>
                <w:rFonts w:ascii="Calibri" w:hAnsi="Calibri" w:cs="Calibri"/>
                <w:color w:val="000000"/>
                <w:sz w:val="16"/>
                <w:szCs w:val="16"/>
              </w:rPr>
              <w:t>; &lt;0.001</w:t>
            </w:r>
            <w:r w:rsidRPr="00065563">
              <w:rPr>
                <w:rFonts w:ascii="Calibri" w:hAnsi="Calibri" w:cs="Calibri"/>
                <w:color w:val="000000"/>
                <w:sz w:val="16"/>
                <w:szCs w:val="16"/>
              </w:rPr>
              <w:t>)</w:t>
            </w:r>
          </w:p>
        </w:tc>
        <w:tc>
          <w:tcPr>
            <w:tcW w:w="1792" w:type="dxa"/>
            <w:tcBorders>
              <w:top w:val="nil"/>
              <w:left w:val="nil"/>
              <w:bottom w:val="nil"/>
              <w:right w:val="nil"/>
            </w:tcBorders>
            <w:shd w:val="clear" w:color="000000" w:fill="D9D9D9"/>
            <w:noWrap/>
            <w:vAlign w:val="bottom"/>
            <w:hideMark/>
          </w:tcPr>
          <w:p w14:paraId="56973ACD"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0.33 (0.26-0.42</w:t>
            </w:r>
            <w:r>
              <w:rPr>
                <w:rFonts w:ascii="Calibri" w:hAnsi="Calibri" w:cs="Calibri"/>
                <w:color w:val="000000"/>
                <w:sz w:val="16"/>
                <w:szCs w:val="16"/>
              </w:rPr>
              <w:t>; &lt;0.001</w:t>
            </w:r>
            <w:r w:rsidRPr="00065563">
              <w:rPr>
                <w:rFonts w:ascii="Calibri" w:hAnsi="Calibri" w:cs="Calibri"/>
                <w:color w:val="000000"/>
                <w:sz w:val="16"/>
                <w:szCs w:val="16"/>
              </w:rPr>
              <w:t>)</w:t>
            </w:r>
          </w:p>
        </w:tc>
        <w:tc>
          <w:tcPr>
            <w:tcW w:w="1794" w:type="dxa"/>
            <w:tcBorders>
              <w:top w:val="nil"/>
              <w:left w:val="nil"/>
              <w:bottom w:val="nil"/>
              <w:right w:val="nil"/>
            </w:tcBorders>
            <w:shd w:val="clear" w:color="000000" w:fill="D9D9D9"/>
            <w:noWrap/>
            <w:vAlign w:val="bottom"/>
            <w:hideMark/>
          </w:tcPr>
          <w:p w14:paraId="02B7B1CE"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0.42 (0.34-0.51</w:t>
            </w:r>
            <w:r>
              <w:rPr>
                <w:rFonts w:ascii="Calibri" w:hAnsi="Calibri" w:cs="Calibri"/>
                <w:color w:val="000000"/>
                <w:sz w:val="16"/>
                <w:szCs w:val="16"/>
              </w:rPr>
              <w:t>; &lt;0.001</w:t>
            </w:r>
            <w:r w:rsidRPr="00065563">
              <w:rPr>
                <w:rFonts w:ascii="Calibri" w:hAnsi="Calibri" w:cs="Calibri"/>
                <w:color w:val="000000"/>
                <w:sz w:val="16"/>
                <w:szCs w:val="16"/>
              </w:rPr>
              <w:t>)</w:t>
            </w:r>
          </w:p>
        </w:tc>
        <w:tc>
          <w:tcPr>
            <w:tcW w:w="1892" w:type="dxa"/>
            <w:tcBorders>
              <w:top w:val="nil"/>
              <w:left w:val="nil"/>
              <w:bottom w:val="nil"/>
              <w:right w:val="single" w:sz="4" w:space="0" w:color="auto"/>
            </w:tcBorders>
            <w:shd w:val="clear" w:color="000000" w:fill="D9D9D9"/>
            <w:noWrap/>
            <w:vAlign w:val="bottom"/>
            <w:hideMark/>
          </w:tcPr>
          <w:p w14:paraId="5C2CCB74"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0.27 (0.21-0.34</w:t>
            </w:r>
            <w:r>
              <w:rPr>
                <w:rFonts w:ascii="Calibri" w:hAnsi="Calibri" w:cs="Calibri"/>
                <w:color w:val="000000"/>
                <w:sz w:val="16"/>
                <w:szCs w:val="16"/>
              </w:rPr>
              <w:t>; &lt;0.001</w:t>
            </w:r>
            <w:r w:rsidRPr="00065563">
              <w:rPr>
                <w:rFonts w:ascii="Calibri" w:hAnsi="Calibri" w:cs="Calibri"/>
                <w:color w:val="000000"/>
                <w:sz w:val="16"/>
                <w:szCs w:val="16"/>
              </w:rPr>
              <w:t>)</w:t>
            </w:r>
          </w:p>
        </w:tc>
      </w:tr>
      <w:tr w:rsidR="00E30D79" w:rsidRPr="00065563" w14:paraId="59F06A9F" w14:textId="77777777" w:rsidTr="00C26C4B">
        <w:trPr>
          <w:trHeight w:val="2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BBA6CAA" w14:textId="77777777" w:rsidR="00E30D79" w:rsidRPr="00DE4DE1" w:rsidRDefault="00E30D79" w:rsidP="00C26C4B">
            <w:pPr>
              <w:rPr>
                <w:rFonts w:ascii="Calibri" w:eastAsia="Times New Roman" w:hAnsi="Calibri"/>
                <w:b/>
                <w:bCs/>
                <w:color w:val="000000"/>
                <w:sz w:val="16"/>
                <w:szCs w:val="16"/>
              </w:rPr>
            </w:pPr>
            <w:r w:rsidRPr="00DE4DE1">
              <w:rPr>
                <w:rFonts w:ascii="Calibri" w:eastAsia="Times New Roman" w:hAnsi="Calibri"/>
                <w:b/>
                <w:bCs/>
                <w:color w:val="000000"/>
                <w:sz w:val="16"/>
                <w:szCs w:val="16"/>
              </w:rPr>
              <w:t xml:space="preserve">100% </w:t>
            </w:r>
            <w:proofErr w:type="spellStart"/>
            <w:r w:rsidRPr="00DE4DE1">
              <w:rPr>
                <w:rFonts w:ascii="Calibri" w:eastAsia="Times New Roman" w:hAnsi="Calibri"/>
                <w:b/>
                <w:bCs/>
                <w:color w:val="000000"/>
                <w:sz w:val="16"/>
                <w:szCs w:val="16"/>
              </w:rPr>
              <w:t>ACE</w:t>
            </w:r>
            <w:r>
              <w:rPr>
                <w:rFonts w:ascii="Calibri" w:eastAsia="Times New Roman" w:hAnsi="Calibri"/>
                <w:b/>
                <w:bCs/>
                <w:color w:val="000000"/>
                <w:sz w:val="16"/>
                <w:szCs w:val="16"/>
              </w:rPr>
              <w:t>i</w:t>
            </w:r>
            <w:proofErr w:type="spellEnd"/>
            <w:r w:rsidRPr="00DE4DE1">
              <w:rPr>
                <w:rFonts w:ascii="Calibri" w:eastAsia="Times New Roman" w:hAnsi="Calibri"/>
                <w:b/>
                <w:bCs/>
                <w:color w:val="000000"/>
                <w:sz w:val="16"/>
                <w:szCs w:val="16"/>
              </w:rPr>
              <w:t>/ARB</w:t>
            </w:r>
          </w:p>
        </w:tc>
        <w:tc>
          <w:tcPr>
            <w:tcW w:w="1893" w:type="dxa"/>
            <w:tcBorders>
              <w:top w:val="nil"/>
              <w:left w:val="nil"/>
              <w:bottom w:val="single" w:sz="4" w:space="0" w:color="auto"/>
              <w:right w:val="nil"/>
            </w:tcBorders>
            <w:shd w:val="clear" w:color="auto" w:fill="auto"/>
            <w:noWrap/>
            <w:vAlign w:val="bottom"/>
            <w:hideMark/>
          </w:tcPr>
          <w:p w14:paraId="19E78ABB"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0.75 (0.53-1.07</w:t>
            </w:r>
            <w:r>
              <w:rPr>
                <w:rFonts w:ascii="Calibri" w:hAnsi="Calibri" w:cs="Calibri"/>
                <w:color w:val="000000"/>
                <w:sz w:val="16"/>
                <w:szCs w:val="16"/>
              </w:rPr>
              <w:t>; 0.11)</w:t>
            </w:r>
          </w:p>
        </w:tc>
        <w:tc>
          <w:tcPr>
            <w:tcW w:w="1792" w:type="dxa"/>
            <w:tcBorders>
              <w:top w:val="nil"/>
              <w:left w:val="nil"/>
              <w:bottom w:val="single" w:sz="4" w:space="0" w:color="auto"/>
              <w:right w:val="nil"/>
            </w:tcBorders>
            <w:shd w:val="clear" w:color="auto" w:fill="auto"/>
            <w:noWrap/>
            <w:vAlign w:val="bottom"/>
            <w:hideMark/>
          </w:tcPr>
          <w:p w14:paraId="62C1DAA9"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0.4</w:t>
            </w:r>
            <w:r>
              <w:rPr>
                <w:rFonts w:ascii="Calibri" w:hAnsi="Calibri" w:cs="Calibri"/>
                <w:color w:val="000000"/>
                <w:sz w:val="16"/>
                <w:szCs w:val="16"/>
              </w:rPr>
              <w:t>0</w:t>
            </w:r>
            <w:r w:rsidRPr="00065563">
              <w:rPr>
                <w:rFonts w:ascii="Calibri" w:hAnsi="Calibri" w:cs="Calibri"/>
                <w:color w:val="000000"/>
                <w:sz w:val="16"/>
                <w:szCs w:val="16"/>
              </w:rPr>
              <w:t xml:space="preserve"> (0.3</w:t>
            </w:r>
            <w:r>
              <w:rPr>
                <w:rFonts w:ascii="Calibri" w:hAnsi="Calibri" w:cs="Calibri"/>
                <w:color w:val="000000"/>
                <w:sz w:val="16"/>
                <w:szCs w:val="16"/>
              </w:rPr>
              <w:t>0</w:t>
            </w:r>
            <w:r w:rsidRPr="00065563">
              <w:rPr>
                <w:rFonts w:ascii="Calibri" w:hAnsi="Calibri" w:cs="Calibri"/>
                <w:color w:val="000000"/>
                <w:sz w:val="16"/>
                <w:szCs w:val="16"/>
              </w:rPr>
              <w:t>-0.52</w:t>
            </w:r>
            <w:r>
              <w:rPr>
                <w:rFonts w:ascii="Calibri" w:hAnsi="Calibri" w:cs="Calibri"/>
                <w:color w:val="000000"/>
                <w:sz w:val="16"/>
                <w:szCs w:val="16"/>
              </w:rPr>
              <w:t>; &lt;0.001</w:t>
            </w:r>
            <w:r w:rsidRPr="00065563">
              <w:rPr>
                <w:rFonts w:ascii="Calibri" w:hAnsi="Calibri" w:cs="Calibri"/>
                <w:color w:val="000000"/>
                <w:sz w:val="16"/>
                <w:szCs w:val="16"/>
              </w:rPr>
              <w:t>)</w:t>
            </w:r>
          </w:p>
        </w:tc>
        <w:tc>
          <w:tcPr>
            <w:tcW w:w="1794" w:type="dxa"/>
            <w:tcBorders>
              <w:top w:val="nil"/>
              <w:left w:val="nil"/>
              <w:bottom w:val="single" w:sz="4" w:space="0" w:color="auto"/>
              <w:right w:val="nil"/>
            </w:tcBorders>
            <w:shd w:val="clear" w:color="auto" w:fill="auto"/>
            <w:noWrap/>
            <w:vAlign w:val="bottom"/>
            <w:hideMark/>
          </w:tcPr>
          <w:p w14:paraId="41EE5E1C"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0.38 (0.31-0.46</w:t>
            </w:r>
            <w:r>
              <w:rPr>
                <w:rFonts w:ascii="Calibri" w:hAnsi="Calibri" w:cs="Calibri"/>
                <w:color w:val="000000"/>
                <w:sz w:val="16"/>
                <w:szCs w:val="16"/>
              </w:rPr>
              <w:t>; &lt;0.001</w:t>
            </w:r>
            <w:r w:rsidRPr="00065563">
              <w:rPr>
                <w:rFonts w:ascii="Calibri" w:hAnsi="Calibri" w:cs="Calibri"/>
                <w:color w:val="000000"/>
                <w:sz w:val="16"/>
                <w:szCs w:val="16"/>
              </w:rPr>
              <w:t>)</w:t>
            </w:r>
          </w:p>
        </w:tc>
        <w:tc>
          <w:tcPr>
            <w:tcW w:w="1892" w:type="dxa"/>
            <w:tcBorders>
              <w:top w:val="nil"/>
              <w:left w:val="nil"/>
              <w:bottom w:val="single" w:sz="4" w:space="0" w:color="auto"/>
              <w:right w:val="single" w:sz="4" w:space="0" w:color="auto"/>
            </w:tcBorders>
            <w:shd w:val="clear" w:color="auto" w:fill="auto"/>
            <w:noWrap/>
            <w:vAlign w:val="bottom"/>
            <w:hideMark/>
          </w:tcPr>
          <w:p w14:paraId="709D3468" w14:textId="77777777" w:rsidR="00E30D79" w:rsidRPr="00065563" w:rsidRDefault="00E30D79" w:rsidP="00C26C4B">
            <w:pPr>
              <w:rPr>
                <w:rFonts w:ascii="Calibri" w:hAnsi="Calibri" w:cs="Calibri"/>
                <w:color w:val="000000"/>
                <w:sz w:val="16"/>
                <w:szCs w:val="16"/>
              </w:rPr>
            </w:pPr>
            <w:r w:rsidRPr="00065563">
              <w:rPr>
                <w:rFonts w:ascii="Calibri" w:hAnsi="Calibri" w:cs="Calibri"/>
                <w:color w:val="000000"/>
                <w:sz w:val="16"/>
                <w:szCs w:val="16"/>
              </w:rPr>
              <w:t>0.19 (0.14-0.24</w:t>
            </w:r>
            <w:r>
              <w:rPr>
                <w:rFonts w:ascii="Calibri" w:hAnsi="Calibri" w:cs="Calibri"/>
                <w:color w:val="000000"/>
                <w:sz w:val="16"/>
                <w:szCs w:val="16"/>
              </w:rPr>
              <w:t>; &lt;0.001</w:t>
            </w:r>
            <w:r w:rsidRPr="00065563">
              <w:rPr>
                <w:rFonts w:ascii="Calibri" w:hAnsi="Calibri" w:cs="Calibri"/>
                <w:color w:val="000000"/>
                <w:sz w:val="16"/>
                <w:szCs w:val="16"/>
              </w:rPr>
              <w:t>)</w:t>
            </w:r>
          </w:p>
        </w:tc>
      </w:tr>
      <w:tr w:rsidR="00E30D79" w:rsidRPr="00065563" w14:paraId="0A5117E4" w14:textId="77777777" w:rsidTr="00C26C4B">
        <w:trPr>
          <w:trHeight w:val="240"/>
        </w:trPr>
        <w:tc>
          <w:tcPr>
            <w:tcW w:w="1701" w:type="dxa"/>
            <w:tcBorders>
              <w:top w:val="single" w:sz="4" w:space="0" w:color="auto"/>
              <w:left w:val="single" w:sz="4" w:space="0" w:color="auto"/>
              <w:bottom w:val="nil"/>
              <w:right w:val="single" w:sz="4" w:space="0" w:color="auto"/>
            </w:tcBorders>
            <w:shd w:val="clear" w:color="auto" w:fill="auto"/>
            <w:noWrap/>
            <w:vAlign w:val="bottom"/>
          </w:tcPr>
          <w:p w14:paraId="773744E1" w14:textId="77777777" w:rsidR="00E30D79" w:rsidRPr="00DE4DE1" w:rsidRDefault="00E30D79" w:rsidP="00C26C4B">
            <w:pPr>
              <w:rPr>
                <w:rFonts w:ascii="Calibri" w:eastAsia="Times New Roman" w:hAnsi="Calibri"/>
                <w:b/>
                <w:bCs/>
                <w:color w:val="000000"/>
                <w:sz w:val="16"/>
                <w:szCs w:val="16"/>
              </w:rPr>
            </w:pPr>
          </w:p>
        </w:tc>
        <w:tc>
          <w:tcPr>
            <w:tcW w:w="7371" w:type="dxa"/>
            <w:gridSpan w:val="4"/>
            <w:tcBorders>
              <w:top w:val="single" w:sz="4" w:space="0" w:color="auto"/>
              <w:left w:val="nil"/>
              <w:bottom w:val="nil"/>
              <w:right w:val="single" w:sz="4" w:space="0" w:color="auto"/>
            </w:tcBorders>
            <w:shd w:val="clear" w:color="auto" w:fill="auto"/>
            <w:noWrap/>
            <w:vAlign w:val="bottom"/>
          </w:tcPr>
          <w:p w14:paraId="1E5A53E4" w14:textId="77777777" w:rsidR="00E30D79" w:rsidRPr="00065563" w:rsidRDefault="00E30D79" w:rsidP="00C26C4B">
            <w:pPr>
              <w:jc w:val="center"/>
              <w:rPr>
                <w:rFonts w:ascii="Calibri" w:hAnsi="Calibri" w:cs="Calibri"/>
                <w:color w:val="000000"/>
                <w:sz w:val="16"/>
                <w:szCs w:val="16"/>
              </w:rPr>
            </w:pPr>
            <w:r>
              <w:rPr>
                <w:rFonts w:ascii="Calibri" w:eastAsia="Times New Roman" w:hAnsi="Calibri" w:cs="Calibri"/>
                <w:b/>
                <w:bCs/>
                <w:color w:val="000000"/>
                <w:sz w:val="16"/>
                <w:szCs w:val="16"/>
                <w:lang w:val="en-US"/>
              </w:rPr>
              <w:t>HF-hospitalization</w:t>
            </w:r>
          </w:p>
        </w:tc>
      </w:tr>
      <w:tr w:rsidR="00E30D79" w:rsidRPr="00065563" w14:paraId="27AC132C"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tcPr>
          <w:p w14:paraId="640E32EF" w14:textId="77777777" w:rsidR="00E30D79" w:rsidRPr="00DE4DE1" w:rsidRDefault="00E30D79" w:rsidP="00C26C4B">
            <w:pPr>
              <w:rPr>
                <w:rFonts w:ascii="Calibri" w:eastAsia="Times New Roman" w:hAnsi="Calibri"/>
                <w:b/>
                <w:bCs/>
                <w:color w:val="000000"/>
                <w:sz w:val="16"/>
                <w:szCs w:val="16"/>
              </w:rPr>
            </w:pPr>
          </w:p>
        </w:tc>
        <w:tc>
          <w:tcPr>
            <w:tcW w:w="1893" w:type="dxa"/>
            <w:tcBorders>
              <w:top w:val="nil"/>
              <w:left w:val="nil"/>
              <w:bottom w:val="nil"/>
              <w:right w:val="nil"/>
            </w:tcBorders>
            <w:shd w:val="clear" w:color="auto" w:fill="auto"/>
            <w:noWrap/>
            <w:vAlign w:val="bottom"/>
          </w:tcPr>
          <w:p w14:paraId="0FC4E201" w14:textId="77777777" w:rsidR="00E30D79" w:rsidRPr="00065563"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0% BB</w:t>
            </w:r>
          </w:p>
        </w:tc>
        <w:tc>
          <w:tcPr>
            <w:tcW w:w="1792" w:type="dxa"/>
            <w:tcBorders>
              <w:top w:val="nil"/>
              <w:left w:val="nil"/>
              <w:bottom w:val="nil"/>
              <w:right w:val="nil"/>
            </w:tcBorders>
            <w:shd w:val="clear" w:color="auto" w:fill="auto"/>
            <w:noWrap/>
            <w:vAlign w:val="bottom"/>
          </w:tcPr>
          <w:p w14:paraId="0F1EF86A" w14:textId="77777777" w:rsidR="00E30D79" w:rsidRPr="00065563"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1-49% BB</w:t>
            </w:r>
          </w:p>
        </w:tc>
        <w:tc>
          <w:tcPr>
            <w:tcW w:w="1794" w:type="dxa"/>
            <w:tcBorders>
              <w:top w:val="nil"/>
              <w:left w:val="nil"/>
              <w:bottom w:val="nil"/>
              <w:right w:val="nil"/>
            </w:tcBorders>
            <w:shd w:val="clear" w:color="auto" w:fill="auto"/>
            <w:noWrap/>
            <w:vAlign w:val="bottom"/>
          </w:tcPr>
          <w:p w14:paraId="322CA8E4" w14:textId="77777777" w:rsidR="00E30D79" w:rsidRPr="00065563"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50-99% BB</w:t>
            </w:r>
          </w:p>
        </w:tc>
        <w:tc>
          <w:tcPr>
            <w:tcW w:w="1892" w:type="dxa"/>
            <w:tcBorders>
              <w:top w:val="nil"/>
              <w:left w:val="nil"/>
              <w:bottom w:val="nil"/>
              <w:right w:val="single" w:sz="4" w:space="0" w:color="auto"/>
            </w:tcBorders>
            <w:shd w:val="clear" w:color="auto" w:fill="auto"/>
            <w:noWrap/>
            <w:vAlign w:val="bottom"/>
          </w:tcPr>
          <w:p w14:paraId="7657F703" w14:textId="77777777" w:rsidR="00E30D79" w:rsidRPr="00065563"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100% BB</w:t>
            </w:r>
          </w:p>
        </w:tc>
      </w:tr>
      <w:tr w:rsidR="00E30D79" w:rsidRPr="00065563" w14:paraId="7F46088F" w14:textId="77777777" w:rsidTr="00C26C4B">
        <w:trPr>
          <w:trHeight w:val="240"/>
        </w:trPr>
        <w:tc>
          <w:tcPr>
            <w:tcW w:w="1701" w:type="dxa"/>
            <w:tcBorders>
              <w:top w:val="nil"/>
              <w:left w:val="single" w:sz="4" w:space="0" w:color="auto"/>
              <w:bottom w:val="nil"/>
              <w:right w:val="single" w:sz="4" w:space="0" w:color="auto"/>
            </w:tcBorders>
            <w:shd w:val="clear" w:color="auto" w:fill="D9D9D9" w:themeFill="background1" w:themeFillShade="D9"/>
            <w:noWrap/>
            <w:vAlign w:val="bottom"/>
          </w:tcPr>
          <w:p w14:paraId="0F6833D0" w14:textId="77777777" w:rsidR="00E30D79" w:rsidRPr="00DE4DE1" w:rsidRDefault="00E30D79" w:rsidP="00C26C4B">
            <w:pPr>
              <w:rPr>
                <w:rFonts w:ascii="Calibri" w:eastAsia="Times New Roman" w:hAnsi="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93" w:type="dxa"/>
            <w:tcBorders>
              <w:top w:val="nil"/>
              <w:left w:val="nil"/>
              <w:bottom w:val="nil"/>
              <w:right w:val="nil"/>
            </w:tcBorders>
            <w:shd w:val="clear" w:color="auto" w:fill="D9D9D9" w:themeFill="background1" w:themeFillShade="D9"/>
            <w:noWrap/>
            <w:vAlign w:val="bottom"/>
          </w:tcPr>
          <w:p w14:paraId="2B986836" w14:textId="77777777" w:rsidR="00E30D79" w:rsidRPr="00065563" w:rsidRDefault="00E30D79" w:rsidP="00C26C4B">
            <w:pPr>
              <w:rPr>
                <w:rFonts w:ascii="Calibri" w:hAnsi="Calibri" w:cs="Calibri"/>
                <w:color w:val="000000"/>
                <w:sz w:val="16"/>
                <w:szCs w:val="16"/>
              </w:rPr>
            </w:pPr>
            <w:r>
              <w:rPr>
                <w:rFonts w:ascii="Calibri" w:hAnsi="Calibri" w:cs="Calibri"/>
                <w:color w:val="000000"/>
                <w:sz w:val="16"/>
                <w:szCs w:val="16"/>
              </w:rPr>
              <w:t>1.00 (</w:t>
            </w:r>
            <w:proofErr w:type="spellStart"/>
            <w:r>
              <w:rPr>
                <w:rFonts w:ascii="Calibri" w:hAnsi="Calibri" w:cs="Calibri"/>
                <w:color w:val="000000"/>
                <w:sz w:val="16"/>
                <w:szCs w:val="16"/>
              </w:rPr>
              <w:t>reference</w:t>
            </w:r>
            <w:proofErr w:type="spellEnd"/>
            <w:r>
              <w:rPr>
                <w:rFonts w:ascii="Calibri" w:hAnsi="Calibri" w:cs="Calibri"/>
                <w:color w:val="000000"/>
                <w:sz w:val="16"/>
                <w:szCs w:val="16"/>
              </w:rPr>
              <w:t>)</w:t>
            </w:r>
          </w:p>
        </w:tc>
        <w:tc>
          <w:tcPr>
            <w:tcW w:w="1792" w:type="dxa"/>
            <w:tcBorders>
              <w:top w:val="nil"/>
              <w:left w:val="nil"/>
              <w:bottom w:val="nil"/>
              <w:right w:val="nil"/>
            </w:tcBorders>
            <w:shd w:val="clear" w:color="000000" w:fill="D9D9D9"/>
            <w:noWrap/>
            <w:vAlign w:val="bottom"/>
          </w:tcPr>
          <w:p w14:paraId="10E2BB8F"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1.42 (1.14-1.77; 0.002)</w:t>
            </w:r>
          </w:p>
        </w:tc>
        <w:tc>
          <w:tcPr>
            <w:tcW w:w="1794" w:type="dxa"/>
            <w:tcBorders>
              <w:top w:val="nil"/>
              <w:left w:val="nil"/>
              <w:bottom w:val="nil"/>
              <w:right w:val="nil"/>
            </w:tcBorders>
            <w:shd w:val="clear" w:color="000000" w:fill="D9D9D9"/>
            <w:noWrap/>
            <w:vAlign w:val="bottom"/>
          </w:tcPr>
          <w:p w14:paraId="65420B8D"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1.48 (1.12-1.95; 0.006)</w:t>
            </w:r>
          </w:p>
        </w:tc>
        <w:tc>
          <w:tcPr>
            <w:tcW w:w="1892" w:type="dxa"/>
            <w:tcBorders>
              <w:top w:val="nil"/>
              <w:left w:val="nil"/>
              <w:bottom w:val="nil"/>
              <w:right w:val="single" w:sz="4" w:space="0" w:color="auto"/>
            </w:tcBorders>
            <w:shd w:val="clear" w:color="000000" w:fill="D9D9D9"/>
            <w:noWrap/>
            <w:vAlign w:val="bottom"/>
          </w:tcPr>
          <w:p w14:paraId="31C21FAD"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1.1</w:t>
            </w:r>
            <w:r>
              <w:rPr>
                <w:rFonts w:ascii="Calibri" w:hAnsi="Calibri" w:cs="Calibri"/>
                <w:color w:val="000000"/>
                <w:sz w:val="16"/>
                <w:szCs w:val="16"/>
              </w:rPr>
              <w:t>0</w:t>
            </w:r>
            <w:r w:rsidRPr="0093460E">
              <w:rPr>
                <w:rFonts w:ascii="Calibri" w:hAnsi="Calibri" w:cs="Calibri"/>
                <w:color w:val="000000"/>
                <w:sz w:val="16"/>
                <w:szCs w:val="16"/>
              </w:rPr>
              <w:t xml:space="preserve"> (0.76-1.59; 0.62)</w:t>
            </w:r>
          </w:p>
        </w:tc>
      </w:tr>
      <w:tr w:rsidR="00E30D79" w:rsidRPr="00065563" w14:paraId="1A628F7D" w14:textId="77777777" w:rsidTr="00C26C4B">
        <w:trPr>
          <w:trHeight w:val="240"/>
        </w:trPr>
        <w:tc>
          <w:tcPr>
            <w:tcW w:w="1701" w:type="dxa"/>
            <w:tcBorders>
              <w:top w:val="nil"/>
              <w:left w:val="single" w:sz="4" w:space="0" w:color="auto"/>
              <w:bottom w:val="nil"/>
              <w:right w:val="single" w:sz="4" w:space="0" w:color="auto"/>
            </w:tcBorders>
            <w:shd w:val="clear" w:color="auto" w:fill="auto"/>
            <w:noWrap/>
            <w:vAlign w:val="bottom"/>
          </w:tcPr>
          <w:p w14:paraId="3CC3588D" w14:textId="77777777" w:rsidR="00E30D79" w:rsidRPr="00DE4DE1" w:rsidRDefault="00E30D79" w:rsidP="00C26C4B">
            <w:pPr>
              <w:rPr>
                <w:rFonts w:ascii="Calibri" w:eastAsia="Times New Roman" w:hAnsi="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93" w:type="dxa"/>
            <w:tcBorders>
              <w:top w:val="nil"/>
              <w:left w:val="nil"/>
              <w:bottom w:val="nil"/>
              <w:right w:val="nil"/>
            </w:tcBorders>
            <w:shd w:val="clear" w:color="auto" w:fill="auto"/>
            <w:noWrap/>
            <w:vAlign w:val="bottom"/>
          </w:tcPr>
          <w:p w14:paraId="2D28E3C7"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1.26 (0.97-1.63;0.08)</w:t>
            </w:r>
          </w:p>
        </w:tc>
        <w:tc>
          <w:tcPr>
            <w:tcW w:w="1792" w:type="dxa"/>
            <w:tcBorders>
              <w:top w:val="nil"/>
              <w:left w:val="nil"/>
              <w:bottom w:val="nil"/>
              <w:right w:val="nil"/>
            </w:tcBorders>
            <w:shd w:val="clear" w:color="auto" w:fill="auto"/>
            <w:noWrap/>
            <w:vAlign w:val="bottom"/>
          </w:tcPr>
          <w:p w14:paraId="14B718DF"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1.08 (0.88-1.33; 0.43)</w:t>
            </w:r>
          </w:p>
        </w:tc>
        <w:tc>
          <w:tcPr>
            <w:tcW w:w="1794" w:type="dxa"/>
            <w:tcBorders>
              <w:top w:val="nil"/>
              <w:left w:val="nil"/>
              <w:bottom w:val="nil"/>
              <w:right w:val="nil"/>
            </w:tcBorders>
            <w:shd w:val="clear" w:color="auto" w:fill="auto"/>
            <w:noWrap/>
            <w:vAlign w:val="bottom"/>
          </w:tcPr>
          <w:p w14:paraId="4F41D2BE"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0.94 (0.72-1.21; 0.64)</w:t>
            </w:r>
          </w:p>
        </w:tc>
        <w:tc>
          <w:tcPr>
            <w:tcW w:w="1892" w:type="dxa"/>
            <w:tcBorders>
              <w:top w:val="nil"/>
              <w:left w:val="nil"/>
              <w:bottom w:val="nil"/>
              <w:right w:val="single" w:sz="4" w:space="0" w:color="auto"/>
            </w:tcBorders>
            <w:shd w:val="clear" w:color="auto" w:fill="auto"/>
            <w:noWrap/>
            <w:vAlign w:val="bottom"/>
          </w:tcPr>
          <w:p w14:paraId="2B3E918D"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1.14 (0.83-1.57; 0.41)</w:t>
            </w:r>
          </w:p>
        </w:tc>
      </w:tr>
      <w:tr w:rsidR="00E30D79" w:rsidRPr="00065563" w14:paraId="45BF1F04" w14:textId="77777777" w:rsidTr="00C26C4B">
        <w:trPr>
          <w:trHeight w:val="240"/>
        </w:trPr>
        <w:tc>
          <w:tcPr>
            <w:tcW w:w="1701" w:type="dxa"/>
            <w:tcBorders>
              <w:top w:val="nil"/>
              <w:left w:val="single" w:sz="4" w:space="0" w:color="auto"/>
              <w:bottom w:val="nil"/>
              <w:right w:val="single" w:sz="4" w:space="0" w:color="auto"/>
            </w:tcBorders>
            <w:shd w:val="clear" w:color="auto" w:fill="D9D9D9" w:themeFill="background1" w:themeFillShade="D9"/>
            <w:noWrap/>
            <w:vAlign w:val="bottom"/>
          </w:tcPr>
          <w:p w14:paraId="522769E7" w14:textId="77777777" w:rsidR="00E30D79" w:rsidRPr="00DE4DE1" w:rsidRDefault="00E30D79" w:rsidP="00C26C4B">
            <w:pPr>
              <w:rPr>
                <w:rFonts w:ascii="Calibri" w:eastAsia="Times New Roman" w:hAnsi="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93" w:type="dxa"/>
            <w:tcBorders>
              <w:top w:val="nil"/>
              <w:left w:val="nil"/>
              <w:bottom w:val="nil"/>
              <w:right w:val="nil"/>
            </w:tcBorders>
            <w:shd w:val="clear" w:color="auto" w:fill="D9D9D9" w:themeFill="background1" w:themeFillShade="D9"/>
            <w:noWrap/>
            <w:vAlign w:val="bottom"/>
          </w:tcPr>
          <w:p w14:paraId="4D16A54C"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0.8</w:t>
            </w:r>
            <w:r>
              <w:rPr>
                <w:rFonts w:ascii="Calibri" w:hAnsi="Calibri" w:cs="Calibri"/>
                <w:color w:val="000000"/>
                <w:sz w:val="16"/>
                <w:szCs w:val="16"/>
              </w:rPr>
              <w:t>0</w:t>
            </w:r>
            <w:r w:rsidRPr="0093460E">
              <w:rPr>
                <w:rFonts w:ascii="Calibri" w:hAnsi="Calibri" w:cs="Calibri"/>
                <w:color w:val="000000"/>
                <w:sz w:val="16"/>
                <w:szCs w:val="16"/>
              </w:rPr>
              <w:t xml:space="preserve"> (0.57-1.11; 0.18)</w:t>
            </w:r>
          </w:p>
        </w:tc>
        <w:tc>
          <w:tcPr>
            <w:tcW w:w="1792" w:type="dxa"/>
            <w:tcBorders>
              <w:top w:val="nil"/>
              <w:left w:val="nil"/>
              <w:bottom w:val="nil"/>
              <w:right w:val="nil"/>
            </w:tcBorders>
            <w:shd w:val="clear" w:color="000000" w:fill="D9D9D9"/>
            <w:noWrap/>
            <w:vAlign w:val="bottom"/>
          </w:tcPr>
          <w:p w14:paraId="78D04167"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0.75 (0.59-0.95; 0.02)</w:t>
            </w:r>
          </w:p>
        </w:tc>
        <w:tc>
          <w:tcPr>
            <w:tcW w:w="1794" w:type="dxa"/>
            <w:tcBorders>
              <w:top w:val="nil"/>
              <w:left w:val="nil"/>
              <w:bottom w:val="nil"/>
              <w:right w:val="nil"/>
            </w:tcBorders>
            <w:shd w:val="clear" w:color="000000" w:fill="D9D9D9"/>
            <w:noWrap/>
            <w:vAlign w:val="bottom"/>
          </w:tcPr>
          <w:p w14:paraId="686A02BA"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0.93 (0.76-1.14; 0.50)</w:t>
            </w:r>
          </w:p>
        </w:tc>
        <w:tc>
          <w:tcPr>
            <w:tcW w:w="1892" w:type="dxa"/>
            <w:tcBorders>
              <w:top w:val="nil"/>
              <w:left w:val="nil"/>
              <w:bottom w:val="nil"/>
              <w:right w:val="single" w:sz="4" w:space="0" w:color="auto"/>
            </w:tcBorders>
            <w:shd w:val="clear" w:color="000000" w:fill="D9D9D9"/>
            <w:noWrap/>
            <w:vAlign w:val="bottom"/>
          </w:tcPr>
          <w:p w14:paraId="45F79294"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1.14 (0.92-1.41; 0.22)</w:t>
            </w:r>
          </w:p>
        </w:tc>
      </w:tr>
      <w:tr w:rsidR="00E30D79" w:rsidRPr="00065563" w14:paraId="611975EB" w14:textId="77777777" w:rsidTr="00C26C4B">
        <w:trPr>
          <w:trHeight w:val="24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015C1D5" w14:textId="77777777" w:rsidR="00E30D79" w:rsidRPr="00DE4DE1" w:rsidRDefault="00E30D79" w:rsidP="00C26C4B">
            <w:pPr>
              <w:rPr>
                <w:rFonts w:ascii="Calibri" w:eastAsia="Times New Roman" w:hAnsi="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93" w:type="dxa"/>
            <w:tcBorders>
              <w:top w:val="nil"/>
              <w:left w:val="nil"/>
              <w:bottom w:val="single" w:sz="4" w:space="0" w:color="auto"/>
              <w:right w:val="nil"/>
            </w:tcBorders>
            <w:shd w:val="clear" w:color="auto" w:fill="auto"/>
            <w:noWrap/>
            <w:vAlign w:val="bottom"/>
          </w:tcPr>
          <w:p w14:paraId="6DB9D900"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0.71 (0.46-1.09; 0.12)</w:t>
            </w:r>
          </w:p>
        </w:tc>
        <w:tc>
          <w:tcPr>
            <w:tcW w:w="1792" w:type="dxa"/>
            <w:tcBorders>
              <w:top w:val="nil"/>
              <w:left w:val="nil"/>
              <w:bottom w:val="single" w:sz="4" w:space="0" w:color="auto"/>
              <w:right w:val="nil"/>
            </w:tcBorders>
            <w:shd w:val="clear" w:color="auto" w:fill="auto"/>
            <w:noWrap/>
            <w:vAlign w:val="bottom"/>
          </w:tcPr>
          <w:p w14:paraId="0DC6BFED"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0.81 (0.62-1.05; 0.12)</w:t>
            </w:r>
          </w:p>
        </w:tc>
        <w:tc>
          <w:tcPr>
            <w:tcW w:w="1794" w:type="dxa"/>
            <w:tcBorders>
              <w:top w:val="nil"/>
              <w:left w:val="nil"/>
              <w:bottom w:val="single" w:sz="4" w:space="0" w:color="auto"/>
              <w:right w:val="nil"/>
            </w:tcBorders>
            <w:shd w:val="clear" w:color="auto" w:fill="auto"/>
            <w:noWrap/>
            <w:vAlign w:val="bottom"/>
          </w:tcPr>
          <w:p w14:paraId="1CBDA25E"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1.14 (0.93-1.4</w:t>
            </w:r>
            <w:r>
              <w:rPr>
                <w:rFonts w:ascii="Calibri" w:hAnsi="Calibri" w:cs="Calibri"/>
                <w:color w:val="000000"/>
                <w:sz w:val="16"/>
                <w:szCs w:val="16"/>
              </w:rPr>
              <w:t>0</w:t>
            </w:r>
            <w:r w:rsidRPr="0093460E">
              <w:rPr>
                <w:rFonts w:ascii="Calibri" w:hAnsi="Calibri" w:cs="Calibri"/>
                <w:color w:val="000000"/>
                <w:sz w:val="16"/>
                <w:szCs w:val="16"/>
              </w:rPr>
              <w:t>; 0.20)</w:t>
            </w:r>
          </w:p>
        </w:tc>
        <w:tc>
          <w:tcPr>
            <w:tcW w:w="1892" w:type="dxa"/>
            <w:tcBorders>
              <w:top w:val="nil"/>
              <w:left w:val="nil"/>
              <w:bottom w:val="single" w:sz="4" w:space="0" w:color="auto"/>
              <w:right w:val="single" w:sz="4" w:space="0" w:color="auto"/>
            </w:tcBorders>
            <w:shd w:val="clear" w:color="auto" w:fill="auto"/>
            <w:noWrap/>
            <w:vAlign w:val="bottom"/>
          </w:tcPr>
          <w:p w14:paraId="320ABDA0" w14:textId="77777777" w:rsidR="00E30D79" w:rsidRPr="00065563" w:rsidRDefault="00E30D79" w:rsidP="00C26C4B">
            <w:pPr>
              <w:rPr>
                <w:rFonts w:ascii="Calibri" w:hAnsi="Calibri" w:cs="Calibri"/>
                <w:color w:val="000000"/>
                <w:sz w:val="16"/>
                <w:szCs w:val="16"/>
              </w:rPr>
            </w:pPr>
            <w:r w:rsidRPr="0093460E">
              <w:rPr>
                <w:rFonts w:ascii="Calibri" w:hAnsi="Calibri" w:cs="Calibri"/>
                <w:color w:val="000000"/>
                <w:sz w:val="16"/>
                <w:szCs w:val="16"/>
              </w:rPr>
              <w:t>0.85 (0.68-1.06; 0.17)</w:t>
            </w:r>
          </w:p>
        </w:tc>
      </w:tr>
    </w:tbl>
    <w:p w14:paraId="28CDAD90" w14:textId="77777777" w:rsidR="00E30D79" w:rsidRDefault="00E30D79" w:rsidP="00E30D79">
      <w:pPr>
        <w:rPr>
          <w:b/>
          <w:bCs/>
          <w:lang w:val="en-US"/>
        </w:rPr>
      </w:pPr>
    </w:p>
    <w:p w14:paraId="75882415" w14:textId="77777777" w:rsidR="00E30D79" w:rsidRDefault="00E30D79" w:rsidP="00E30D79">
      <w:pPr>
        <w:rPr>
          <w:b/>
          <w:bCs/>
          <w:lang w:val="en-US"/>
        </w:rPr>
      </w:pPr>
    </w:p>
    <w:p w14:paraId="02DD315E" w14:textId="77777777" w:rsidR="00E30D79" w:rsidRDefault="00E30D79" w:rsidP="00E30D79">
      <w:pPr>
        <w:rPr>
          <w:b/>
          <w:bCs/>
          <w:lang w:val="en-US"/>
        </w:rPr>
      </w:pPr>
    </w:p>
    <w:p w14:paraId="7ABBA0D0" w14:textId="77777777" w:rsidR="00E30D79" w:rsidRDefault="00E30D79" w:rsidP="00E30D79">
      <w:pPr>
        <w:rPr>
          <w:b/>
          <w:bCs/>
          <w:lang w:val="en-US"/>
        </w:rPr>
      </w:pPr>
    </w:p>
    <w:p w14:paraId="0B153837" w14:textId="77777777" w:rsidR="00E30D79" w:rsidRDefault="00E30D79" w:rsidP="00E30D79">
      <w:pPr>
        <w:rPr>
          <w:b/>
          <w:bCs/>
          <w:lang w:val="en-US"/>
        </w:rPr>
      </w:pPr>
      <w:r>
        <w:rPr>
          <w:b/>
          <w:bCs/>
          <w:lang w:val="en-US"/>
        </w:rPr>
        <w:br w:type="page"/>
      </w:r>
    </w:p>
    <w:p w14:paraId="481A48B5" w14:textId="77777777" w:rsidR="00E30D79" w:rsidRDefault="00E30D79" w:rsidP="00E30D79">
      <w:pPr>
        <w:rPr>
          <w:b/>
          <w:bCs/>
          <w:lang w:val="en-US"/>
        </w:rPr>
      </w:pPr>
      <w:r>
        <w:rPr>
          <w:b/>
          <w:bCs/>
          <w:lang w:val="en-US"/>
        </w:rPr>
        <w:lastRenderedPageBreak/>
        <w:t>Table S1: Variables used in inverse probability weighting</w:t>
      </w:r>
    </w:p>
    <w:tbl>
      <w:tblPr>
        <w:tblW w:w="7211" w:type="dxa"/>
        <w:tblCellMar>
          <w:left w:w="70" w:type="dxa"/>
          <w:right w:w="70" w:type="dxa"/>
        </w:tblCellMar>
        <w:tblLook w:val="04A0" w:firstRow="1" w:lastRow="0" w:firstColumn="1" w:lastColumn="0" w:noHBand="0" w:noVBand="1"/>
      </w:tblPr>
      <w:tblGrid>
        <w:gridCol w:w="3397"/>
        <w:gridCol w:w="1418"/>
        <w:gridCol w:w="2396"/>
      </w:tblGrid>
      <w:tr w:rsidR="00E30D79" w:rsidRPr="00ED6D24" w14:paraId="302FF087" w14:textId="77777777" w:rsidTr="00C26C4B">
        <w:trPr>
          <w:trHeight w:val="200"/>
        </w:trPr>
        <w:tc>
          <w:tcPr>
            <w:tcW w:w="3397" w:type="dxa"/>
            <w:tcBorders>
              <w:top w:val="single" w:sz="4" w:space="0" w:color="auto"/>
              <w:left w:val="single" w:sz="4" w:space="0" w:color="auto"/>
              <w:bottom w:val="single" w:sz="4" w:space="0" w:color="000000"/>
              <w:right w:val="nil"/>
            </w:tcBorders>
            <w:shd w:val="clear" w:color="auto" w:fill="auto"/>
            <w:noWrap/>
            <w:vAlign w:val="bottom"/>
            <w:hideMark/>
          </w:tcPr>
          <w:p w14:paraId="33642078" w14:textId="77777777" w:rsidR="00E30D79" w:rsidRPr="00ED6D24" w:rsidRDefault="00E30D79" w:rsidP="00C26C4B">
            <w:pPr>
              <w:rPr>
                <w:rFonts w:ascii="Calibri" w:eastAsia="Times New Roman" w:hAnsi="Calibri"/>
                <w:b/>
                <w:bCs/>
                <w:color w:val="0D0D0D"/>
                <w:sz w:val="22"/>
                <w:szCs w:val="22"/>
              </w:rPr>
            </w:pPr>
            <w:proofErr w:type="spellStart"/>
            <w:r w:rsidRPr="00ED6D24">
              <w:rPr>
                <w:rFonts w:ascii="Calibri" w:eastAsia="Times New Roman" w:hAnsi="Calibri"/>
                <w:b/>
                <w:bCs/>
                <w:color w:val="0D0D0D"/>
                <w:sz w:val="22"/>
                <w:szCs w:val="22"/>
              </w:rPr>
              <w:t>Variable</w:t>
            </w:r>
            <w:proofErr w:type="spellEnd"/>
            <w:r w:rsidRPr="00ED6D24">
              <w:rPr>
                <w:rFonts w:ascii="Calibri" w:eastAsia="Times New Roman" w:hAnsi="Calibri"/>
                <w:b/>
                <w:bCs/>
                <w:color w:val="0D0D0D"/>
                <w:sz w:val="22"/>
                <w:szCs w:val="22"/>
              </w:rPr>
              <w:t xml:space="preserve"> </w:t>
            </w:r>
          </w:p>
        </w:tc>
        <w:tc>
          <w:tcPr>
            <w:tcW w:w="1418" w:type="dxa"/>
            <w:tcBorders>
              <w:top w:val="single" w:sz="4" w:space="0" w:color="auto"/>
              <w:left w:val="nil"/>
              <w:bottom w:val="single" w:sz="4" w:space="0" w:color="000000"/>
              <w:right w:val="nil"/>
            </w:tcBorders>
            <w:shd w:val="clear" w:color="auto" w:fill="auto"/>
            <w:noWrap/>
            <w:vAlign w:val="bottom"/>
            <w:hideMark/>
          </w:tcPr>
          <w:p w14:paraId="233E77D5" w14:textId="77777777" w:rsidR="00E30D79" w:rsidRPr="00ED6D24" w:rsidRDefault="00E30D79" w:rsidP="00C26C4B">
            <w:pPr>
              <w:ind w:left="69" w:hanging="69"/>
              <w:rPr>
                <w:rFonts w:ascii="Calibri" w:eastAsia="Times New Roman" w:hAnsi="Calibri"/>
                <w:b/>
                <w:bCs/>
                <w:color w:val="0D0D0D"/>
                <w:sz w:val="22"/>
                <w:szCs w:val="22"/>
              </w:rPr>
            </w:pPr>
            <w:r w:rsidRPr="00ED6D24">
              <w:rPr>
                <w:rFonts w:ascii="Calibri" w:eastAsia="Times New Roman" w:hAnsi="Calibri"/>
                <w:b/>
                <w:bCs/>
                <w:color w:val="0D0D0D"/>
                <w:sz w:val="22"/>
                <w:szCs w:val="22"/>
              </w:rPr>
              <w:t>Summary</w:t>
            </w:r>
          </w:p>
        </w:tc>
        <w:tc>
          <w:tcPr>
            <w:tcW w:w="2396" w:type="dxa"/>
            <w:tcBorders>
              <w:top w:val="single" w:sz="4" w:space="0" w:color="auto"/>
              <w:left w:val="nil"/>
              <w:bottom w:val="single" w:sz="4" w:space="0" w:color="000000"/>
              <w:right w:val="single" w:sz="4" w:space="0" w:color="auto"/>
            </w:tcBorders>
            <w:shd w:val="clear" w:color="auto" w:fill="auto"/>
            <w:noWrap/>
            <w:vAlign w:val="bottom"/>
            <w:hideMark/>
          </w:tcPr>
          <w:p w14:paraId="2E87F0DC" w14:textId="77777777" w:rsidR="00E30D79" w:rsidRPr="00ED6D24" w:rsidRDefault="00E30D79" w:rsidP="00C26C4B">
            <w:pPr>
              <w:rPr>
                <w:rFonts w:ascii="Calibri" w:eastAsia="Times New Roman" w:hAnsi="Calibri"/>
                <w:b/>
                <w:bCs/>
                <w:color w:val="0D0D0D"/>
                <w:sz w:val="22"/>
                <w:szCs w:val="22"/>
              </w:rPr>
            </w:pPr>
            <w:r w:rsidRPr="00ED6D24">
              <w:rPr>
                <w:rFonts w:ascii="Calibri" w:eastAsia="Times New Roman" w:hAnsi="Calibri"/>
                <w:b/>
                <w:bCs/>
                <w:color w:val="0D0D0D"/>
                <w:sz w:val="22"/>
                <w:szCs w:val="22"/>
              </w:rPr>
              <w:t>Percentage missing</w:t>
            </w:r>
          </w:p>
        </w:tc>
      </w:tr>
      <w:tr w:rsidR="00E30D79" w:rsidRPr="00ED6D24" w14:paraId="3599B507"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3A2B454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w:t>
            </w:r>
          </w:p>
        </w:tc>
        <w:tc>
          <w:tcPr>
            <w:tcW w:w="1418" w:type="dxa"/>
            <w:tcBorders>
              <w:top w:val="nil"/>
              <w:left w:val="nil"/>
              <w:bottom w:val="nil"/>
              <w:right w:val="nil"/>
            </w:tcBorders>
            <w:shd w:val="clear" w:color="D9D9D9" w:fill="D9D9D9"/>
            <w:noWrap/>
            <w:vAlign w:val="bottom"/>
            <w:hideMark/>
          </w:tcPr>
          <w:p w14:paraId="290CC321"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6787</w:t>
            </w:r>
          </w:p>
        </w:tc>
        <w:tc>
          <w:tcPr>
            <w:tcW w:w="2396" w:type="dxa"/>
            <w:tcBorders>
              <w:top w:val="nil"/>
              <w:left w:val="nil"/>
              <w:bottom w:val="nil"/>
              <w:right w:val="single" w:sz="4" w:space="0" w:color="auto"/>
            </w:tcBorders>
            <w:shd w:val="clear" w:color="D9D9D9" w:fill="D9D9D9"/>
            <w:noWrap/>
            <w:vAlign w:val="bottom"/>
            <w:hideMark/>
          </w:tcPr>
          <w:p w14:paraId="69A68DC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11 %</w:t>
            </w:r>
          </w:p>
        </w:tc>
      </w:tr>
      <w:tr w:rsidR="00E30D79" w:rsidRPr="00ED6D24" w14:paraId="140CF290"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4C2AE0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ASIAN-HF</w:t>
            </w:r>
          </w:p>
        </w:tc>
        <w:tc>
          <w:tcPr>
            <w:tcW w:w="1418" w:type="dxa"/>
            <w:tcBorders>
              <w:top w:val="nil"/>
              <w:left w:val="nil"/>
              <w:bottom w:val="nil"/>
              <w:right w:val="nil"/>
            </w:tcBorders>
            <w:shd w:val="clear" w:color="auto" w:fill="auto"/>
            <w:noWrap/>
            <w:vAlign w:val="bottom"/>
            <w:hideMark/>
          </w:tcPr>
          <w:p w14:paraId="1B9C00C4"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4687 (69.1%)</w:t>
            </w:r>
          </w:p>
        </w:tc>
        <w:tc>
          <w:tcPr>
            <w:tcW w:w="2396" w:type="dxa"/>
            <w:tcBorders>
              <w:top w:val="nil"/>
              <w:left w:val="nil"/>
              <w:bottom w:val="nil"/>
              <w:right w:val="single" w:sz="4" w:space="0" w:color="auto"/>
            </w:tcBorders>
            <w:shd w:val="clear" w:color="auto" w:fill="auto"/>
            <w:noWrap/>
            <w:vAlign w:val="bottom"/>
            <w:hideMark/>
          </w:tcPr>
          <w:p w14:paraId="4AD6231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2B02449A"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FC2438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East </w:t>
            </w:r>
            <w:proofErr w:type="spellStart"/>
            <w:r w:rsidRPr="00ED6D24">
              <w:rPr>
                <w:rFonts w:ascii="Calibri" w:eastAsia="Times New Roman" w:hAnsi="Calibri"/>
                <w:color w:val="000000"/>
                <w:sz w:val="16"/>
                <w:szCs w:val="16"/>
              </w:rPr>
              <w:t>Asia</w:t>
            </w:r>
            <w:proofErr w:type="spellEnd"/>
          </w:p>
        </w:tc>
        <w:tc>
          <w:tcPr>
            <w:tcW w:w="1418" w:type="dxa"/>
            <w:tcBorders>
              <w:top w:val="nil"/>
              <w:left w:val="nil"/>
              <w:bottom w:val="nil"/>
              <w:right w:val="nil"/>
            </w:tcBorders>
            <w:shd w:val="clear" w:color="D9D9D9" w:fill="D9D9D9"/>
            <w:noWrap/>
            <w:vAlign w:val="bottom"/>
            <w:hideMark/>
          </w:tcPr>
          <w:p w14:paraId="6AA6256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1544 (22.7%)</w:t>
            </w:r>
          </w:p>
        </w:tc>
        <w:tc>
          <w:tcPr>
            <w:tcW w:w="2396" w:type="dxa"/>
            <w:tcBorders>
              <w:top w:val="nil"/>
              <w:left w:val="nil"/>
              <w:bottom w:val="nil"/>
              <w:right w:val="single" w:sz="4" w:space="0" w:color="auto"/>
            </w:tcBorders>
            <w:shd w:val="clear" w:color="D9D9D9" w:fill="D9D9D9"/>
            <w:noWrap/>
            <w:vAlign w:val="bottom"/>
            <w:hideMark/>
          </w:tcPr>
          <w:p w14:paraId="02F5CE9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4D2FAC42"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110E9D1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South </w:t>
            </w:r>
            <w:proofErr w:type="spellStart"/>
            <w:r w:rsidRPr="00ED6D24">
              <w:rPr>
                <w:rFonts w:ascii="Calibri" w:eastAsia="Times New Roman" w:hAnsi="Calibri"/>
                <w:color w:val="000000"/>
                <w:sz w:val="16"/>
                <w:szCs w:val="16"/>
              </w:rPr>
              <w:t>Asia</w:t>
            </w:r>
            <w:proofErr w:type="spellEnd"/>
          </w:p>
        </w:tc>
        <w:tc>
          <w:tcPr>
            <w:tcW w:w="1418" w:type="dxa"/>
            <w:tcBorders>
              <w:top w:val="nil"/>
              <w:left w:val="nil"/>
              <w:bottom w:val="nil"/>
              <w:right w:val="nil"/>
            </w:tcBorders>
            <w:shd w:val="clear" w:color="auto" w:fill="auto"/>
            <w:noWrap/>
            <w:vAlign w:val="bottom"/>
            <w:hideMark/>
          </w:tcPr>
          <w:p w14:paraId="78AC6CD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1314 (19.4%)</w:t>
            </w:r>
          </w:p>
        </w:tc>
        <w:tc>
          <w:tcPr>
            <w:tcW w:w="2396" w:type="dxa"/>
            <w:tcBorders>
              <w:top w:val="nil"/>
              <w:left w:val="nil"/>
              <w:bottom w:val="nil"/>
              <w:right w:val="single" w:sz="4" w:space="0" w:color="auto"/>
            </w:tcBorders>
            <w:shd w:val="clear" w:color="auto" w:fill="auto"/>
            <w:noWrap/>
            <w:vAlign w:val="bottom"/>
            <w:hideMark/>
          </w:tcPr>
          <w:p w14:paraId="09D861E1" w14:textId="77777777" w:rsidR="00E30D79" w:rsidRPr="00ED6D24" w:rsidRDefault="00E30D79" w:rsidP="00C26C4B">
            <w:pPr>
              <w:rPr>
                <w:rFonts w:ascii="Calibri" w:eastAsia="Times New Roman" w:hAnsi="Calibri"/>
                <w:color w:val="000000"/>
                <w:sz w:val="16"/>
                <w:szCs w:val="16"/>
              </w:rPr>
            </w:pPr>
          </w:p>
        </w:tc>
      </w:tr>
      <w:tr w:rsidR="00E30D79" w:rsidRPr="00ED6D24" w14:paraId="013832AE"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38F050A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South-East </w:t>
            </w:r>
            <w:proofErr w:type="spellStart"/>
            <w:r w:rsidRPr="00ED6D24">
              <w:rPr>
                <w:rFonts w:ascii="Calibri" w:eastAsia="Times New Roman" w:hAnsi="Calibri"/>
                <w:color w:val="000000"/>
                <w:sz w:val="16"/>
                <w:szCs w:val="16"/>
              </w:rPr>
              <w:t>Asia</w:t>
            </w:r>
            <w:proofErr w:type="spellEnd"/>
          </w:p>
        </w:tc>
        <w:tc>
          <w:tcPr>
            <w:tcW w:w="1418" w:type="dxa"/>
            <w:tcBorders>
              <w:top w:val="nil"/>
              <w:left w:val="nil"/>
              <w:bottom w:val="nil"/>
              <w:right w:val="nil"/>
            </w:tcBorders>
            <w:shd w:val="clear" w:color="D9D9D9" w:fill="D9D9D9"/>
            <w:noWrap/>
            <w:vAlign w:val="bottom"/>
            <w:hideMark/>
          </w:tcPr>
          <w:p w14:paraId="76539126"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1829 (26.9%)</w:t>
            </w:r>
          </w:p>
        </w:tc>
        <w:tc>
          <w:tcPr>
            <w:tcW w:w="2396" w:type="dxa"/>
            <w:tcBorders>
              <w:top w:val="nil"/>
              <w:left w:val="nil"/>
              <w:bottom w:val="nil"/>
              <w:right w:val="single" w:sz="4" w:space="0" w:color="auto"/>
            </w:tcBorders>
            <w:shd w:val="clear" w:color="D9D9D9" w:fill="D9D9D9"/>
            <w:noWrap/>
            <w:vAlign w:val="bottom"/>
            <w:hideMark/>
          </w:tcPr>
          <w:p w14:paraId="7EF4679F" w14:textId="77777777" w:rsidR="00E30D79" w:rsidRPr="00ED6D24" w:rsidRDefault="00E30D79" w:rsidP="00C26C4B">
            <w:pPr>
              <w:rPr>
                <w:rFonts w:ascii="Calibri" w:eastAsia="Times New Roman" w:hAnsi="Calibri"/>
                <w:color w:val="000000"/>
                <w:sz w:val="16"/>
                <w:szCs w:val="16"/>
              </w:rPr>
            </w:pPr>
          </w:p>
        </w:tc>
      </w:tr>
      <w:tr w:rsidR="00E30D79" w:rsidRPr="00ED6D24" w14:paraId="08EF3B68"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3FCF0A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North EU</w:t>
            </w:r>
          </w:p>
        </w:tc>
        <w:tc>
          <w:tcPr>
            <w:tcW w:w="1418" w:type="dxa"/>
            <w:tcBorders>
              <w:top w:val="nil"/>
              <w:left w:val="nil"/>
              <w:bottom w:val="nil"/>
              <w:right w:val="nil"/>
            </w:tcBorders>
            <w:shd w:val="clear" w:color="auto" w:fill="auto"/>
            <w:noWrap/>
            <w:vAlign w:val="bottom"/>
            <w:hideMark/>
          </w:tcPr>
          <w:p w14:paraId="79AA619B"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950 (14%)</w:t>
            </w:r>
          </w:p>
        </w:tc>
        <w:tc>
          <w:tcPr>
            <w:tcW w:w="2396" w:type="dxa"/>
            <w:tcBorders>
              <w:top w:val="nil"/>
              <w:left w:val="nil"/>
              <w:bottom w:val="nil"/>
              <w:right w:val="single" w:sz="4" w:space="0" w:color="auto"/>
            </w:tcBorders>
            <w:shd w:val="clear" w:color="auto" w:fill="auto"/>
            <w:noWrap/>
            <w:vAlign w:val="bottom"/>
            <w:hideMark/>
          </w:tcPr>
          <w:p w14:paraId="186F8287" w14:textId="77777777" w:rsidR="00E30D79" w:rsidRPr="00ED6D24" w:rsidRDefault="00E30D79" w:rsidP="00C26C4B">
            <w:pPr>
              <w:rPr>
                <w:rFonts w:ascii="Calibri" w:eastAsia="Times New Roman" w:hAnsi="Calibri"/>
                <w:color w:val="000000"/>
                <w:sz w:val="16"/>
                <w:szCs w:val="16"/>
              </w:rPr>
            </w:pPr>
          </w:p>
        </w:tc>
      </w:tr>
      <w:tr w:rsidR="00E30D79" w:rsidRPr="00ED6D24" w14:paraId="7655E744"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5CC6A76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South EU</w:t>
            </w:r>
          </w:p>
        </w:tc>
        <w:tc>
          <w:tcPr>
            <w:tcW w:w="1418" w:type="dxa"/>
            <w:tcBorders>
              <w:top w:val="nil"/>
              <w:left w:val="nil"/>
              <w:bottom w:val="nil"/>
              <w:right w:val="nil"/>
            </w:tcBorders>
            <w:shd w:val="clear" w:color="D9D9D9" w:fill="D9D9D9"/>
            <w:noWrap/>
            <w:vAlign w:val="bottom"/>
            <w:hideMark/>
          </w:tcPr>
          <w:p w14:paraId="4C10CAB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1150 (16.9%)</w:t>
            </w:r>
          </w:p>
        </w:tc>
        <w:tc>
          <w:tcPr>
            <w:tcW w:w="2396" w:type="dxa"/>
            <w:tcBorders>
              <w:top w:val="nil"/>
              <w:left w:val="nil"/>
              <w:bottom w:val="nil"/>
              <w:right w:val="single" w:sz="4" w:space="0" w:color="auto"/>
            </w:tcBorders>
            <w:shd w:val="clear" w:color="D9D9D9" w:fill="D9D9D9"/>
            <w:noWrap/>
            <w:vAlign w:val="bottom"/>
            <w:hideMark/>
          </w:tcPr>
          <w:p w14:paraId="3B3EE14C" w14:textId="77777777" w:rsidR="00E30D79" w:rsidRPr="00ED6D24" w:rsidRDefault="00E30D79" w:rsidP="00C26C4B">
            <w:pPr>
              <w:rPr>
                <w:rFonts w:ascii="Calibri" w:eastAsia="Times New Roman" w:hAnsi="Calibri"/>
                <w:color w:val="000000"/>
                <w:sz w:val="16"/>
                <w:szCs w:val="16"/>
              </w:rPr>
            </w:pPr>
          </w:p>
        </w:tc>
      </w:tr>
      <w:tr w:rsidR="00E30D79" w:rsidRPr="00ED6D24" w14:paraId="5FDF80E7"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5896008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(China)</w:t>
            </w:r>
          </w:p>
        </w:tc>
        <w:tc>
          <w:tcPr>
            <w:tcW w:w="1418" w:type="dxa"/>
            <w:tcBorders>
              <w:top w:val="nil"/>
              <w:left w:val="nil"/>
              <w:bottom w:val="nil"/>
              <w:right w:val="nil"/>
            </w:tcBorders>
            <w:shd w:val="clear" w:color="auto" w:fill="auto"/>
            <w:noWrap/>
            <w:vAlign w:val="bottom"/>
            <w:hideMark/>
          </w:tcPr>
          <w:p w14:paraId="0DA0344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440 (6.5%)</w:t>
            </w:r>
          </w:p>
        </w:tc>
        <w:tc>
          <w:tcPr>
            <w:tcW w:w="2396" w:type="dxa"/>
            <w:tcBorders>
              <w:top w:val="nil"/>
              <w:left w:val="nil"/>
              <w:bottom w:val="nil"/>
              <w:right w:val="single" w:sz="4" w:space="0" w:color="auto"/>
            </w:tcBorders>
            <w:shd w:val="clear" w:color="auto" w:fill="auto"/>
            <w:noWrap/>
            <w:vAlign w:val="bottom"/>
            <w:hideMark/>
          </w:tcPr>
          <w:p w14:paraId="560383A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7DAD02CF"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1C60FDD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(Hong Kong)</w:t>
            </w:r>
          </w:p>
        </w:tc>
        <w:tc>
          <w:tcPr>
            <w:tcW w:w="1418" w:type="dxa"/>
            <w:tcBorders>
              <w:top w:val="nil"/>
              <w:left w:val="nil"/>
              <w:bottom w:val="nil"/>
              <w:right w:val="nil"/>
            </w:tcBorders>
            <w:shd w:val="clear" w:color="D9D9D9" w:fill="D9D9D9"/>
            <w:noWrap/>
            <w:vAlign w:val="bottom"/>
            <w:hideMark/>
          </w:tcPr>
          <w:p w14:paraId="4FF674AC"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50 (0.7%)</w:t>
            </w:r>
          </w:p>
        </w:tc>
        <w:tc>
          <w:tcPr>
            <w:tcW w:w="2396" w:type="dxa"/>
            <w:tcBorders>
              <w:top w:val="nil"/>
              <w:left w:val="nil"/>
              <w:bottom w:val="nil"/>
              <w:right w:val="single" w:sz="4" w:space="0" w:color="auto"/>
            </w:tcBorders>
            <w:shd w:val="clear" w:color="D9D9D9" w:fill="D9D9D9"/>
            <w:noWrap/>
            <w:vAlign w:val="bottom"/>
            <w:hideMark/>
          </w:tcPr>
          <w:p w14:paraId="3CE6CF57" w14:textId="77777777" w:rsidR="00E30D79" w:rsidRPr="00ED6D24" w:rsidRDefault="00E30D79" w:rsidP="00C26C4B">
            <w:pPr>
              <w:rPr>
                <w:rFonts w:ascii="Calibri" w:eastAsia="Times New Roman" w:hAnsi="Calibri"/>
                <w:color w:val="000000"/>
                <w:sz w:val="16"/>
                <w:szCs w:val="16"/>
              </w:rPr>
            </w:pPr>
          </w:p>
        </w:tc>
      </w:tr>
      <w:tr w:rsidR="00E30D79" w:rsidRPr="00ED6D24" w14:paraId="4D51F4F6"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151C6F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(India)</w:t>
            </w:r>
          </w:p>
        </w:tc>
        <w:tc>
          <w:tcPr>
            <w:tcW w:w="1418" w:type="dxa"/>
            <w:tcBorders>
              <w:top w:val="nil"/>
              <w:left w:val="nil"/>
              <w:bottom w:val="nil"/>
              <w:right w:val="nil"/>
            </w:tcBorders>
            <w:shd w:val="clear" w:color="auto" w:fill="auto"/>
            <w:noWrap/>
            <w:vAlign w:val="bottom"/>
            <w:hideMark/>
          </w:tcPr>
          <w:p w14:paraId="694AF70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1314 (19.4%)</w:t>
            </w:r>
          </w:p>
        </w:tc>
        <w:tc>
          <w:tcPr>
            <w:tcW w:w="2396" w:type="dxa"/>
            <w:tcBorders>
              <w:top w:val="nil"/>
              <w:left w:val="nil"/>
              <w:bottom w:val="nil"/>
              <w:right w:val="single" w:sz="4" w:space="0" w:color="auto"/>
            </w:tcBorders>
            <w:shd w:val="clear" w:color="auto" w:fill="auto"/>
            <w:noWrap/>
            <w:vAlign w:val="bottom"/>
            <w:hideMark/>
          </w:tcPr>
          <w:p w14:paraId="7BF3A6C6" w14:textId="77777777" w:rsidR="00E30D79" w:rsidRPr="00ED6D24" w:rsidRDefault="00E30D79" w:rsidP="00C26C4B">
            <w:pPr>
              <w:rPr>
                <w:rFonts w:ascii="Calibri" w:eastAsia="Times New Roman" w:hAnsi="Calibri"/>
                <w:color w:val="000000"/>
                <w:sz w:val="16"/>
                <w:szCs w:val="16"/>
              </w:rPr>
            </w:pPr>
          </w:p>
        </w:tc>
      </w:tr>
      <w:tr w:rsidR="00E30D79" w:rsidRPr="00ED6D24" w14:paraId="7E63C666"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5C2F651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(Indonesia)</w:t>
            </w:r>
          </w:p>
        </w:tc>
        <w:tc>
          <w:tcPr>
            <w:tcW w:w="1418" w:type="dxa"/>
            <w:tcBorders>
              <w:top w:val="nil"/>
              <w:left w:val="nil"/>
              <w:bottom w:val="nil"/>
              <w:right w:val="nil"/>
            </w:tcBorders>
            <w:shd w:val="clear" w:color="D9D9D9" w:fill="D9D9D9"/>
            <w:noWrap/>
            <w:vAlign w:val="bottom"/>
            <w:hideMark/>
          </w:tcPr>
          <w:p w14:paraId="214640DB"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158 (2.3%)</w:t>
            </w:r>
          </w:p>
        </w:tc>
        <w:tc>
          <w:tcPr>
            <w:tcW w:w="2396" w:type="dxa"/>
            <w:tcBorders>
              <w:top w:val="nil"/>
              <w:left w:val="nil"/>
              <w:bottom w:val="nil"/>
              <w:right w:val="single" w:sz="4" w:space="0" w:color="auto"/>
            </w:tcBorders>
            <w:shd w:val="clear" w:color="D9D9D9" w:fill="D9D9D9"/>
            <w:noWrap/>
            <w:vAlign w:val="bottom"/>
            <w:hideMark/>
          </w:tcPr>
          <w:p w14:paraId="1F32E40F" w14:textId="77777777" w:rsidR="00E30D79" w:rsidRPr="00ED6D24" w:rsidRDefault="00E30D79" w:rsidP="00C26C4B">
            <w:pPr>
              <w:rPr>
                <w:rFonts w:ascii="Calibri" w:eastAsia="Times New Roman" w:hAnsi="Calibri"/>
                <w:color w:val="000000"/>
                <w:sz w:val="16"/>
                <w:szCs w:val="16"/>
              </w:rPr>
            </w:pPr>
          </w:p>
        </w:tc>
      </w:tr>
      <w:tr w:rsidR="00E30D79" w:rsidRPr="00ED6D24" w14:paraId="40D3977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54BF24A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(Japan)</w:t>
            </w:r>
          </w:p>
        </w:tc>
        <w:tc>
          <w:tcPr>
            <w:tcW w:w="1418" w:type="dxa"/>
            <w:tcBorders>
              <w:top w:val="nil"/>
              <w:left w:val="nil"/>
              <w:bottom w:val="nil"/>
              <w:right w:val="nil"/>
            </w:tcBorders>
            <w:shd w:val="clear" w:color="auto" w:fill="auto"/>
            <w:noWrap/>
            <w:vAlign w:val="bottom"/>
            <w:hideMark/>
          </w:tcPr>
          <w:p w14:paraId="43EED0CC"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527 (7.8%)</w:t>
            </w:r>
          </w:p>
        </w:tc>
        <w:tc>
          <w:tcPr>
            <w:tcW w:w="2396" w:type="dxa"/>
            <w:tcBorders>
              <w:top w:val="nil"/>
              <w:left w:val="nil"/>
              <w:bottom w:val="nil"/>
              <w:right w:val="single" w:sz="4" w:space="0" w:color="auto"/>
            </w:tcBorders>
            <w:shd w:val="clear" w:color="auto" w:fill="auto"/>
            <w:noWrap/>
            <w:vAlign w:val="bottom"/>
            <w:hideMark/>
          </w:tcPr>
          <w:p w14:paraId="3BCCF4AE" w14:textId="77777777" w:rsidR="00E30D79" w:rsidRPr="00ED6D24" w:rsidRDefault="00E30D79" w:rsidP="00C26C4B">
            <w:pPr>
              <w:rPr>
                <w:rFonts w:ascii="Calibri" w:eastAsia="Times New Roman" w:hAnsi="Calibri"/>
                <w:color w:val="000000"/>
                <w:sz w:val="16"/>
                <w:szCs w:val="16"/>
              </w:rPr>
            </w:pPr>
          </w:p>
        </w:tc>
      </w:tr>
      <w:tr w:rsidR="00E30D79" w:rsidRPr="00ED6D24" w14:paraId="46924F32"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1067A64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(Korea)</w:t>
            </w:r>
          </w:p>
        </w:tc>
        <w:tc>
          <w:tcPr>
            <w:tcW w:w="1418" w:type="dxa"/>
            <w:tcBorders>
              <w:top w:val="nil"/>
              <w:left w:val="nil"/>
              <w:bottom w:val="nil"/>
              <w:right w:val="nil"/>
            </w:tcBorders>
            <w:shd w:val="clear" w:color="D9D9D9" w:fill="D9D9D9"/>
            <w:noWrap/>
            <w:vAlign w:val="bottom"/>
            <w:hideMark/>
          </w:tcPr>
          <w:p w14:paraId="73629BAD"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272 (4%)</w:t>
            </w:r>
          </w:p>
        </w:tc>
        <w:tc>
          <w:tcPr>
            <w:tcW w:w="2396" w:type="dxa"/>
            <w:tcBorders>
              <w:top w:val="nil"/>
              <w:left w:val="nil"/>
              <w:bottom w:val="nil"/>
              <w:right w:val="single" w:sz="4" w:space="0" w:color="auto"/>
            </w:tcBorders>
            <w:shd w:val="clear" w:color="D9D9D9" w:fill="D9D9D9"/>
            <w:noWrap/>
            <w:vAlign w:val="bottom"/>
            <w:hideMark/>
          </w:tcPr>
          <w:p w14:paraId="28FB2A4B" w14:textId="77777777" w:rsidR="00E30D79" w:rsidRPr="00ED6D24" w:rsidRDefault="00E30D79" w:rsidP="00C26C4B">
            <w:pPr>
              <w:rPr>
                <w:rFonts w:ascii="Calibri" w:eastAsia="Times New Roman" w:hAnsi="Calibri"/>
                <w:color w:val="000000"/>
                <w:sz w:val="16"/>
                <w:szCs w:val="16"/>
              </w:rPr>
            </w:pPr>
          </w:p>
        </w:tc>
      </w:tr>
      <w:tr w:rsidR="00E30D79" w:rsidRPr="00ED6D24" w14:paraId="727AB6D2"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5F503B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(Malaysia)</w:t>
            </w:r>
          </w:p>
        </w:tc>
        <w:tc>
          <w:tcPr>
            <w:tcW w:w="1418" w:type="dxa"/>
            <w:tcBorders>
              <w:top w:val="nil"/>
              <w:left w:val="nil"/>
              <w:bottom w:val="nil"/>
              <w:right w:val="nil"/>
            </w:tcBorders>
            <w:shd w:val="clear" w:color="auto" w:fill="auto"/>
            <w:noWrap/>
            <w:vAlign w:val="bottom"/>
            <w:hideMark/>
          </w:tcPr>
          <w:p w14:paraId="539D2394"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490 (7.2%)</w:t>
            </w:r>
          </w:p>
        </w:tc>
        <w:tc>
          <w:tcPr>
            <w:tcW w:w="2396" w:type="dxa"/>
            <w:tcBorders>
              <w:top w:val="nil"/>
              <w:left w:val="nil"/>
              <w:bottom w:val="nil"/>
              <w:right w:val="single" w:sz="4" w:space="0" w:color="auto"/>
            </w:tcBorders>
            <w:shd w:val="clear" w:color="auto" w:fill="auto"/>
            <w:noWrap/>
            <w:vAlign w:val="bottom"/>
            <w:hideMark/>
          </w:tcPr>
          <w:p w14:paraId="4E6ACE57" w14:textId="77777777" w:rsidR="00E30D79" w:rsidRPr="00ED6D24" w:rsidRDefault="00E30D79" w:rsidP="00C26C4B">
            <w:pPr>
              <w:rPr>
                <w:rFonts w:ascii="Calibri" w:eastAsia="Times New Roman" w:hAnsi="Calibri"/>
                <w:color w:val="000000"/>
                <w:sz w:val="16"/>
                <w:szCs w:val="16"/>
              </w:rPr>
            </w:pPr>
          </w:p>
        </w:tc>
      </w:tr>
      <w:tr w:rsidR="00E30D79" w:rsidRPr="00ED6D24" w14:paraId="14AB8ABF"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68C4809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(Philippines)</w:t>
            </w:r>
          </w:p>
        </w:tc>
        <w:tc>
          <w:tcPr>
            <w:tcW w:w="1418" w:type="dxa"/>
            <w:tcBorders>
              <w:top w:val="nil"/>
              <w:left w:val="nil"/>
              <w:bottom w:val="nil"/>
              <w:right w:val="nil"/>
            </w:tcBorders>
            <w:shd w:val="clear" w:color="D9D9D9" w:fill="D9D9D9"/>
            <w:noWrap/>
            <w:vAlign w:val="bottom"/>
            <w:hideMark/>
          </w:tcPr>
          <w:p w14:paraId="5586D748"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24 (0.4%)</w:t>
            </w:r>
          </w:p>
        </w:tc>
        <w:tc>
          <w:tcPr>
            <w:tcW w:w="2396" w:type="dxa"/>
            <w:tcBorders>
              <w:top w:val="nil"/>
              <w:left w:val="nil"/>
              <w:bottom w:val="nil"/>
              <w:right w:val="single" w:sz="4" w:space="0" w:color="auto"/>
            </w:tcBorders>
            <w:shd w:val="clear" w:color="D9D9D9" w:fill="D9D9D9"/>
            <w:noWrap/>
            <w:vAlign w:val="bottom"/>
            <w:hideMark/>
          </w:tcPr>
          <w:p w14:paraId="30FDD39A" w14:textId="77777777" w:rsidR="00E30D79" w:rsidRPr="00ED6D24" w:rsidRDefault="00E30D79" w:rsidP="00C26C4B">
            <w:pPr>
              <w:rPr>
                <w:rFonts w:ascii="Calibri" w:eastAsia="Times New Roman" w:hAnsi="Calibri"/>
                <w:color w:val="000000"/>
                <w:sz w:val="16"/>
                <w:szCs w:val="16"/>
              </w:rPr>
            </w:pPr>
          </w:p>
        </w:tc>
      </w:tr>
      <w:tr w:rsidR="00E30D79" w:rsidRPr="00ED6D24" w14:paraId="66B4EA7F"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13F6860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(Singapore)</w:t>
            </w:r>
          </w:p>
        </w:tc>
        <w:tc>
          <w:tcPr>
            <w:tcW w:w="1418" w:type="dxa"/>
            <w:tcBorders>
              <w:top w:val="nil"/>
              <w:left w:val="nil"/>
              <w:bottom w:val="nil"/>
              <w:right w:val="nil"/>
            </w:tcBorders>
            <w:shd w:val="clear" w:color="auto" w:fill="auto"/>
            <w:noWrap/>
            <w:vAlign w:val="bottom"/>
            <w:hideMark/>
          </w:tcPr>
          <w:p w14:paraId="7380565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1030 (15.2%)</w:t>
            </w:r>
          </w:p>
        </w:tc>
        <w:tc>
          <w:tcPr>
            <w:tcW w:w="2396" w:type="dxa"/>
            <w:tcBorders>
              <w:top w:val="nil"/>
              <w:left w:val="nil"/>
              <w:bottom w:val="nil"/>
              <w:right w:val="single" w:sz="4" w:space="0" w:color="auto"/>
            </w:tcBorders>
            <w:shd w:val="clear" w:color="auto" w:fill="auto"/>
            <w:noWrap/>
            <w:vAlign w:val="bottom"/>
            <w:hideMark/>
          </w:tcPr>
          <w:p w14:paraId="1D7D305C" w14:textId="77777777" w:rsidR="00E30D79" w:rsidRPr="00ED6D24" w:rsidRDefault="00E30D79" w:rsidP="00C26C4B">
            <w:pPr>
              <w:rPr>
                <w:rFonts w:ascii="Calibri" w:eastAsia="Times New Roman" w:hAnsi="Calibri"/>
                <w:color w:val="000000"/>
                <w:sz w:val="16"/>
                <w:szCs w:val="16"/>
              </w:rPr>
            </w:pPr>
          </w:p>
        </w:tc>
      </w:tr>
      <w:tr w:rsidR="00E30D79" w:rsidRPr="00ED6D24" w14:paraId="10FF54AB"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595095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(Taiwan)</w:t>
            </w:r>
          </w:p>
        </w:tc>
        <w:tc>
          <w:tcPr>
            <w:tcW w:w="1418" w:type="dxa"/>
            <w:tcBorders>
              <w:top w:val="nil"/>
              <w:left w:val="nil"/>
              <w:bottom w:val="nil"/>
              <w:right w:val="nil"/>
            </w:tcBorders>
            <w:shd w:val="clear" w:color="D9D9D9" w:fill="D9D9D9"/>
            <w:noWrap/>
            <w:vAlign w:val="bottom"/>
            <w:hideMark/>
          </w:tcPr>
          <w:p w14:paraId="01951EF6"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255 (3.8%)</w:t>
            </w:r>
          </w:p>
        </w:tc>
        <w:tc>
          <w:tcPr>
            <w:tcW w:w="2396" w:type="dxa"/>
            <w:tcBorders>
              <w:top w:val="nil"/>
              <w:left w:val="nil"/>
              <w:bottom w:val="nil"/>
              <w:right w:val="single" w:sz="4" w:space="0" w:color="auto"/>
            </w:tcBorders>
            <w:shd w:val="clear" w:color="D9D9D9" w:fill="D9D9D9"/>
            <w:noWrap/>
            <w:vAlign w:val="bottom"/>
            <w:hideMark/>
          </w:tcPr>
          <w:p w14:paraId="50D1859A" w14:textId="77777777" w:rsidR="00E30D79" w:rsidRPr="00ED6D24" w:rsidRDefault="00E30D79" w:rsidP="00C26C4B">
            <w:pPr>
              <w:rPr>
                <w:rFonts w:ascii="Calibri" w:eastAsia="Times New Roman" w:hAnsi="Calibri"/>
                <w:color w:val="000000"/>
                <w:sz w:val="16"/>
                <w:szCs w:val="16"/>
              </w:rPr>
            </w:pPr>
          </w:p>
        </w:tc>
      </w:tr>
      <w:tr w:rsidR="00E30D79" w:rsidRPr="00ED6D24" w14:paraId="50AB0691"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E5FDC6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(Thailand)</w:t>
            </w:r>
          </w:p>
        </w:tc>
        <w:tc>
          <w:tcPr>
            <w:tcW w:w="1418" w:type="dxa"/>
            <w:tcBorders>
              <w:top w:val="nil"/>
              <w:left w:val="nil"/>
              <w:bottom w:val="nil"/>
              <w:right w:val="nil"/>
            </w:tcBorders>
            <w:shd w:val="clear" w:color="auto" w:fill="auto"/>
            <w:noWrap/>
            <w:vAlign w:val="bottom"/>
            <w:hideMark/>
          </w:tcPr>
          <w:p w14:paraId="2E96D1FA"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127 (1.9%)</w:t>
            </w:r>
          </w:p>
        </w:tc>
        <w:tc>
          <w:tcPr>
            <w:tcW w:w="2396" w:type="dxa"/>
            <w:tcBorders>
              <w:top w:val="nil"/>
              <w:left w:val="nil"/>
              <w:bottom w:val="nil"/>
              <w:right w:val="single" w:sz="4" w:space="0" w:color="auto"/>
            </w:tcBorders>
            <w:shd w:val="clear" w:color="auto" w:fill="auto"/>
            <w:noWrap/>
            <w:vAlign w:val="bottom"/>
            <w:hideMark/>
          </w:tcPr>
          <w:p w14:paraId="6B024201" w14:textId="77777777" w:rsidR="00E30D79" w:rsidRPr="00ED6D24" w:rsidRDefault="00E30D79" w:rsidP="00C26C4B">
            <w:pPr>
              <w:rPr>
                <w:rFonts w:ascii="Calibri" w:eastAsia="Times New Roman" w:hAnsi="Calibri"/>
                <w:color w:val="000000"/>
                <w:sz w:val="16"/>
                <w:szCs w:val="16"/>
              </w:rPr>
            </w:pPr>
          </w:p>
        </w:tc>
      </w:tr>
      <w:tr w:rsidR="00E30D79" w:rsidRPr="00ED6D24" w14:paraId="4CC04F09"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C27B93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(Netherlands)</w:t>
            </w:r>
          </w:p>
        </w:tc>
        <w:tc>
          <w:tcPr>
            <w:tcW w:w="1418" w:type="dxa"/>
            <w:tcBorders>
              <w:top w:val="nil"/>
              <w:left w:val="nil"/>
              <w:bottom w:val="nil"/>
              <w:right w:val="nil"/>
            </w:tcBorders>
            <w:shd w:val="clear" w:color="D9D9D9" w:fill="D9D9D9"/>
            <w:noWrap/>
            <w:vAlign w:val="bottom"/>
            <w:hideMark/>
          </w:tcPr>
          <w:p w14:paraId="2AF9A3AA"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276 (4.1%)</w:t>
            </w:r>
          </w:p>
        </w:tc>
        <w:tc>
          <w:tcPr>
            <w:tcW w:w="2396" w:type="dxa"/>
            <w:tcBorders>
              <w:top w:val="nil"/>
              <w:left w:val="nil"/>
              <w:bottom w:val="nil"/>
              <w:right w:val="single" w:sz="4" w:space="0" w:color="auto"/>
            </w:tcBorders>
            <w:shd w:val="clear" w:color="D9D9D9" w:fill="D9D9D9"/>
            <w:noWrap/>
            <w:vAlign w:val="bottom"/>
            <w:hideMark/>
          </w:tcPr>
          <w:p w14:paraId="46087012" w14:textId="77777777" w:rsidR="00E30D79" w:rsidRPr="00ED6D24" w:rsidRDefault="00E30D79" w:rsidP="00C26C4B">
            <w:pPr>
              <w:rPr>
                <w:rFonts w:ascii="Calibri" w:eastAsia="Times New Roman" w:hAnsi="Calibri"/>
                <w:color w:val="000000"/>
                <w:sz w:val="16"/>
                <w:szCs w:val="16"/>
              </w:rPr>
            </w:pPr>
          </w:p>
        </w:tc>
      </w:tr>
      <w:tr w:rsidR="00E30D79" w:rsidRPr="00ED6D24" w14:paraId="68A21BC4"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8A4E6B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(Germany)</w:t>
            </w:r>
          </w:p>
        </w:tc>
        <w:tc>
          <w:tcPr>
            <w:tcW w:w="1418" w:type="dxa"/>
            <w:tcBorders>
              <w:top w:val="nil"/>
              <w:left w:val="nil"/>
              <w:bottom w:val="nil"/>
              <w:right w:val="nil"/>
            </w:tcBorders>
            <w:shd w:val="clear" w:color="auto" w:fill="auto"/>
            <w:noWrap/>
            <w:vAlign w:val="bottom"/>
            <w:hideMark/>
          </w:tcPr>
          <w:p w14:paraId="393390C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84 (1.2%)</w:t>
            </w:r>
          </w:p>
        </w:tc>
        <w:tc>
          <w:tcPr>
            <w:tcW w:w="2396" w:type="dxa"/>
            <w:tcBorders>
              <w:top w:val="nil"/>
              <w:left w:val="nil"/>
              <w:bottom w:val="nil"/>
              <w:right w:val="single" w:sz="4" w:space="0" w:color="auto"/>
            </w:tcBorders>
            <w:shd w:val="clear" w:color="auto" w:fill="auto"/>
            <w:noWrap/>
            <w:vAlign w:val="bottom"/>
            <w:hideMark/>
          </w:tcPr>
          <w:p w14:paraId="0A4733FD" w14:textId="77777777" w:rsidR="00E30D79" w:rsidRPr="00ED6D24" w:rsidRDefault="00E30D79" w:rsidP="00C26C4B">
            <w:pPr>
              <w:rPr>
                <w:rFonts w:ascii="Calibri" w:eastAsia="Times New Roman" w:hAnsi="Calibri"/>
                <w:color w:val="000000"/>
                <w:sz w:val="16"/>
                <w:szCs w:val="16"/>
              </w:rPr>
            </w:pPr>
          </w:p>
        </w:tc>
      </w:tr>
      <w:tr w:rsidR="00E30D79" w:rsidRPr="00ED6D24" w14:paraId="54F71916"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E102A8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(France)</w:t>
            </w:r>
          </w:p>
        </w:tc>
        <w:tc>
          <w:tcPr>
            <w:tcW w:w="1418" w:type="dxa"/>
            <w:tcBorders>
              <w:top w:val="nil"/>
              <w:left w:val="nil"/>
              <w:bottom w:val="nil"/>
              <w:right w:val="nil"/>
            </w:tcBorders>
            <w:shd w:val="clear" w:color="D9D9D9" w:fill="D9D9D9"/>
            <w:noWrap/>
            <w:vAlign w:val="bottom"/>
            <w:hideMark/>
          </w:tcPr>
          <w:p w14:paraId="3D3BA42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195 (2.9%)</w:t>
            </w:r>
          </w:p>
        </w:tc>
        <w:tc>
          <w:tcPr>
            <w:tcW w:w="2396" w:type="dxa"/>
            <w:tcBorders>
              <w:top w:val="nil"/>
              <w:left w:val="nil"/>
              <w:bottom w:val="nil"/>
              <w:right w:val="single" w:sz="4" w:space="0" w:color="auto"/>
            </w:tcBorders>
            <w:shd w:val="clear" w:color="D9D9D9" w:fill="D9D9D9"/>
            <w:noWrap/>
            <w:vAlign w:val="bottom"/>
            <w:hideMark/>
          </w:tcPr>
          <w:p w14:paraId="34164237" w14:textId="77777777" w:rsidR="00E30D79" w:rsidRPr="00ED6D24" w:rsidRDefault="00E30D79" w:rsidP="00C26C4B">
            <w:pPr>
              <w:rPr>
                <w:rFonts w:ascii="Calibri" w:eastAsia="Times New Roman" w:hAnsi="Calibri"/>
                <w:color w:val="000000"/>
                <w:sz w:val="16"/>
                <w:szCs w:val="16"/>
              </w:rPr>
            </w:pPr>
          </w:p>
        </w:tc>
      </w:tr>
      <w:tr w:rsidR="00E30D79" w:rsidRPr="00ED6D24" w14:paraId="3C66F3F0"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68A4A6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(Greece)</w:t>
            </w:r>
          </w:p>
        </w:tc>
        <w:tc>
          <w:tcPr>
            <w:tcW w:w="1418" w:type="dxa"/>
            <w:tcBorders>
              <w:top w:val="nil"/>
              <w:left w:val="nil"/>
              <w:bottom w:val="nil"/>
              <w:right w:val="nil"/>
            </w:tcBorders>
            <w:shd w:val="clear" w:color="auto" w:fill="auto"/>
            <w:noWrap/>
            <w:vAlign w:val="bottom"/>
            <w:hideMark/>
          </w:tcPr>
          <w:p w14:paraId="2255B42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278 (4.1%)</w:t>
            </w:r>
          </w:p>
        </w:tc>
        <w:tc>
          <w:tcPr>
            <w:tcW w:w="2396" w:type="dxa"/>
            <w:tcBorders>
              <w:top w:val="nil"/>
              <w:left w:val="nil"/>
              <w:bottom w:val="nil"/>
              <w:right w:val="single" w:sz="4" w:space="0" w:color="auto"/>
            </w:tcBorders>
            <w:shd w:val="clear" w:color="auto" w:fill="auto"/>
            <w:noWrap/>
            <w:vAlign w:val="bottom"/>
            <w:hideMark/>
          </w:tcPr>
          <w:p w14:paraId="4CED085F" w14:textId="77777777" w:rsidR="00E30D79" w:rsidRPr="00ED6D24" w:rsidRDefault="00E30D79" w:rsidP="00C26C4B">
            <w:pPr>
              <w:rPr>
                <w:rFonts w:ascii="Calibri" w:eastAsia="Times New Roman" w:hAnsi="Calibri"/>
                <w:color w:val="000000"/>
                <w:sz w:val="16"/>
                <w:szCs w:val="16"/>
              </w:rPr>
            </w:pPr>
          </w:p>
        </w:tc>
      </w:tr>
      <w:tr w:rsidR="00E30D79" w:rsidRPr="00ED6D24" w14:paraId="2FAB3BF6"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54A9065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(Italy)</w:t>
            </w:r>
          </w:p>
        </w:tc>
        <w:tc>
          <w:tcPr>
            <w:tcW w:w="1418" w:type="dxa"/>
            <w:tcBorders>
              <w:top w:val="nil"/>
              <w:left w:val="nil"/>
              <w:bottom w:val="nil"/>
              <w:right w:val="nil"/>
            </w:tcBorders>
            <w:shd w:val="clear" w:color="D9D9D9" w:fill="D9D9D9"/>
            <w:noWrap/>
            <w:vAlign w:val="bottom"/>
            <w:hideMark/>
          </w:tcPr>
          <w:p w14:paraId="736534BC"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289 (4.3%)</w:t>
            </w:r>
          </w:p>
        </w:tc>
        <w:tc>
          <w:tcPr>
            <w:tcW w:w="2396" w:type="dxa"/>
            <w:tcBorders>
              <w:top w:val="nil"/>
              <w:left w:val="nil"/>
              <w:bottom w:val="nil"/>
              <w:right w:val="single" w:sz="4" w:space="0" w:color="auto"/>
            </w:tcBorders>
            <w:shd w:val="clear" w:color="D9D9D9" w:fill="D9D9D9"/>
            <w:noWrap/>
            <w:vAlign w:val="bottom"/>
            <w:hideMark/>
          </w:tcPr>
          <w:p w14:paraId="0CA4F72D" w14:textId="77777777" w:rsidR="00E30D79" w:rsidRPr="00ED6D24" w:rsidRDefault="00E30D79" w:rsidP="00C26C4B">
            <w:pPr>
              <w:rPr>
                <w:rFonts w:ascii="Calibri" w:eastAsia="Times New Roman" w:hAnsi="Calibri"/>
                <w:color w:val="000000"/>
                <w:sz w:val="16"/>
                <w:szCs w:val="16"/>
              </w:rPr>
            </w:pPr>
          </w:p>
        </w:tc>
      </w:tr>
      <w:tr w:rsidR="00E30D79" w:rsidRPr="00ED6D24" w14:paraId="70E6BC7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5728123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(Norway)</w:t>
            </w:r>
          </w:p>
        </w:tc>
        <w:tc>
          <w:tcPr>
            <w:tcW w:w="1418" w:type="dxa"/>
            <w:tcBorders>
              <w:top w:val="nil"/>
              <w:left w:val="nil"/>
              <w:bottom w:val="nil"/>
              <w:right w:val="nil"/>
            </w:tcBorders>
            <w:shd w:val="clear" w:color="auto" w:fill="auto"/>
            <w:noWrap/>
            <w:vAlign w:val="bottom"/>
            <w:hideMark/>
          </w:tcPr>
          <w:p w14:paraId="374F1375"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93 (1.4%)</w:t>
            </w:r>
          </w:p>
        </w:tc>
        <w:tc>
          <w:tcPr>
            <w:tcW w:w="2396" w:type="dxa"/>
            <w:tcBorders>
              <w:top w:val="nil"/>
              <w:left w:val="nil"/>
              <w:bottom w:val="nil"/>
              <w:right w:val="single" w:sz="4" w:space="0" w:color="auto"/>
            </w:tcBorders>
            <w:shd w:val="clear" w:color="auto" w:fill="auto"/>
            <w:noWrap/>
            <w:vAlign w:val="bottom"/>
            <w:hideMark/>
          </w:tcPr>
          <w:p w14:paraId="6FAA3CAD" w14:textId="77777777" w:rsidR="00E30D79" w:rsidRPr="00ED6D24" w:rsidRDefault="00E30D79" w:rsidP="00C26C4B">
            <w:pPr>
              <w:rPr>
                <w:rFonts w:ascii="Calibri" w:eastAsia="Times New Roman" w:hAnsi="Calibri"/>
                <w:color w:val="000000"/>
                <w:sz w:val="16"/>
                <w:szCs w:val="16"/>
              </w:rPr>
            </w:pPr>
          </w:p>
        </w:tc>
      </w:tr>
      <w:tr w:rsidR="00E30D79" w:rsidRPr="00ED6D24" w14:paraId="23BF0A61"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5EDA338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(Poland)</w:t>
            </w:r>
          </w:p>
        </w:tc>
        <w:tc>
          <w:tcPr>
            <w:tcW w:w="1418" w:type="dxa"/>
            <w:tcBorders>
              <w:top w:val="nil"/>
              <w:left w:val="nil"/>
              <w:bottom w:val="nil"/>
              <w:right w:val="nil"/>
            </w:tcBorders>
            <w:shd w:val="clear" w:color="D9D9D9" w:fill="D9D9D9"/>
            <w:noWrap/>
            <w:vAlign w:val="bottom"/>
            <w:hideMark/>
          </w:tcPr>
          <w:p w14:paraId="73F757F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244 (3.6%)</w:t>
            </w:r>
          </w:p>
        </w:tc>
        <w:tc>
          <w:tcPr>
            <w:tcW w:w="2396" w:type="dxa"/>
            <w:tcBorders>
              <w:top w:val="nil"/>
              <w:left w:val="nil"/>
              <w:bottom w:val="nil"/>
              <w:right w:val="single" w:sz="4" w:space="0" w:color="auto"/>
            </w:tcBorders>
            <w:shd w:val="clear" w:color="D9D9D9" w:fill="D9D9D9"/>
            <w:noWrap/>
            <w:vAlign w:val="bottom"/>
            <w:hideMark/>
          </w:tcPr>
          <w:p w14:paraId="72F7B3F1" w14:textId="77777777" w:rsidR="00E30D79" w:rsidRPr="00ED6D24" w:rsidRDefault="00E30D79" w:rsidP="00C26C4B">
            <w:pPr>
              <w:rPr>
                <w:rFonts w:ascii="Calibri" w:eastAsia="Times New Roman" w:hAnsi="Calibri"/>
                <w:color w:val="000000"/>
                <w:sz w:val="16"/>
                <w:szCs w:val="16"/>
              </w:rPr>
            </w:pPr>
          </w:p>
        </w:tc>
      </w:tr>
      <w:tr w:rsidR="00E30D79" w:rsidRPr="00ED6D24" w14:paraId="2DF4E553"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2FDFF6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w:t>
            </w:r>
            <w:proofErr w:type="spellStart"/>
            <w:r w:rsidRPr="00ED6D24">
              <w:rPr>
                <w:rFonts w:ascii="Calibri" w:eastAsia="Times New Roman" w:hAnsi="Calibri"/>
                <w:color w:val="000000"/>
                <w:sz w:val="16"/>
                <w:szCs w:val="16"/>
              </w:rPr>
              <w:t>Serbia</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auto" w:fill="auto"/>
            <w:noWrap/>
            <w:vAlign w:val="bottom"/>
            <w:hideMark/>
          </w:tcPr>
          <w:p w14:paraId="153B2BC5"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366 (5.4%)</w:t>
            </w:r>
          </w:p>
        </w:tc>
        <w:tc>
          <w:tcPr>
            <w:tcW w:w="2396" w:type="dxa"/>
            <w:tcBorders>
              <w:top w:val="nil"/>
              <w:left w:val="nil"/>
              <w:bottom w:val="nil"/>
              <w:right w:val="single" w:sz="4" w:space="0" w:color="auto"/>
            </w:tcBorders>
            <w:shd w:val="clear" w:color="auto" w:fill="auto"/>
            <w:noWrap/>
            <w:vAlign w:val="bottom"/>
            <w:hideMark/>
          </w:tcPr>
          <w:p w14:paraId="1A0ADE0A" w14:textId="77777777" w:rsidR="00E30D79" w:rsidRPr="00ED6D24" w:rsidRDefault="00E30D79" w:rsidP="00C26C4B">
            <w:pPr>
              <w:rPr>
                <w:rFonts w:ascii="Calibri" w:eastAsia="Times New Roman" w:hAnsi="Calibri"/>
                <w:color w:val="000000"/>
                <w:sz w:val="16"/>
                <w:szCs w:val="16"/>
              </w:rPr>
            </w:pPr>
          </w:p>
        </w:tc>
      </w:tr>
      <w:tr w:rsidR="00E30D79" w:rsidRPr="00ED6D24" w14:paraId="327CF3C8"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70E63C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(Slovenia)</w:t>
            </w:r>
          </w:p>
        </w:tc>
        <w:tc>
          <w:tcPr>
            <w:tcW w:w="1418" w:type="dxa"/>
            <w:tcBorders>
              <w:top w:val="nil"/>
              <w:left w:val="nil"/>
              <w:bottom w:val="nil"/>
              <w:right w:val="nil"/>
            </w:tcBorders>
            <w:shd w:val="clear" w:color="D9D9D9" w:fill="D9D9D9"/>
            <w:noWrap/>
            <w:vAlign w:val="bottom"/>
            <w:hideMark/>
          </w:tcPr>
          <w:p w14:paraId="6E161C09"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22 (0.3%)</w:t>
            </w:r>
          </w:p>
        </w:tc>
        <w:tc>
          <w:tcPr>
            <w:tcW w:w="2396" w:type="dxa"/>
            <w:tcBorders>
              <w:top w:val="nil"/>
              <w:left w:val="nil"/>
              <w:bottom w:val="nil"/>
              <w:right w:val="single" w:sz="4" w:space="0" w:color="auto"/>
            </w:tcBorders>
            <w:shd w:val="clear" w:color="D9D9D9" w:fill="D9D9D9"/>
            <w:noWrap/>
            <w:vAlign w:val="bottom"/>
            <w:hideMark/>
          </w:tcPr>
          <w:p w14:paraId="613E6A32" w14:textId="77777777" w:rsidR="00E30D79" w:rsidRPr="00ED6D24" w:rsidRDefault="00E30D79" w:rsidP="00C26C4B">
            <w:pPr>
              <w:rPr>
                <w:rFonts w:ascii="Calibri" w:eastAsia="Times New Roman" w:hAnsi="Calibri"/>
                <w:color w:val="000000"/>
                <w:sz w:val="16"/>
                <w:szCs w:val="16"/>
              </w:rPr>
            </w:pPr>
          </w:p>
        </w:tc>
      </w:tr>
      <w:tr w:rsidR="00E30D79" w:rsidRPr="00ED6D24" w14:paraId="54BCF752"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EA0FD8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(Sweden)</w:t>
            </w:r>
          </w:p>
        </w:tc>
        <w:tc>
          <w:tcPr>
            <w:tcW w:w="1418" w:type="dxa"/>
            <w:tcBorders>
              <w:top w:val="nil"/>
              <w:left w:val="nil"/>
              <w:bottom w:val="nil"/>
              <w:right w:val="nil"/>
            </w:tcBorders>
            <w:shd w:val="clear" w:color="auto" w:fill="auto"/>
            <w:noWrap/>
            <w:vAlign w:val="bottom"/>
            <w:hideMark/>
          </w:tcPr>
          <w:p w14:paraId="012BBF0D"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96 (1.4%)</w:t>
            </w:r>
          </w:p>
        </w:tc>
        <w:tc>
          <w:tcPr>
            <w:tcW w:w="2396" w:type="dxa"/>
            <w:tcBorders>
              <w:top w:val="nil"/>
              <w:left w:val="nil"/>
              <w:bottom w:val="nil"/>
              <w:right w:val="single" w:sz="4" w:space="0" w:color="auto"/>
            </w:tcBorders>
            <w:shd w:val="clear" w:color="auto" w:fill="auto"/>
            <w:noWrap/>
            <w:vAlign w:val="bottom"/>
            <w:hideMark/>
          </w:tcPr>
          <w:p w14:paraId="064D0B73" w14:textId="77777777" w:rsidR="00E30D79" w:rsidRPr="00ED6D24" w:rsidRDefault="00E30D79" w:rsidP="00C26C4B">
            <w:pPr>
              <w:rPr>
                <w:rFonts w:ascii="Calibri" w:eastAsia="Times New Roman" w:hAnsi="Calibri"/>
                <w:color w:val="000000"/>
                <w:sz w:val="16"/>
                <w:szCs w:val="16"/>
              </w:rPr>
            </w:pPr>
          </w:p>
        </w:tc>
      </w:tr>
      <w:tr w:rsidR="00E30D79" w:rsidRPr="00ED6D24" w14:paraId="6998179E"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7068E12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Country (UK)</w:t>
            </w:r>
          </w:p>
        </w:tc>
        <w:tc>
          <w:tcPr>
            <w:tcW w:w="1418" w:type="dxa"/>
            <w:tcBorders>
              <w:top w:val="nil"/>
              <w:left w:val="nil"/>
              <w:bottom w:val="nil"/>
              <w:right w:val="nil"/>
            </w:tcBorders>
            <w:shd w:val="clear" w:color="D9D9D9" w:fill="D9D9D9"/>
            <w:noWrap/>
            <w:vAlign w:val="bottom"/>
            <w:hideMark/>
          </w:tcPr>
          <w:p w14:paraId="0291B5DD"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157 (2.3%)</w:t>
            </w:r>
          </w:p>
        </w:tc>
        <w:tc>
          <w:tcPr>
            <w:tcW w:w="2396" w:type="dxa"/>
            <w:tcBorders>
              <w:top w:val="nil"/>
              <w:left w:val="nil"/>
              <w:bottom w:val="nil"/>
              <w:right w:val="single" w:sz="4" w:space="0" w:color="auto"/>
            </w:tcBorders>
            <w:shd w:val="clear" w:color="D9D9D9" w:fill="D9D9D9"/>
            <w:noWrap/>
            <w:vAlign w:val="bottom"/>
            <w:hideMark/>
          </w:tcPr>
          <w:p w14:paraId="2AFA90F7" w14:textId="77777777" w:rsidR="00E30D79" w:rsidRPr="00ED6D24" w:rsidRDefault="00E30D79" w:rsidP="00C26C4B">
            <w:pPr>
              <w:rPr>
                <w:rFonts w:ascii="Calibri" w:eastAsia="Times New Roman" w:hAnsi="Calibri"/>
                <w:color w:val="000000"/>
                <w:sz w:val="16"/>
                <w:szCs w:val="16"/>
              </w:rPr>
            </w:pPr>
          </w:p>
        </w:tc>
      </w:tr>
      <w:tr w:rsidR="00E30D79" w:rsidRPr="00ED6D24" w14:paraId="1994F008"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ACEE89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Age (</w:t>
            </w:r>
            <w:proofErr w:type="spellStart"/>
            <w:r w:rsidRPr="00ED6D24">
              <w:rPr>
                <w:rFonts w:ascii="Calibri" w:eastAsia="Times New Roman" w:hAnsi="Calibri"/>
                <w:color w:val="000000"/>
                <w:sz w:val="16"/>
                <w:szCs w:val="16"/>
              </w:rPr>
              <w:t>years</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auto" w:fill="auto"/>
            <w:noWrap/>
            <w:vAlign w:val="bottom"/>
            <w:hideMark/>
          </w:tcPr>
          <w:p w14:paraId="3EBE64D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62.6 (13.16)</w:t>
            </w:r>
          </w:p>
        </w:tc>
        <w:tc>
          <w:tcPr>
            <w:tcW w:w="2396" w:type="dxa"/>
            <w:tcBorders>
              <w:top w:val="nil"/>
              <w:left w:val="nil"/>
              <w:bottom w:val="nil"/>
              <w:right w:val="single" w:sz="4" w:space="0" w:color="auto"/>
            </w:tcBorders>
            <w:shd w:val="clear" w:color="auto" w:fill="auto"/>
            <w:noWrap/>
            <w:vAlign w:val="bottom"/>
            <w:hideMark/>
          </w:tcPr>
          <w:p w14:paraId="292F607A"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646E10E0"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01C90FDE"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Sex</w:t>
            </w:r>
            <w:proofErr w:type="spellEnd"/>
            <w:r w:rsidRPr="00ED6D24">
              <w:rPr>
                <w:rFonts w:ascii="Calibri" w:eastAsia="Times New Roman" w:hAnsi="Calibri"/>
                <w:color w:val="000000"/>
                <w:sz w:val="16"/>
                <w:szCs w:val="16"/>
              </w:rPr>
              <w:t xml:space="preserve"> (Male)</w:t>
            </w:r>
          </w:p>
        </w:tc>
        <w:tc>
          <w:tcPr>
            <w:tcW w:w="1418" w:type="dxa"/>
            <w:tcBorders>
              <w:top w:val="nil"/>
              <w:left w:val="nil"/>
              <w:bottom w:val="nil"/>
              <w:right w:val="nil"/>
            </w:tcBorders>
            <w:shd w:val="clear" w:color="D9D9D9" w:fill="D9D9D9"/>
            <w:noWrap/>
            <w:vAlign w:val="bottom"/>
            <w:hideMark/>
          </w:tcPr>
          <w:p w14:paraId="19726A8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5271 (77.7%)</w:t>
            </w:r>
          </w:p>
        </w:tc>
        <w:tc>
          <w:tcPr>
            <w:tcW w:w="2396" w:type="dxa"/>
            <w:tcBorders>
              <w:top w:val="nil"/>
              <w:left w:val="nil"/>
              <w:bottom w:val="nil"/>
              <w:right w:val="single" w:sz="4" w:space="0" w:color="auto"/>
            </w:tcBorders>
            <w:shd w:val="clear" w:color="D9D9D9" w:fill="D9D9D9"/>
            <w:noWrap/>
            <w:vAlign w:val="bottom"/>
            <w:hideMark/>
          </w:tcPr>
          <w:p w14:paraId="556D7D5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60EB833B"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D8A49E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Caucasian</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auto" w:fill="auto"/>
            <w:noWrap/>
            <w:vAlign w:val="bottom"/>
            <w:hideMark/>
          </w:tcPr>
          <w:p w14:paraId="6D41E54D"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2078 (30.6%)</w:t>
            </w:r>
          </w:p>
        </w:tc>
        <w:tc>
          <w:tcPr>
            <w:tcW w:w="2396" w:type="dxa"/>
            <w:tcBorders>
              <w:top w:val="nil"/>
              <w:left w:val="nil"/>
              <w:bottom w:val="nil"/>
              <w:right w:val="single" w:sz="4" w:space="0" w:color="auto"/>
            </w:tcBorders>
            <w:shd w:val="clear" w:color="auto" w:fill="auto"/>
            <w:noWrap/>
            <w:vAlign w:val="bottom"/>
            <w:hideMark/>
          </w:tcPr>
          <w:p w14:paraId="1406B8C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787AC406"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6165F9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(Chinese)</w:t>
            </w:r>
          </w:p>
        </w:tc>
        <w:tc>
          <w:tcPr>
            <w:tcW w:w="1418" w:type="dxa"/>
            <w:tcBorders>
              <w:top w:val="nil"/>
              <w:left w:val="nil"/>
              <w:bottom w:val="nil"/>
              <w:right w:val="nil"/>
            </w:tcBorders>
            <w:shd w:val="clear" w:color="D9D9D9" w:fill="D9D9D9"/>
            <w:noWrap/>
            <w:vAlign w:val="bottom"/>
            <w:hideMark/>
          </w:tcPr>
          <w:p w14:paraId="635D6EE1"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1475 (21.7%)</w:t>
            </w:r>
          </w:p>
        </w:tc>
        <w:tc>
          <w:tcPr>
            <w:tcW w:w="2396" w:type="dxa"/>
            <w:tcBorders>
              <w:top w:val="nil"/>
              <w:left w:val="nil"/>
              <w:bottom w:val="nil"/>
              <w:right w:val="single" w:sz="4" w:space="0" w:color="auto"/>
            </w:tcBorders>
            <w:shd w:val="clear" w:color="D9D9D9" w:fill="D9D9D9"/>
            <w:noWrap/>
            <w:vAlign w:val="bottom"/>
            <w:hideMark/>
          </w:tcPr>
          <w:p w14:paraId="12739DD6" w14:textId="77777777" w:rsidR="00E30D79" w:rsidRPr="00ED6D24" w:rsidRDefault="00E30D79" w:rsidP="00C26C4B">
            <w:pPr>
              <w:rPr>
                <w:rFonts w:ascii="Calibri" w:eastAsia="Times New Roman" w:hAnsi="Calibri"/>
                <w:color w:val="000000"/>
                <w:sz w:val="16"/>
                <w:szCs w:val="16"/>
              </w:rPr>
            </w:pPr>
          </w:p>
        </w:tc>
      </w:tr>
      <w:tr w:rsidR="00E30D79" w:rsidRPr="00ED6D24" w14:paraId="5FA99C2A"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18BF1D9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Indians</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auto" w:fill="auto"/>
            <w:noWrap/>
            <w:vAlign w:val="bottom"/>
            <w:hideMark/>
          </w:tcPr>
          <w:p w14:paraId="76DF8DDC"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1505 (22.2%)</w:t>
            </w:r>
          </w:p>
        </w:tc>
        <w:tc>
          <w:tcPr>
            <w:tcW w:w="2396" w:type="dxa"/>
            <w:tcBorders>
              <w:top w:val="nil"/>
              <w:left w:val="nil"/>
              <w:bottom w:val="nil"/>
              <w:right w:val="single" w:sz="4" w:space="0" w:color="auto"/>
            </w:tcBorders>
            <w:shd w:val="clear" w:color="auto" w:fill="auto"/>
            <w:noWrap/>
            <w:vAlign w:val="bottom"/>
            <w:hideMark/>
          </w:tcPr>
          <w:p w14:paraId="795226DB" w14:textId="77777777" w:rsidR="00E30D79" w:rsidRPr="00ED6D24" w:rsidRDefault="00E30D79" w:rsidP="00C26C4B">
            <w:pPr>
              <w:rPr>
                <w:rFonts w:ascii="Calibri" w:eastAsia="Times New Roman" w:hAnsi="Calibri"/>
                <w:color w:val="000000"/>
                <w:sz w:val="16"/>
                <w:szCs w:val="16"/>
              </w:rPr>
            </w:pPr>
          </w:p>
        </w:tc>
      </w:tr>
      <w:tr w:rsidR="00E30D79" w:rsidRPr="00ED6D24" w14:paraId="601B2063"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08D8D3C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Malay</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D9D9D9" w:fill="D9D9D9"/>
            <w:noWrap/>
            <w:vAlign w:val="bottom"/>
            <w:hideMark/>
          </w:tcPr>
          <w:p w14:paraId="0141F91A"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651 (9.6%)</w:t>
            </w:r>
          </w:p>
        </w:tc>
        <w:tc>
          <w:tcPr>
            <w:tcW w:w="2396" w:type="dxa"/>
            <w:tcBorders>
              <w:top w:val="nil"/>
              <w:left w:val="nil"/>
              <w:bottom w:val="nil"/>
              <w:right w:val="single" w:sz="4" w:space="0" w:color="auto"/>
            </w:tcBorders>
            <w:shd w:val="clear" w:color="D9D9D9" w:fill="D9D9D9"/>
            <w:noWrap/>
            <w:vAlign w:val="bottom"/>
            <w:hideMark/>
          </w:tcPr>
          <w:p w14:paraId="5AFE1291" w14:textId="77777777" w:rsidR="00E30D79" w:rsidRPr="00ED6D24" w:rsidRDefault="00E30D79" w:rsidP="00C26C4B">
            <w:pPr>
              <w:rPr>
                <w:rFonts w:ascii="Calibri" w:eastAsia="Times New Roman" w:hAnsi="Calibri"/>
                <w:color w:val="000000"/>
                <w:sz w:val="16"/>
                <w:szCs w:val="16"/>
              </w:rPr>
            </w:pPr>
          </w:p>
        </w:tc>
      </w:tr>
      <w:tr w:rsidR="00E30D79" w:rsidRPr="00ED6D24" w14:paraId="10904BDD"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BB667D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Japanese</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auto" w:fill="auto"/>
            <w:noWrap/>
            <w:vAlign w:val="bottom"/>
            <w:hideMark/>
          </w:tcPr>
          <w:p w14:paraId="6FBB19F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528 (7.8%)</w:t>
            </w:r>
          </w:p>
        </w:tc>
        <w:tc>
          <w:tcPr>
            <w:tcW w:w="2396" w:type="dxa"/>
            <w:tcBorders>
              <w:top w:val="nil"/>
              <w:left w:val="nil"/>
              <w:bottom w:val="nil"/>
              <w:right w:val="single" w:sz="4" w:space="0" w:color="auto"/>
            </w:tcBorders>
            <w:shd w:val="clear" w:color="auto" w:fill="auto"/>
            <w:noWrap/>
            <w:vAlign w:val="bottom"/>
            <w:hideMark/>
          </w:tcPr>
          <w:p w14:paraId="77E11284" w14:textId="77777777" w:rsidR="00E30D79" w:rsidRPr="00ED6D24" w:rsidRDefault="00E30D79" w:rsidP="00C26C4B">
            <w:pPr>
              <w:rPr>
                <w:rFonts w:ascii="Calibri" w:eastAsia="Times New Roman" w:hAnsi="Calibri"/>
                <w:color w:val="000000"/>
                <w:sz w:val="16"/>
                <w:szCs w:val="16"/>
              </w:rPr>
            </w:pPr>
          </w:p>
        </w:tc>
      </w:tr>
      <w:tr w:rsidR="00E30D79" w:rsidRPr="00ED6D24" w14:paraId="26BB1E90"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0ABB252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Korean</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D9D9D9" w:fill="D9D9D9"/>
            <w:noWrap/>
            <w:vAlign w:val="bottom"/>
            <w:hideMark/>
          </w:tcPr>
          <w:p w14:paraId="488CB756"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272 (4%)</w:t>
            </w:r>
          </w:p>
        </w:tc>
        <w:tc>
          <w:tcPr>
            <w:tcW w:w="2396" w:type="dxa"/>
            <w:tcBorders>
              <w:top w:val="nil"/>
              <w:left w:val="nil"/>
              <w:bottom w:val="nil"/>
              <w:right w:val="single" w:sz="4" w:space="0" w:color="auto"/>
            </w:tcBorders>
            <w:shd w:val="clear" w:color="D9D9D9" w:fill="D9D9D9"/>
            <w:noWrap/>
            <w:vAlign w:val="bottom"/>
            <w:hideMark/>
          </w:tcPr>
          <w:p w14:paraId="59622F3D" w14:textId="77777777" w:rsidR="00E30D79" w:rsidRPr="00ED6D24" w:rsidRDefault="00E30D79" w:rsidP="00C26C4B">
            <w:pPr>
              <w:rPr>
                <w:rFonts w:ascii="Calibri" w:eastAsia="Times New Roman" w:hAnsi="Calibri"/>
                <w:color w:val="000000"/>
                <w:sz w:val="16"/>
                <w:szCs w:val="16"/>
              </w:rPr>
            </w:pPr>
          </w:p>
        </w:tc>
      </w:tr>
      <w:tr w:rsidR="00E30D79" w:rsidRPr="00ED6D24" w14:paraId="52A2353A"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390474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(Thai)</w:t>
            </w:r>
          </w:p>
        </w:tc>
        <w:tc>
          <w:tcPr>
            <w:tcW w:w="1418" w:type="dxa"/>
            <w:tcBorders>
              <w:top w:val="nil"/>
              <w:left w:val="nil"/>
              <w:bottom w:val="nil"/>
              <w:right w:val="nil"/>
            </w:tcBorders>
            <w:shd w:val="clear" w:color="auto" w:fill="auto"/>
            <w:noWrap/>
            <w:vAlign w:val="bottom"/>
            <w:hideMark/>
          </w:tcPr>
          <w:p w14:paraId="010AC41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127 (1.9%)</w:t>
            </w:r>
          </w:p>
        </w:tc>
        <w:tc>
          <w:tcPr>
            <w:tcW w:w="2396" w:type="dxa"/>
            <w:tcBorders>
              <w:top w:val="nil"/>
              <w:left w:val="nil"/>
              <w:bottom w:val="nil"/>
              <w:right w:val="single" w:sz="4" w:space="0" w:color="auto"/>
            </w:tcBorders>
            <w:shd w:val="clear" w:color="auto" w:fill="auto"/>
            <w:noWrap/>
            <w:vAlign w:val="bottom"/>
            <w:hideMark/>
          </w:tcPr>
          <w:p w14:paraId="15114574" w14:textId="77777777" w:rsidR="00E30D79" w:rsidRPr="00ED6D24" w:rsidRDefault="00E30D79" w:rsidP="00C26C4B">
            <w:pPr>
              <w:rPr>
                <w:rFonts w:ascii="Calibri" w:eastAsia="Times New Roman" w:hAnsi="Calibri"/>
                <w:color w:val="000000"/>
                <w:sz w:val="16"/>
                <w:szCs w:val="16"/>
              </w:rPr>
            </w:pPr>
          </w:p>
        </w:tc>
      </w:tr>
      <w:tr w:rsidR="00E30D79" w:rsidRPr="00ED6D24" w14:paraId="44E8C0B7"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33E0DF5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(Filipino)</w:t>
            </w:r>
          </w:p>
        </w:tc>
        <w:tc>
          <w:tcPr>
            <w:tcW w:w="1418" w:type="dxa"/>
            <w:tcBorders>
              <w:top w:val="nil"/>
              <w:left w:val="nil"/>
              <w:bottom w:val="nil"/>
              <w:right w:val="nil"/>
            </w:tcBorders>
            <w:shd w:val="clear" w:color="D9D9D9" w:fill="D9D9D9"/>
            <w:noWrap/>
            <w:vAlign w:val="bottom"/>
            <w:hideMark/>
          </w:tcPr>
          <w:p w14:paraId="54E569CB"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9 (0.1%)</w:t>
            </w:r>
          </w:p>
        </w:tc>
        <w:tc>
          <w:tcPr>
            <w:tcW w:w="2396" w:type="dxa"/>
            <w:tcBorders>
              <w:top w:val="nil"/>
              <w:left w:val="nil"/>
              <w:bottom w:val="nil"/>
              <w:right w:val="single" w:sz="4" w:space="0" w:color="auto"/>
            </w:tcBorders>
            <w:shd w:val="clear" w:color="D9D9D9" w:fill="D9D9D9"/>
            <w:noWrap/>
            <w:vAlign w:val="bottom"/>
            <w:hideMark/>
          </w:tcPr>
          <w:p w14:paraId="00187262" w14:textId="77777777" w:rsidR="00E30D79" w:rsidRPr="00ED6D24" w:rsidRDefault="00E30D79" w:rsidP="00C26C4B">
            <w:pPr>
              <w:rPr>
                <w:rFonts w:ascii="Calibri" w:eastAsia="Times New Roman" w:hAnsi="Calibri"/>
                <w:color w:val="000000"/>
                <w:sz w:val="16"/>
                <w:szCs w:val="16"/>
              </w:rPr>
            </w:pPr>
          </w:p>
        </w:tc>
      </w:tr>
      <w:tr w:rsidR="00E30D79" w:rsidRPr="00ED6D24" w14:paraId="39CB403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3035FF4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Indigenous</w:t>
            </w:r>
            <w:proofErr w:type="spellEnd"/>
            <w:r w:rsidRPr="00ED6D24">
              <w:rPr>
                <w:rFonts w:ascii="Calibri" w:eastAsia="Times New Roman" w:hAnsi="Calibri"/>
                <w:color w:val="000000"/>
                <w:sz w:val="16"/>
                <w:szCs w:val="16"/>
              </w:rPr>
              <w:t xml:space="preserve"> SEA)</w:t>
            </w:r>
          </w:p>
        </w:tc>
        <w:tc>
          <w:tcPr>
            <w:tcW w:w="1418" w:type="dxa"/>
            <w:tcBorders>
              <w:top w:val="nil"/>
              <w:left w:val="nil"/>
              <w:bottom w:val="nil"/>
              <w:right w:val="nil"/>
            </w:tcBorders>
            <w:shd w:val="clear" w:color="auto" w:fill="auto"/>
            <w:noWrap/>
            <w:vAlign w:val="bottom"/>
            <w:hideMark/>
          </w:tcPr>
          <w:p w14:paraId="228F2342"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106 (1.6%)</w:t>
            </w:r>
          </w:p>
        </w:tc>
        <w:tc>
          <w:tcPr>
            <w:tcW w:w="2396" w:type="dxa"/>
            <w:tcBorders>
              <w:top w:val="nil"/>
              <w:left w:val="nil"/>
              <w:bottom w:val="nil"/>
              <w:right w:val="single" w:sz="4" w:space="0" w:color="auto"/>
            </w:tcBorders>
            <w:shd w:val="clear" w:color="auto" w:fill="auto"/>
            <w:noWrap/>
            <w:vAlign w:val="bottom"/>
            <w:hideMark/>
          </w:tcPr>
          <w:p w14:paraId="684853FF" w14:textId="77777777" w:rsidR="00E30D79" w:rsidRPr="00ED6D24" w:rsidRDefault="00E30D79" w:rsidP="00C26C4B">
            <w:pPr>
              <w:rPr>
                <w:rFonts w:ascii="Calibri" w:eastAsia="Times New Roman" w:hAnsi="Calibri"/>
                <w:color w:val="000000"/>
                <w:sz w:val="16"/>
                <w:szCs w:val="16"/>
              </w:rPr>
            </w:pPr>
          </w:p>
        </w:tc>
      </w:tr>
      <w:tr w:rsidR="00E30D79" w:rsidRPr="00ED6D24" w14:paraId="36511D79"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56C65D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Race (</w:t>
            </w:r>
            <w:proofErr w:type="spellStart"/>
            <w:r w:rsidRPr="00ED6D24">
              <w:rPr>
                <w:rFonts w:ascii="Calibri" w:eastAsia="Times New Roman" w:hAnsi="Calibri"/>
                <w:color w:val="000000"/>
                <w:sz w:val="16"/>
                <w:szCs w:val="16"/>
              </w:rPr>
              <w:t>Other</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D9D9D9" w:fill="D9D9D9"/>
            <w:noWrap/>
            <w:vAlign w:val="bottom"/>
            <w:hideMark/>
          </w:tcPr>
          <w:p w14:paraId="6A8C92D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33 (0.5%)</w:t>
            </w:r>
          </w:p>
        </w:tc>
        <w:tc>
          <w:tcPr>
            <w:tcW w:w="2396" w:type="dxa"/>
            <w:tcBorders>
              <w:top w:val="nil"/>
              <w:left w:val="nil"/>
              <w:bottom w:val="nil"/>
              <w:right w:val="single" w:sz="4" w:space="0" w:color="auto"/>
            </w:tcBorders>
            <w:shd w:val="clear" w:color="D9D9D9" w:fill="D9D9D9"/>
            <w:noWrap/>
            <w:vAlign w:val="bottom"/>
            <w:hideMark/>
          </w:tcPr>
          <w:p w14:paraId="2DEB48B5" w14:textId="77777777" w:rsidR="00E30D79" w:rsidRPr="00ED6D24" w:rsidRDefault="00E30D79" w:rsidP="00C26C4B">
            <w:pPr>
              <w:rPr>
                <w:rFonts w:ascii="Calibri" w:eastAsia="Times New Roman" w:hAnsi="Calibri"/>
                <w:color w:val="000000"/>
                <w:sz w:val="16"/>
                <w:szCs w:val="16"/>
              </w:rPr>
            </w:pPr>
          </w:p>
        </w:tc>
      </w:tr>
      <w:tr w:rsidR="00E30D79" w:rsidRPr="00ED6D24" w14:paraId="6F869E7F"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0E47D00"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NYHA class 1</w:t>
            </w:r>
          </w:p>
        </w:tc>
        <w:tc>
          <w:tcPr>
            <w:tcW w:w="1418" w:type="dxa"/>
            <w:tcBorders>
              <w:top w:val="nil"/>
              <w:left w:val="nil"/>
              <w:bottom w:val="nil"/>
              <w:right w:val="nil"/>
            </w:tcBorders>
            <w:shd w:val="clear" w:color="auto" w:fill="auto"/>
            <w:noWrap/>
            <w:vAlign w:val="bottom"/>
            <w:hideMark/>
          </w:tcPr>
          <w:p w14:paraId="389C653B"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633 (10.1%)</w:t>
            </w:r>
          </w:p>
        </w:tc>
        <w:tc>
          <w:tcPr>
            <w:tcW w:w="2396" w:type="dxa"/>
            <w:tcBorders>
              <w:top w:val="nil"/>
              <w:left w:val="nil"/>
              <w:bottom w:val="nil"/>
              <w:right w:val="single" w:sz="4" w:space="0" w:color="auto"/>
            </w:tcBorders>
            <w:shd w:val="clear" w:color="auto" w:fill="auto"/>
            <w:noWrap/>
            <w:vAlign w:val="bottom"/>
            <w:hideMark/>
          </w:tcPr>
          <w:p w14:paraId="62E4686A"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7 %</w:t>
            </w:r>
          </w:p>
        </w:tc>
      </w:tr>
      <w:tr w:rsidR="00E30D79" w:rsidRPr="00ED6D24" w14:paraId="53923007"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1A7B4ED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NYHA class 2</w:t>
            </w:r>
          </w:p>
        </w:tc>
        <w:tc>
          <w:tcPr>
            <w:tcW w:w="1418" w:type="dxa"/>
            <w:tcBorders>
              <w:top w:val="nil"/>
              <w:left w:val="nil"/>
              <w:bottom w:val="nil"/>
              <w:right w:val="nil"/>
            </w:tcBorders>
            <w:shd w:val="clear" w:color="D9D9D9" w:fill="D9D9D9"/>
            <w:noWrap/>
            <w:vAlign w:val="bottom"/>
            <w:hideMark/>
          </w:tcPr>
          <w:p w14:paraId="078D87AC"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2972 (47.2%)</w:t>
            </w:r>
          </w:p>
        </w:tc>
        <w:tc>
          <w:tcPr>
            <w:tcW w:w="2396" w:type="dxa"/>
            <w:tcBorders>
              <w:top w:val="nil"/>
              <w:left w:val="nil"/>
              <w:bottom w:val="nil"/>
              <w:right w:val="single" w:sz="4" w:space="0" w:color="auto"/>
            </w:tcBorders>
            <w:shd w:val="clear" w:color="D9D9D9" w:fill="D9D9D9"/>
            <w:noWrap/>
            <w:vAlign w:val="bottom"/>
            <w:hideMark/>
          </w:tcPr>
          <w:p w14:paraId="5B9A8FF9" w14:textId="77777777" w:rsidR="00E30D79" w:rsidRPr="00ED6D24" w:rsidRDefault="00E30D79" w:rsidP="00C26C4B">
            <w:pPr>
              <w:rPr>
                <w:rFonts w:ascii="Calibri" w:eastAsia="Times New Roman" w:hAnsi="Calibri"/>
                <w:color w:val="000000"/>
                <w:sz w:val="16"/>
                <w:szCs w:val="16"/>
              </w:rPr>
            </w:pPr>
          </w:p>
        </w:tc>
      </w:tr>
      <w:tr w:rsidR="00E30D79" w:rsidRPr="00ED6D24" w14:paraId="0CFA1FFF"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A495DF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NYHA class 3</w:t>
            </w:r>
          </w:p>
        </w:tc>
        <w:tc>
          <w:tcPr>
            <w:tcW w:w="1418" w:type="dxa"/>
            <w:tcBorders>
              <w:top w:val="nil"/>
              <w:left w:val="nil"/>
              <w:bottom w:val="nil"/>
              <w:right w:val="nil"/>
            </w:tcBorders>
            <w:shd w:val="clear" w:color="auto" w:fill="auto"/>
            <w:noWrap/>
            <w:vAlign w:val="bottom"/>
            <w:hideMark/>
          </w:tcPr>
          <w:p w14:paraId="5BA61236"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2199 (34.9%)</w:t>
            </w:r>
          </w:p>
        </w:tc>
        <w:tc>
          <w:tcPr>
            <w:tcW w:w="2396" w:type="dxa"/>
            <w:tcBorders>
              <w:top w:val="nil"/>
              <w:left w:val="nil"/>
              <w:bottom w:val="nil"/>
              <w:right w:val="single" w:sz="4" w:space="0" w:color="auto"/>
            </w:tcBorders>
            <w:shd w:val="clear" w:color="auto" w:fill="auto"/>
            <w:noWrap/>
            <w:vAlign w:val="bottom"/>
            <w:hideMark/>
          </w:tcPr>
          <w:p w14:paraId="0D1580C8" w14:textId="77777777" w:rsidR="00E30D79" w:rsidRPr="00ED6D24" w:rsidRDefault="00E30D79" w:rsidP="00C26C4B">
            <w:pPr>
              <w:rPr>
                <w:rFonts w:ascii="Calibri" w:eastAsia="Times New Roman" w:hAnsi="Calibri"/>
                <w:color w:val="000000"/>
                <w:sz w:val="16"/>
                <w:szCs w:val="16"/>
              </w:rPr>
            </w:pPr>
          </w:p>
        </w:tc>
      </w:tr>
      <w:tr w:rsidR="00E30D79" w:rsidRPr="00ED6D24" w14:paraId="73CE9A8C"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72AA3AF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NYHA class 4</w:t>
            </w:r>
          </w:p>
        </w:tc>
        <w:tc>
          <w:tcPr>
            <w:tcW w:w="1418" w:type="dxa"/>
            <w:tcBorders>
              <w:top w:val="nil"/>
              <w:left w:val="nil"/>
              <w:bottom w:val="nil"/>
              <w:right w:val="nil"/>
            </w:tcBorders>
            <w:shd w:val="clear" w:color="D9D9D9" w:fill="D9D9D9"/>
            <w:noWrap/>
            <w:vAlign w:val="bottom"/>
            <w:hideMark/>
          </w:tcPr>
          <w:p w14:paraId="07A54B49"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492 (7.8%)</w:t>
            </w:r>
          </w:p>
        </w:tc>
        <w:tc>
          <w:tcPr>
            <w:tcW w:w="2396" w:type="dxa"/>
            <w:tcBorders>
              <w:top w:val="nil"/>
              <w:left w:val="nil"/>
              <w:bottom w:val="nil"/>
              <w:right w:val="single" w:sz="4" w:space="0" w:color="auto"/>
            </w:tcBorders>
            <w:shd w:val="clear" w:color="D9D9D9" w:fill="D9D9D9"/>
            <w:noWrap/>
            <w:vAlign w:val="bottom"/>
            <w:hideMark/>
          </w:tcPr>
          <w:p w14:paraId="6B45E77D" w14:textId="77777777" w:rsidR="00E30D79" w:rsidRPr="00ED6D24" w:rsidRDefault="00E30D79" w:rsidP="00C26C4B">
            <w:pPr>
              <w:rPr>
                <w:rFonts w:ascii="Calibri" w:eastAsia="Times New Roman" w:hAnsi="Calibri"/>
                <w:color w:val="000000"/>
                <w:sz w:val="16"/>
                <w:szCs w:val="16"/>
              </w:rPr>
            </w:pPr>
          </w:p>
        </w:tc>
      </w:tr>
      <w:tr w:rsidR="00E30D79" w:rsidRPr="00ED6D24" w14:paraId="74EB17C2"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580BDBAD"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Orthopnea</w:t>
            </w:r>
            <w:proofErr w:type="spellEnd"/>
            <w:r w:rsidRPr="00ED6D24">
              <w:rPr>
                <w:rFonts w:ascii="Calibri" w:eastAsia="Times New Roman" w:hAnsi="Calibri"/>
                <w:color w:val="000000"/>
                <w:sz w:val="16"/>
                <w:szCs w:val="16"/>
              </w:rPr>
              <w:t xml:space="preserve"> present</w:t>
            </w:r>
          </w:p>
        </w:tc>
        <w:tc>
          <w:tcPr>
            <w:tcW w:w="1418" w:type="dxa"/>
            <w:tcBorders>
              <w:top w:val="nil"/>
              <w:left w:val="nil"/>
              <w:bottom w:val="nil"/>
              <w:right w:val="nil"/>
            </w:tcBorders>
            <w:shd w:val="clear" w:color="auto" w:fill="auto"/>
            <w:noWrap/>
            <w:vAlign w:val="bottom"/>
            <w:hideMark/>
          </w:tcPr>
          <w:p w14:paraId="59F76E90"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1664 (24.5%)</w:t>
            </w:r>
          </w:p>
        </w:tc>
        <w:tc>
          <w:tcPr>
            <w:tcW w:w="2396" w:type="dxa"/>
            <w:tcBorders>
              <w:top w:val="nil"/>
              <w:left w:val="nil"/>
              <w:bottom w:val="nil"/>
              <w:right w:val="single" w:sz="4" w:space="0" w:color="auto"/>
            </w:tcBorders>
            <w:shd w:val="clear" w:color="auto" w:fill="auto"/>
            <w:noWrap/>
            <w:vAlign w:val="bottom"/>
            <w:hideMark/>
          </w:tcPr>
          <w:p w14:paraId="045967A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4DF57995"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79FB6B5A"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Height</w:t>
            </w:r>
            <w:proofErr w:type="spellEnd"/>
            <w:r w:rsidRPr="00ED6D24">
              <w:rPr>
                <w:rFonts w:ascii="Calibri" w:eastAsia="Times New Roman" w:hAnsi="Calibri"/>
                <w:color w:val="000000"/>
                <w:sz w:val="16"/>
                <w:szCs w:val="16"/>
              </w:rPr>
              <w:t xml:space="preserve"> (m)</w:t>
            </w:r>
          </w:p>
        </w:tc>
        <w:tc>
          <w:tcPr>
            <w:tcW w:w="1418" w:type="dxa"/>
            <w:tcBorders>
              <w:top w:val="nil"/>
              <w:left w:val="nil"/>
              <w:bottom w:val="nil"/>
              <w:right w:val="nil"/>
            </w:tcBorders>
            <w:shd w:val="clear" w:color="D9D9D9" w:fill="D9D9D9"/>
            <w:noWrap/>
            <w:vAlign w:val="bottom"/>
            <w:hideMark/>
          </w:tcPr>
          <w:p w14:paraId="3D5261E4"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166.4 (9.54)</w:t>
            </w:r>
          </w:p>
        </w:tc>
        <w:tc>
          <w:tcPr>
            <w:tcW w:w="2396" w:type="dxa"/>
            <w:tcBorders>
              <w:top w:val="nil"/>
              <w:left w:val="nil"/>
              <w:bottom w:val="nil"/>
              <w:right w:val="single" w:sz="4" w:space="0" w:color="auto"/>
            </w:tcBorders>
            <w:shd w:val="clear" w:color="D9D9D9" w:fill="D9D9D9"/>
            <w:noWrap/>
            <w:vAlign w:val="bottom"/>
            <w:hideMark/>
          </w:tcPr>
          <w:p w14:paraId="1C824DF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3 %</w:t>
            </w:r>
          </w:p>
        </w:tc>
      </w:tr>
      <w:tr w:rsidR="00E30D79" w:rsidRPr="00ED6D24" w14:paraId="58E930F8"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5D463134"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Weight</w:t>
            </w:r>
            <w:proofErr w:type="spellEnd"/>
            <w:r w:rsidRPr="00ED6D24">
              <w:rPr>
                <w:rFonts w:ascii="Calibri" w:eastAsia="Times New Roman" w:hAnsi="Calibri"/>
                <w:color w:val="000000"/>
                <w:sz w:val="16"/>
                <w:szCs w:val="16"/>
              </w:rPr>
              <w:t xml:space="preserve"> (kg)</w:t>
            </w:r>
          </w:p>
        </w:tc>
        <w:tc>
          <w:tcPr>
            <w:tcW w:w="1418" w:type="dxa"/>
            <w:tcBorders>
              <w:top w:val="nil"/>
              <w:left w:val="nil"/>
              <w:bottom w:val="nil"/>
              <w:right w:val="nil"/>
            </w:tcBorders>
            <w:shd w:val="clear" w:color="auto" w:fill="auto"/>
            <w:noWrap/>
            <w:vAlign w:val="bottom"/>
            <w:hideMark/>
          </w:tcPr>
          <w:p w14:paraId="68DA7D31"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72.2 (18.11)</w:t>
            </w:r>
          </w:p>
        </w:tc>
        <w:tc>
          <w:tcPr>
            <w:tcW w:w="2396" w:type="dxa"/>
            <w:tcBorders>
              <w:top w:val="nil"/>
              <w:left w:val="nil"/>
              <w:bottom w:val="nil"/>
              <w:right w:val="single" w:sz="4" w:space="0" w:color="auto"/>
            </w:tcBorders>
            <w:shd w:val="clear" w:color="auto" w:fill="auto"/>
            <w:noWrap/>
            <w:vAlign w:val="bottom"/>
            <w:hideMark/>
          </w:tcPr>
          <w:p w14:paraId="2101B0D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3 %</w:t>
            </w:r>
          </w:p>
        </w:tc>
      </w:tr>
      <w:tr w:rsidR="00E30D79" w:rsidRPr="00ED6D24" w14:paraId="0F1DEB24"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05087B4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BMI (kg/m</w:t>
            </w:r>
            <w:r w:rsidRPr="00206A91">
              <w:rPr>
                <w:rFonts w:ascii="Calibri" w:eastAsia="Times New Roman" w:hAnsi="Calibri"/>
                <w:color w:val="000000"/>
                <w:sz w:val="16"/>
                <w:szCs w:val="16"/>
                <w:vertAlign w:val="superscript"/>
              </w:rPr>
              <w:t>2</w:t>
            </w:r>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D9D9D9" w:fill="D9D9D9"/>
            <w:noWrap/>
            <w:vAlign w:val="bottom"/>
            <w:hideMark/>
          </w:tcPr>
          <w:p w14:paraId="316E1CD3"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25.9 (5.4)</w:t>
            </w:r>
          </w:p>
        </w:tc>
        <w:tc>
          <w:tcPr>
            <w:tcW w:w="2396" w:type="dxa"/>
            <w:tcBorders>
              <w:top w:val="nil"/>
              <w:left w:val="nil"/>
              <w:bottom w:val="nil"/>
              <w:right w:val="single" w:sz="4" w:space="0" w:color="auto"/>
            </w:tcBorders>
            <w:shd w:val="clear" w:color="D9D9D9" w:fill="D9D9D9"/>
            <w:noWrap/>
            <w:vAlign w:val="bottom"/>
            <w:hideMark/>
          </w:tcPr>
          <w:p w14:paraId="68548FC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3 %</w:t>
            </w:r>
          </w:p>
        </w:tc>
      </w:tr>
      <w:tr w:rsidR="00E30D79" w:rsidRPr="00ED6D24" w14:paraId="59E8A38D"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9D28FFC" w14:textId="77777777" w:rsidR="00E30D79" w:rsidRPr="00ED6D24" w:rsidRDefault="00E30D79" w:rsidP="00C26C4B">
            <w:pPr>
              <w:rPr>
                <w:rFonts w:ascii="Calibri" w:eastAsia="Times New Roman" w:hAnsi="Calibri"/>
                <w:color w:val="000000"/>
                <w:sz w:val="16"/>
                <w:szCs w:val="16"/>
              </w:rPr>
            </w:pPr>
            <w:proofErr w:type="spellStart"/>
            <w:r>
              <w:rPr>
                <w:rFonts w:ascii="Calibri" w:eastAsia="Times New Roman" w:hAnsi="Calibri"/>
                <w:color w:val="000000"/>
                <w:sz w:val="16"/>
                <w:szCs w:val="16"/>
              </w:rPr>
              <w:t>Heart</w:t>
            </w:r>
            <w:proofErr w:type="spellEnd"/>
            <w:r>
              <w:rPr>
                <w:rFonts w:ascii="Calibri" w:eastAsia="Times New Roman" w:hAnsi="Calibri"/>
                <w:color w:val="000000"/>
                <w:sz w:val="16"/>
                <w:szCs w:val="16"/>
              </w:rPr>
              <w:t xml:space="preserve"> </w:t>
            </w:r>
            <w:proofErr w:type="spellStart"/>
            <w:r>
              <w:rPr>
                <w:rFonts w:ascii="Calibri" w:eastAsia="Times New Roman" w:hAnsi="Calibri"/>
                <w:color w:val="000000"/>
                <w:sz w:val="16"/>
                <w:szCs w:val="16"/>
              </w:rPr>
              <w:t>rate</w:t>
            </w:r>
            <w:proofErr w:type="spellEnd"/>
            <w:r w:rsidRPr="00ED6D24">
              <w:rPr>
                <w:rFonts w:ascii="Calibri" w:eastAsia="Times New Roman" w:hAnsi="Calibri"/>
                <w:color w:val="000000"/>
                <w:sz w:val="16"/>
                <w:szCs w:val="16"/>
              </w:rPr>
              <w:t xml:space="preserve"> (beats/min)</w:t>
            </w:r>
          </w:p>
        </w:tc>
        <w:tc>
          <w:tcPr>
            <w:tcW w:w="1418" w:type="dxa"/>
            <w:tcBorders>
              <w:top w:val="nil"/>
              <w:left w:val="nil"/>
              <w:bottom w:val="nil"/>
              <w:right w:val="nil"/>
            </w:tcBorders>
            <w:shd w:val="clear" w:color="auto" w:fill="auto"/>
            <w:noWrap/>
            <w:vAlign w:val="bottom"/>
            <w:hideMark/>
          </w:tcPr>
          <w:p w14:paraId="6DEA6A18"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79.6 (17.26)</w:t>
            </w:r>
          </w:p>
        </w:tc>
        <w:tc>
          <w:tcPr>
            <w:tcW w:w="2396" w:type="dxa"/>
            <w:tcBorders>
              <w:top w:val="nil"/>
              <w:left w:val="nil"/>
              <w:bottom w:val="nil"/>
              <w:right w:val="single" w:sz="4" w:space="0" w:color="auto"/>
            </w:tcBorders>
            <w:shd w:val="clear" w:color="auto" w:fill="auto"/>
            <w:noWrap/>
            <w:vAlign w:val="bottom"/>
            <w:hideMark/>
          </w:tcPr>
          <w:p w14:paraId="54F519B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1 %</w:t>
            </w:r>
          </w:p>
        </w:tc>
      </w:tr>
      <w:tr w:rsidR="00E30D79" w:rsidRPr="00ED6D24" w14:paraId="3CAFDA5B"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CD72DCA" w14:textId="77777777" w:rsidR="00E30D79" w:rsidRPr="00ED6D24" w:rsidRDefault="00E30D79" w:rsidP="00C26C4B">
            <w:pPr>
              <w:rPr>
                <w:rFonts w:ascii="Calibri" w:eastAsia="Times New Roman" w:hAnsi="Calibri"/>
                <w:color w:val="000000"/>
                <w:sz w:val="16"/>
                <w:szCs w:val="16"/>
              </w:rPr>
            </w:pPr>
            <w:proofErr w:type="spellStart"/>
            <w:r>
              <w:rPr>
                <w:rFonts w:ascii="Calibri" w:eastAsia="Times New Roman" w:hAnsi="Calibri"/>
                <w:color w:val="000000"/>
                <w:sz w:val="16"/>
                <w:szCs w:val="16"/>
              </w:rPr>
              <w:t>Systolic</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blood</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pressure</w:t>
            </w:r>
            <w:proofErr w:type="spellEnd"/>
            <w:r w:rsidRPr="00206A91">
              <w:rPr>
                <w:rFonts w:ascii="Calibri" w:eastAsia="Times New Roman" w:hAnsi="Calibri"/>
                <w:color w:val="000000"/>
                <w:sz w:val="16"/>
                <w:szCs w:val="16"/>
              </w:rPr>
              <w:t xml:space="preserve"> (mmHg)</w:t>
            </w:r>
          </w:p>
        </w:tc>
        <w:tc>
          <w:tcPr>
            <w:tcW w:w="1418" w:type="dxa"/>
            <w:tcBorders>
              <w:top w:val="nil"/>
              <w:left w:val="nil"/>
              <w:bottom w:val="nil"/>
              <w:right w:val="nil"/>
            </w:tcBorders>
            <w:shd w:val="clear" w:color="D9D9D9" w:fill="D9D9D9"/>
            <w:noWrap/>
            <w:vAlign w:val="bottom"/>
            <w:hideMark/>
          </w:tcPr>
          <w:p w14:paraId="760488DA"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120 (20.58)</w:t>
            </w:r>
          </w:p>
        </w:tc>
        <w:tc>
          <w:tcPr>
            <w:tcW w:w="2396" w:type="dxa"/>
            <w:tcBorders>
              <w:top w:val="nil"/>
              <w:left w:val="nil"/>
              <w:bottom w:val="nil"/>
              <w:right w:val="single" w:sz="4" w:space="0" w:color="auto"/>
            </w:tcBorders>
            <w:shd w:val="clear" w:color="D9D9D9" w:fill="D9D9D9"/>
            <w:noWrap/>
            <w:vAlign w:val="bottom"/>
            <w:hideMark/>
          </w:tcPr>
          <w:p w14:paraId="270317A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718CB81A"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4158A9BA" w14:textId="77777777" w:rsidR="00E30D79" w:rsidRPr="00ED6D24"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Diastolic</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blood</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pressure</w:t>
            </w:r>
            <w:proofErr w:type="spellEnd"/>
            <w:r w:rsidRPr="00206A91">
              <w:rPr>
                <w:rFonts w:ascii="Calibri" w:eastAsia="Times New Roman" w:hAnsi="Calibri"/>
                <w:color w:val="000000"/>
                <w:sz w:val="16"/>
                <w:szCs w:val="16"/>
              </w:rPr>
              <w:t xml:space="preserve"> (mmHg)</w:t>
            </w:r>
          </w:p>
        </w:tc>
        <w:tc>
          <w:tcPr>
            <w:tcW w:w="1418" w:type="dxa"/>
            <w:tcBorders>
              <w:top w:val="nil"/>
              <w:left w:val="nil"/>
              <w:bottom w:val="nil"/>
              <w:right w:val="nil"/>
            </w:tcBorders>
            <w:shd w:val="clear" w:color="auto" w:fill="auto"/>
            <w:noWrap/>
            <w:vAlign w:val="bottom"/>
            <w:hideMark/>
          </w:tcPr>
          <w:p w14:paraId="01742827"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73.1 (12.74)</w:t>
            </w:r>
          </w:p>
        </w:tc>
        <w:tc>
          <w:tcPr>
            <w:tcW w:w="2396" w:type="dxa"/>
            <w:tcBorders>
              <w:top w:val="nil"/>
              <w:left w:val="nil"/>
              <w:bottom w:val="nil"/>
              <w:right w:val="single" w:sz="4" w:space="0" w:color="auto"/>
            </w:tcBorders>
            <w:shd w:val="clear" w:color="auto" w:fill="auto"/>
            <w:noWrap/>
            <w:vAlign w:val="bottom"/>
            <w:hideMark/>
          </w:tcPr>
          <w:p w14:paraId="6035230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08D83D7F"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3E7FA17A" w14:textId="77777777" w:rsidR="00E30D79" w:rsidRPr="00ED6D24" w:rsidRDefault="00E30D79" w:rsidP="00C26C4B">
            <w:pPr>
              <w:rPr>
                <w:rFonts w:ascii="Calibri" w:eastAsia="Times New Roman" w:hAnsi="Calibri"/>
                <w:color w:val="000000"/>
                <w:sz w:val="16"/>
                <w:szCs w:val="16"/>
              </w:rPr>
            </w:pPr>
            <w:proofErr w:type="spellStart"/>
            <w:r w:rsidRPr="004A136F">
              <w:rPr>
                <w:rFonts w:ascii="Calibri" w:eastAsia="Times New Roman" w:hAnsi="Calibri"/>
                <w:color w:val="000000"/>
                <w:sz w:val="16"/>
                <w:szCs w:val="16"/>
              </w:rPr>
              <w:t>jugular</w:t>
            </w:r>
            <w:proofErr w:type="spellEnd"/>
            <w:r w:rsidRPr="004A136F">
              <w:rPr>
                <w:rFonts w:ascii="Calibri" w:eastAsia="Times New Roman" w:hAnsi="Calibri"/>
                <w:color w:val="000000"/>
                <w:sz w:val="16"/>
                <w:szCs w:val="16"/>
              </w:rPr>
              <w:t xml:space="preserve"> </w:t>
            </w:r>
            <w:proofErr w:type="spellStart"/>
            <w:r w:rsidRPr="004A136F">
              <w:rPr>
                <w:rFonts w:ascii="Calibri" w:eastAsia="Times New Roman" w:hAnsi="Calibri"/>
                <w:color w:val="000000"/>
                <w:sz w:val="16"/>
                <w:szCs w:val="16"/>
              </w:rPr>
              <w:t>venous</w:t>
            </w:r>
            <w:proofErr w:type="spellEnd"/>
            <w:r w:rsidRPr="004A136F">
              <w:rPr>
                <w:rFonts w:ascii="Calibri" w:eastAsia="Times New Roman" w:hAnsi="Calibri"/>
                <w:color w:val="000000"/>
                <w:sz w:val="16"/>
                <w:szCs w:val="16"/>
              </w:rPr>
              <w:t xml:space="preserve"> </w:t>
            </w:r>
            <w:proofErr w:type="spellStart"/>
            <w:r w:rsidRPr="004A136F">
              <w:rPr>
                <w:rFonts w:ascii="Calibri" w:eastAsia="Times New Roman" w:hAnsi="Calibri"/>
                <w:color w:val="000000"/>
                <w:sz w:val="16"/>
                <w:szCs w:val="16"/>
              </w:rPr>
              <w:t>pressure</w:t>
            </w:r>
            <w:proofErr w:type="spellEnd"/>
          </w:p>
        </w:tc>
        <w:tc>
          <w:tcPr>
            <w:tcW w:w="1418" w:type="dxa"/>
            <w:tcBorders>
              <w:top w:val="nil"/>
              <w:left w:val="nil"/>
              <w:bottom w:val="nil"/>
              <w:right w:val="nil"/>
            </w:tcBorders>
            <w:shd w:val="clear" w:color="D9D9D9" w:fill="D9D9D9"/>
            <w:noWrap/>
            <w:vAlign w:val="bottom"/>
            <w:hideMark/>
          </w:tcPr>
          <w:p w14:paraId="41628BA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1132 (18.6%)</w:t>
            </w:r>
          </w:p>
        </w:tc>
        <w:tc>
          <w:tcPr>
            <w:tcW w:w="2396" w:type="dxa"/>
            <w:tcBorders>
              <w:top w:val="nil"/>
              <w:left w:val="nil"/>
              <w:bottom w:val="nil"/>
              <w:right w:val="single" w:sz="4" w:space="0" w:color="auto"/>
            </w:tcBorders>
            <w:shd w:val="clear" w:color="D9D9D9" w:fill="D9D9D9"/>
            <w:noWrap/>
            <w:vAlign w:val="bottom"/>
            <w:hideMark/>
          </w:tcPr>
          <w:p w14:paraId="7C955B30"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10 %</w:t>
            </w:r>
          </w:p>
        </w:tc>
      </w:tr>
      <w:tr w:rsidR="00E30D79" w:rsidRPr="00ED6D24" w14:paraId="0E4C0B4C"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ABBEAC1"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Peripheral</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oedema</w:t>
            </w:r>
            <w:proofErr w:type="spellEnd"/>
          </w:p>
        </w:tc>
        <w:tc>
          <w:tcPr>
            <w:tcW w:w="1418" w:type="dxa"/>
            <w:tcBorders>
              <w:top w:val="nil"/>
              <w:left w:val="nil"/>
              <w:bottom w:val="nil"/>
              <w:right w:val="nil"/>
            </w:tcBorders>
            <w:shd w:val="clear" w:color="auto" w:fill="auto"/>
            <w:noWrap/>
            <w:vAlign w:val="bottom"/>
            <w:hideMark/>
          </w:tcPr>
          <w:p w14:paraId="4629E21A"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2058 (30.4%)</w:t>
            </w:r>
          </w:p>
        </w:tc>
        <w:tc>
          <w:tcPr>
            <w:tcW w:w="2396" w:type="dxa"/>
            <w:tcBorders>
              <w:top w:val="nil"/>
              <w:left w:val="nil"/>
              <w:bottom w:val="nil"/>
              <w:right w:val="single" w:sz="4" w:space="0" w:color="auto"/>
            </w:tcBorders>
            <w:shd w:val="clear" w:color="auto" w:fill="auto"/>
            <w:noWrap/>
            <w:vAlign w:val="bottom"/>
            <w:hideMark/>
          </w:tcPr>
          <w:p w14:paraId="4FD3E02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156BC4FB"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165A1A22"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Rales</w:t>
            </w:r>
            <w:proofErr w:type="spellEnd"/>
          </w:p>
        </w:tc>
        <w:tc>
          <w:tcPr>
            <w:tcW w:w="1418" w:type="dxa"/>
            <w:tcBorders>
              <w:top w:val="nil"/>
              <w:left w:val="nil"/>
              <w:bottom w:val="nil"/>
              <w:right w:val="nil"/>
            </w:tcBorders>
            <w:shd w:val="clear" w:color="D9D9D9" w:fill="D9D9D9"/>
            <w:noWrap/>
            <w:vAlign w:val="bottom"/>
            <w:hideMark/>
          </w:tcPr>
          <w:p w14:paraId="19A954A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951 (16.7%)</w:t>
            </w:r>
          </w:p>
        </w:tc>
        <w:tc>
          <w:tcPr>
            <w:tcW w:w="2396" w:type="dxa"/>
            <w:tcBorders>
              <w:top w:val="nil"/>
              <w:left w:val="nil"/>
              <w:bottom w:val="nil"/>
              <w:right w:val="single" w:sz="4" w:space="0" w:color="auto"/>
            </w:tcBorders>
            <w:shd w:val="clear" w:color="D9D9D9" w:fill="D9D9D9"/>
            <w:noWrap/>
            <w:vAlign w:val="bottom"/>
            <w:hideMark/>
          </w:tcPr>
          <w:p w14:paraId="1022783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16 %</w:t>
            </w:r>
          </w:p>
        </w:tc>
      </w:tr>
      <w:tr w:rsidR="00E30D79" w:rsidRPr="00ED6D24" w14:paraId="6273410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2709E95"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Hepatomegaly</w:t>
            </w:r>
            <w:proofErr w:type="spellEnd"/>
          </w:p>
        </w:tc>
        <w:tc>
          <w:tcPr>
            <w:tcW w:w="1418" w:type="dxa"/>
            <w:tcBorders>
              <w:top w:val="nil"/>
              <w:left w:val="nil"/>
              <w:bottom w:val="nil"/>
              <w:right w:val="nil"/>
            </w:tcBorders>
            <w:shd w:val="clear" w:color="auto" w:fill="auto"/>
            <w:noWrap/>
            <w:vAlign w:val="bottom"/>
            <w:hideMark/>
          </w:tcPr>
          <w:p w14:paraId="1580AC53"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542 (8%)</w:t>
            </w:r>
          </w:p>
        </w:tc>
        <w:tc>
          <w:tcPr>
            <w:tcW w:w="2396" w:type="dxa"/>
            <w:tcBorders>
              <w:top w:val="nil"/>
              <w:left w:val="nil"/>
              <w:bottom w:val="nil"/>
              <w:right w:val="single" w:sz="4" w:space="0" w:color="auto"/>
            </w:tcBorders>
            <w:shd w:val="clear" w:color="auto" w:fill="auto"/>
            <w:noWrap/>
            <w:vAlign w:val="bottom"/>
            <w:hideMark/>
          </w:tcPr>
          <w:p w14:paraId="045F98B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7ECAEDA9"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7A93B157"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Ischemic</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aetiology</w:t>
            </w:r>
            <w:proofErr w:type="spellEnd"/>
          </w:p>
        </w:tc>
        <w:tc>
          <w:tcPr>
            <w:tcW w:w="1418" w:type="dxa"/>
            <w:tcBorders>
              <w:top w:val="nil"/>
              <w:left w:val="nil"/>
              <w:bottom w:val="nil"/>
              <w:right w:val="nil"/>
            </w:tcBorders>
            <w:shd w:val="clear" w:color="D9D9D9" w:fill="D9D9D9"/>
            <w:noWrap/>
            <w:vAlign w:val="bottom"/>
            <w:hideMark/>
          </w:tcPr>
          <w:p w14:paraId="0F074F18"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3343 (51.4%)</w:t>
            </w:r>
          </w:p>
        </w:tc>
        <w:tc>
          <w:tcPr>
            <w:tcW w:w="2396" w:type="dxa"/>
            <w:tcBorders>
              <w:top w:val="nil"/>
              <w:left w:val="nil"/>
              <w:bottom w:val="nil"/>
              <w:right w:val="single" w:sz="4" w:space="0" w:color="auto"/>
            </w:tcBorders>
            <w:shd w:val="clear" w:color="D9D9D9" w:fill="D9D9D9"/>
            <w:noWrap/>
            <w:vAlign w:val="bottom"/>
            <w:hideMark/>
          </w:tcPr>
          <w:p w14:paraId="2672023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4 %</w:t>
            </w:r>
          </w:p>
        </w:tc>
      </w:tr>
      <w:tr w:rsidR="00E30D79" w:rsidRPr="00ED6D24" w14:paraId="108ACC72"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4A0C60C2" w14:textId="77777777" w:rsidR="00E30D79" w:rsidRPr="00ED6D24" w:rsidRDefault="00E30D79" w:rsidP="00C26C4B">
            <w:pPr>
              <w:rPr>
                <w:rFonts w:ascii="Calibri" w:eastAsia="Times New Roman" w:hAnsi="Calibri"/>
                <w:color w:val="000000"/>
                <w:sz w:val="16"/>
                <w:szCs w:val="16"/>
                <w:lang w:val="en-US"/>
              </w:rPr>
            </w:pPr>
            <w:r w:rsidRPr="00ED6D24">
              <w:rPr>
                <w:rFonts w:ascii="Calibri" w:eastAsia="Times New Roman" w:hAnsi="Calibri"/>
                <w:color w:val="000000"/>
                <w:sz w:val="16"/>
                <w:szCs w:val="16"/>
                <w:lang w:val="en-US"/>
              </w:rPr>
              <w:t>Previous hospitalization for heart failure</w:t>
            </w:r>
          </w:p>
        </w:tc>
        <w:tc>
          <w:tcPr>
            <w:tcW w:w="1418" w:type="dxa"/>
            <w:tcBorders>
              <w:top w:val="nil"/>
              <w:left w:val="nil"/>
              <w:bottom w:val="nil"/>
              <w:right w:val="nil"/>
            </w:tcBorders>
            <w:shd w:val="clear" w:color="auto" w:fill="auto"/>
            <w:noWrap/>
            <w:vAlign w:val="bottom"/>
            <w:hideMark/>
          </w:tcPr>
          <w:p w14:paraId="57E8CFC3"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2247 (48.8%)</w:t>
            </w:r>
          </w:p>
        </w:tc>
        <w:tc>
          <w:tcPr>
            <w:tcW w:w="2396" w:type="dxa"/>
            <w:tcBorders>
              <w:top w:val="nil"/>
              <w:left w:val="nil"/>
              <w:bottom w:val="nil"/>
              <w:right w:val="single" w:sz="4" w:space="0" w:color="auto"/>
            </w:tcBorders>
            <w:shd w:val="clear" w:color="auto" w:fill="auto"/>
            <w:noWrap/>
            <w:vAlign w:val="bottom"/>
            <w:hideMark/>
          </w:tcPr>
          <w:p w14:paraId="19774B2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32 %</w:t>
            </w:r>
          </w:p>
        </w:tc>
      </w:tr>
      <w:tr w:rsidR="00E30D79" w:rsidRPr="00ED6D24" w14:paraId="37605343"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37D1EA8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Device </w:t>
            </w:r>
            <w:proofErr w:type="spellStart"/>
            <w:r w:rsidRPr="00ED6D24">
              <w:rPr>
                <w:rFonts w:ascii="Calibri" w:eastAsia="Times New Roman" w:hAnsi="Calibri"/>
                <w:color w:val="000000"/>
                <w:sz w:val="16"/>
                <w:szCs w:val="16"/>
              </w:rPr>
              <w:t>therapy</w:t>
            </w:r>
            <w:proofErr w:type="spellEnd"/>
            <w:r w:rsidRPr="00ED6D24">
              <w:rPr>
                <w:rFonts w:ascii="Calibri" w:eastAsia="Times New Roman" w:hAnsi="Calibri"/>
                <w:color w:val="000000"/>
                <w:sz w:val="16"/>
                <w:szCs w:val="16"/>
              </w:rPr>
              <w:t xml:space="preserve"> (ICD only)</w:t>
            </w:r>
          </w:p>
        </w:tc>
        <w:tc>
          <w:tcPr>
            <w:tcW w:w="1418" w:type="dxa"/>
            <w:tcBorders>
              <w:top w:val="nil"/>
              <w:left w:val="nil"/>
              <w:bottom w:val="nil"/>
              <w:right w:val="nil"/>
            </w:tcBorders>
            <w:shd w:val="clear" w:color="D9D9D9" w:fill="D9D9D9"/>
            <w:noWrap/>
            <w:vAlign w:val="bottom"/>
            <w:hideMark/>
          </w:tcPr>
          <w:p w14:paraId="0B1E66C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368 (5.4%)</w:t>
            </w:r>
          </w:p>
        </w:tc>
        <w:tc>
          <w:tcPr>
            <w:tcW w:w="2396" w:type="dxa"/>
            <w:tcBorders>
              <w:top w:val="nil"/>
              <w:left w:val="nil"/>
              <w:bottom w:val="nil"/>
              <w:right w:val="single" w:sz="4" w:space="0" w:color="auto"/>
            </w:tcBorders>
            <w:shd w:val="clear" w:color="D9D9D9" w:fill="D9D9D9"/>
            <w:noWrap/>
            <w:vAlign w:val="bottom"/>
            <w:hideMark/>
          </w:tcPr>
          <w:p w14:paraId="285A9DB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2761F958"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567018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Device </w:t>
            </w:r>
            <w:proofErr w:type="spellStart"/>
            <w:r w:rsidRPr="00ED6D24">
              <w:rPr>
                <w:rFonts w:ascii="Calibri" w:eastAsia="Times New Roman" w:hAnsi="Calibri"/>
                <w:color w:val="000000"/>
                <w:sz w:val="16"/>
                <w:szCs w:val="16"/>
              </w:rPr>
              <w:t>therapy</w:t>
            </w:r>
            <w:proofErr w:type="spellEnd"/>
            <w:r w:rsidRPr="00ED6D24">
              <w:rPr>
                <w:rFonts w:ascii="Calibri" w:eastAsia="Times New Roman" w:hAnsi="Calibri"/>
                <w:color w:val="000000"/>
                <w:sz w:val="16"/>
                <w:szCs w:val="16"/>
              </w:rPr>
              <w:t xml:space="preserve"> (Pacemaker only)</w:t>
            </w:r>
          </w:p>
        </w:tc>
        <w:tc>
          <w:tcPr>
            <w:tcW w:w="1418" w:type="dxa"/>
            <w:tcBorders>
              <w:top w:val="nil"/>
              <w:left w:val="nil"/>
              <w:bottom w:val="nil"/>
              <w:right w:val="nil"/>
            </w:tcBorders>
            <w:shd w:val="clear" w:color="auto" w:fill="auto"/>
            <w:noWrap/>
            <w:vAlign w:val="bottom"/>
            <w:hideMark/>
          </w:tcPr>
          <w:p w14:paraId="5BB1E610"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260 (3.8%)</w:t>
            </w:r>
          </w:p>
        </w:tc>
        <w:tc>
          <w:tcPr>
            <w:tcW w:w="2396" w:type="dxa"/>
            <w:tcBorders>
              <w:top w:val="nil"/>
              <w:left w:val="nil"/>
              <w:bottom w:val="nil"/>
              <w:right w:val="single" w:sz="4" w:space="0" w:color="auto"/>
            </w:tcBorders>
            <w:shd w:val="clear" w:color="auto" w:fill="auto"/>
            <w:noWrap/>
            <w:vAlign w:val="bottom"/>
            <w:hideMark/>
          </w:tcPr>
          <w:p w14:paraId="52D3EE18" w14:textId="77777777" w:rsidR="00E30D79" w:rsidRPr="00ED6D24" w:rsidRDefault="00E30D79" w:rsidP="00C26C4B">
            <w:pPr>
              <w:rPr>
                <w:rFonts w:ascii="Calibri" w:eastAsia="Times New Roman" w:hAnsi="Calibri"/>
                <w:color w:val="000000"/>
                <w:sz w:val="16"/>
                <w:szCs w:val="16"/>
              </w:rPr>
            </w:pPr>
          </w:p>
        </w:tc>
      </w:tr>
      <w:tr w:rsidR="00E30D79" w:rsidRPr="00ED6D24" w14:paraId="39F406F8"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74A76AA6" w14:textId="77777777" w:rsidR="00E30D79" w:rsidRPr="00ED6D24" w:rsidRDefault="00E30D79" w:rsidP="00C26C4B">
            <w:pPr>
              <w:rPr>
                <w:rFonts w:ascii="Calibri" w:eastAsia="Times New Roman" w:hAnsi="Calibri"/>
                <w:color w:val="000000"/>
                <w:sz w:val="16"/>
                <w:szCs w:val="16"/>
                <w:lang w:val="en-US"/>
              </w:rPr>
            </w:pPr>
            <w:r w:rsidRPr="00ED6D24">
              <w:rPr>
                <w:rFonts w:ascii="Calibri" w:eastAsia="Times New Roman" w:hAnsi="Calibri"/>
                <w:color w:val="000000"/>
                <w:sz w:val="16"/>
                <w:szCs w:val="16"/>
                <w:lang w:val="en-US"/>
              </w:rPr>
              <w:t>Device therapy (Biventricular Pacer only)</w:t>
            </w:r>
          </w:p>
        </w:tc>
        <w:tc>
          <w:tcPr>
            <w:tcW w:w="1418" w:type="dxa"/>
            <w:tcBorders>
              <w:top w:val="nil"/>
              <w:left w:val="nil"/>
              <w:bottom w:val="nil"/>
              <w:right w:val="nil"/>
            </w:tcBorders>
            <w:shd w:val="clear" w:color="D9D9D9" w:fill="D9D9D9"/>
            <w:noWrap/>
            <w:vAlign w:val="bottom"/>
            <w:hideMark/>
          </w:tcPr>
          <w:p w14:paraId="55B35FA9"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124 (1.8%)</w:t>
            </w:r>
          </w:p>
        </w:tc>
        <w:tc>
          <w:tcPr>
            <w:tcW w:w="2396" w:type="dxa"/>
            <w:tcBorders>
              <w:top w:val="nil"/>
              <w:left w:val="nil"/>
              <w:bottom w:val="nil"/>
              <w:right w:val="single" w:sz="4" w:space="0" w:color="auto"/>
            </w:tcBorders>
            <w:shd w:val="clear" w:color="D9D9D9" w:fill="D9D9D9"/>
            <w:noWrap/>
            <w:vAlign w:val="bottom"/>
            <w:hideMark/>
          </w:tcPr>
          <w:p w14:paraId="5D69ABE3" w14:textId="77777777" w:rsidR="00E30D79" w:rsidRPr="00ED6D24" w:rsidRDefault="00E30D79" w:rsidP="00C26C4B">
            <w:pPr>
              <w:rPr>
                <w:rFonts w:ascii="Calibri" w:eastAsia="Times New Roman" w:hAnsi="Calibri"/>
                <w:color w:val="000000"/>
                <w:sz w:val="16"/>
                <w:szCs w:val="16"/>
              </w:rPr>
            </w:pPr>
          </w:p>
        </w:tc>
      </w:tr>
      <w:tr w:rsidR="00E30D79" w:rsidRPr="00ED6D24" w14:paraId="133D03FB"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1BC3A53" w14:textId="77777777" w:rsidR="00E30D79" w:rsidRPr="00ED6D24" w:rsidRDefault="00E30D79" w:rsidP="00C26C4B">
            <w:pPr>
              <w:rPr>
                <w:rFonts w:ascii="Calibri" w:eastAsia="Times New Roman" w:hAnsi="Calibri"/>
                <w:color w:val="000000"/>
                <w:sz w:val="16"/>
                <w:szCs w:val="16"/>
                <w:lang w:val="en-US"/>
              </w:rPr>
            </w:pPr>
            <w:r w:rsidRPr="00ED6D24">
              <w:rPr>
                <w:rFonts w:ascii="Calibri" w:eastAsia="Times New Roman" w:hAnsi="Calibri"/>
                <w:color w:val="000000"/>
                <w:sz w:val="16"/>
                <w:szCs w:val="16"/>
                <w:lang w:val="en-US"/>
              </w:rPr>
              <w:t>Device therapy (Biventricular Pacer and ICD)</w:t>
            </w:r>
          </w:p>
        </w:tc>
        <w:tc>
          <w:tcPr>
            <w:tcW w:w="1418" w:type="dxa"/>
            <w:tcBorders>
              <w:top w:val="nil"/>
              <w:left w:val="nil"/>
              <w:bottom w:val="nil"/>
              <w:right w:val="nil"/>
            </w:tcBorders>
            <w:shd w:val="clear" w:color="auto" w:fill="auto"/>
            <w:noWrap/>
            <w:vAlign w:val="bottom"/>
            <w:hideMark/>
          </w:tcPr>
          <w:p w14:paraId="0D166104"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464 (6.9%)</w:t>
            </w:r>
          </w:p>
        </w:tc>
        <w:tc>
          <w:tcPr>
            <w:tcW w:w="2396" w:type="dxa"/>
            <w:tcBorders>
              <w:top w:val="nil"/>
              <w:left w:val="nil"/>
              <w:bottom w:val="nil"/>
              <w:right w:val="single" w:sz="4" w:space="0" w:color="auto"/>
            </w:tcBorders>
            <w:shd w:val="clear" w:color="auto" w:fill="auto"/>
            <w:noWrap/>
            <w:vAlign w:val="bottom"/>
            <w:hideMark/>
          </w:tcPr>
          <w:p w14:paraId="2E948848" w14:textId="77777777" w:rsidR="00E30D79" w:rsidRPr="00ED6D24" w:rsidRDefault="00E30D79" w:rsidP="00C26C4B">
            <w:pPr>
              <w:rPr>
                <w:rFonts w:ascii="Calibri" w:eastAsia="Times New Roman" w:hAnsi="Calibri"/>
                <w:color w:val="000000"/>
                <w:sz w:val="16"/>
                <w:szCs w:val="16"/>
              </w:rPr>
            </w:pPr>
          </w:p>
        </w:tc>
      </w:tr>
      <w:tr w:rsidR="00E30D79" w:rsidRPr="00ED6D24" w14:paraId="0724AE67"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6CE7526"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Coronary</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artery</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disease</w:t>
            </w:r>
            <w:proofErr w:type="spellEnd"/>
          </w:p>
        </w:tc>
        <w:tc>
          <w:tcPr>
            <w:tcW w:w="1418" w:type="dxa"/>
            <w:tcBorders>
              <w:top w:val="nil"/>
              <w:left w:val="nil"/>
              <w:bottom w:val="nil"/>
              <w:right w:val="nil"/>
            </w:tcBorders>
            <w:shd w:val="clear" w:color="D9D9D9" w:fill="D9D9D9"/>
            <w:noWrap/>
            <w:vAlign w:val="bottom"/>
            <w:hideMark/>
          </w:tcPr>
          <w:p w14:paraId="5970F8C9"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3336 (49.2%)</w:t>
            </w:r>
          </w:p>
        </w:tc>
        <w:tc>
          <w:tcPr>
            <w:tcW w:w="2396" w:type="dxa"/>
            <w:tcBorders>
              <w:top w:val="nil"/>
              <w:left w:val="nil"/>
              <w:bottom w:val="nil"/>
              <w:right w:val="single" w:sz="4" w:space="0" w:color="auto"/>
            </w:tcBorders>
            <w:shd w:val="clear" w:color="D9D9D9" w:fill="D9D9D9"/>
            <w:noWrap/>
            <w:vAlign w:val="bottom"/>
            <w:hideMark/>
          </w:tcPr>
          <w:p w14:paraId="5E0529E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67616B6D"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5435D17" w14:textId="77777777" w:rsidR="00E30D79" w:rsidRPr="00ED6D24"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Myocardial</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infarction</w:t>
            </w:r>
            <w:proofErr w:type="spellEnd"/>
          </w:p>
        </w:tc>
        <w:tc>
          <w:tcPr>
            <w:tcW w:w="1418" w:type="dxa"/>
            <w:tcBorders>
              <w:top w:val="nil"/>
              <w:left w:val="nil"/>
              <w:bottom w:val="nil"/>
              <w:right w:val="nil"/>
            </w:tcBorders>
            <w:shd w:val="clear" w:color="auto" w:fill="auto"/>
            <w:noWrap/>
            <w:vAlign w:val="bottom"/>
            <w:hideMark/>
          </w:tcPr>
          <w:p w14:paraId="2457139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2211 (48.1%)</w:t>
            </w:r>
          </w:p>
        </w:tc>
        <w:tc>
          <w:tcPr>
            <w:tcW w:w="2396" w:type="dxa"/>
            <w:tcBorders>
              <w:top w:val="nil"/>
              <w:left w:val="nil"/>
              <w:bottom w:val="nil"/>
              <w:right w:val="single" w:sz="4" w:space="0" w:color="auto"/>
            </w:tcBorders>
            <w:shd w:val="clear" w:color="auto" w:fill="auto"/>
            <w:noWrap/>
            <w:vAlign w:val="bottom"/>
            <w:hideMark/>
          </w:tcPr>
          <w:p w14:paraId="3B98938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32 %</w:t>
            </w:r>
          </w:p>
        </w:tc>
      </w:tr>
      <w:tr w:rsidR="00E30D79" w:rsidRPr="00ED6D24" w14:paraId="3BD2F6E3"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1F632152" w14:textId="77777777" w:rsidR="00E30D79" w:rsidRPr="00ED6D24"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Percutaneous</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coronary</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intervention</w:t>
            </w:r>
            <w:proofErr w:type="spellEnd"/>
          </w:p>
        </w:tc>
        <w:tc>
          <w:tcPr>
            <w:tcW w:w="1418" w:type="dxa"/>
            <w:tcBorders>
              <w:top w:val="nil"/>
              <w:left w:val="nil"/>
              <w:bottom w:val="nil"/>
              <w:right w:val="nil"/>
            </w:tcBorders>
            <w:shd w:val="clear" w:color="D9D9D9" w:fill="D9D9D9"/>
            <w:noWrap/>
            <w:vAlign w:val="bottom"/>
            <w:hideMark/>
          </w:tcPr>
          <w:p w14:paraId="39020FC5"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1390 (30.3%)</w:t>
            </w:r>
          </w:p>
        </w:tc>
        <w:tc>
          <w:tcPr>
            <w:tcW w:w="2396" w:type="dxa"/>
            <w:tcBorders>
              <w:top w:val="nil"/>
              <w:left w:val="nil"/>
              <w:bottom w:val="nil"/>
              <w:right w:val="single" w:sz="4" w:space="0" w:color="auto"/>
            </w:tcBorders>
            <w:shd w:val="clear" w:color="D9D9D9" w:fill="D9D9D9"/>
            <w:noWrap/>
            <w:vAlign w:val="bottom"/>
            <w:hideMark/>
          </w:tcPr>
          <w:p w14:paraId="1F23CF4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32 %</w:t>
            </w:r>
          </w:p>
        </w:tc>
      </w:tr>
      <w:tr w:rsidR="00E30D79" w:rsidRPr="00ED6D24" w14:paraId="09F32538"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7562920"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Valvular</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surgery</w:t>
            </w:r>
            <w:proofErr w:type="spellEnd"/>
          </w:p>
        </w:tc>
        <w:tc>
          <w:tcPr>
            <w:tcW w:w="1418" w:type="dxa"/>
            <w:tcBorders>
              <w:top w:val="nil"/>
              <w:left w:val="nil"/>
              <w:bottom w:val="nil"/>
              <w:right w:val="nil"/>
            </w:tcBorders>
            <w:shd w:val="clear" w:color="auto" w:fill="auto"/>
            <w:noWrap/>
            <w:vAlign w:val="bottom"/>
            <w:hideMark/>
          </w:tcPr>
          <w:p w14:paraId="2F746F1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717 (15.6%)</w:t>
            </w:r>
          </w:p>
        </w:tc>
        <w:tc>
          <w:tcPr>
            <w:tcW w:w="2396" w:type="dxa"/>
            <w:tcBorders>
              <w:top w:val="nil"/>
              <w:left w:val="nil"/>
              <w:bottom w:val="nil"/>
              <w:right w:val="single" w:sz="4" w:space="0" w:color="auto"/>
            </w:tcBorders>
            <w:shd w:val="clear" w:color="auto" w:fill="auto"/>
            <w:noWrap/>
            <w:vAlign w:val="bottom"/>
            <w:hideMark/>
          </w:tcPr>
          <w:p w14:paraId="20D7981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32 %</w:t>
            </w:r>
          </w:p>
        </w:tc>
      </w:tr>
      <w:tr w:rsidR="00E30D79" w:rsidRPr="00ED6D24" w14:paraId="45F2457E"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4FE78DEA" w14:textId="77777777" w:rsidR="00E30D79" w:rsidRPr="00ED6D24"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Atrial</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Fibrillation</w:t>
            </w:r>
            <w:proofErr w:type="spellEnd"/>
          </w:p>
        </w:tc>
        <w:tc>
          <w:tcPr>
            <w:tcW w:w="1418" w:type="dxa"/>
            <w:tcBorders>
              <w:top w:val="nil"/>
              <w:left w:val="nil"/>
              <w:bottom w:val="nil"/>
              <w:right w:val="nil"/>
            </w:tcBorders>
            <w:shd w:val="clear" w:color="D9D9D9" w:fill="D9D9D9"/>
            <w:noWrap/>
            <w:vAlign w:val="bottom"/>
            <w:hideMark/>
          </w:tcPr>
          <w:p w14:paraId="013C292C"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1765 (26%)</w:t>
            </w:r>
          </w:p>
        </w:tc>
        <w:tc>
          <w:tcPr>
            <w:tcW w:w="2396" w:type="dxa"/>
            <w:tcBorders>
              <w:top w:val="nil"/>
              <w:left w:val="nil"/>
              <w:bottom w:val="nil"/>
              <w:right w:val="single" w:sz="4" w:space="0" w:color="auto"/>
            </w:tcBorders>
            <w:shd w:val="clear" w:color="D9D9D9" w:fill="D9D9D9"/>
            <w:noWrap/>
            <w:vAlign w:val="bottom"/>
            <w:hideMark/>
          </w:tcPr>
          <w:p w14:paraId="7C04245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523962B4"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A60C0C5"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lastRenderedPageBreak/>
              <w:t>Hypertension</w:t>
            </w:r>
            <w:proofErr w:type="spellEnd"/>
          </w:p>
        </w:tc>
        <w:tc>
          <w:tcPr>
            <w:tcW w:w="1418" w:type="dxa"/>
            <w:tcBorders>
              <w:top w:val="nil"/>
              <w:left w:val="nil"/>
              <w:bottom w:val="nil"/>
              <w:right w:val="nil"/>
            </w:tcBorders>
            <w:shd w:val="clear" w:color="auto" w:fill="auto"/>
            <w:noWrap/>
            <w:vAlign w:val="bottom"/>
            <w:hideMark/>
          </w:tcPr>
          <w:p w14:paraId="6CD04923"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3708 (54.7%)</w:t>
            </w:r>
          </w:p>
        </w:tc>
        <w:tc>
          <w:tcPr>
            <w:tcW w:w="2396" w:type="dxa"/>
            <w:tcBorders>
              <w:top w:val="nil"/>
              <w:left w:val="nil"/>
              <w:bottom w:val="nil"/>
              <w:right w:val="single" w:sz="4" w:space="0" w:color="auto"/>
            </w:tcBorders>
            <w:shd w:val="clear" w:color="auto" w:fill="auto"/>
            <w:noWrap/>
            <w:vAlign w:val="bottom"/>
            <w:hideMark/>
          </w:tcPr>
          <w:p w14:paraId="0D92C26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697C66BF"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7E8C7971"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Stroke</w:t>
            </w:r>
            <w:proofErr w:type="spellEnd"/>
          </w:p>
        </w:tc>
        <w:tc>
          <w:tcPr>
            <w:tcW w:w="1418" w:type="dxa"/>
            <w:tcBorders>
              <w:top w:val="nil"/>
              <w:left w:val="nil"/>
              <w:bottom w:val="nil"/>
              <w:right w:val="nil"/>
            </w:tcBorders>
            <w:shd w:val="clear" w:color="D9D9D9" w:fill="D9D9D9"/>
            <w:noWrap/>
            <w:vAlign w:val="bottom"/>
            <w:hideMark/>
          </w:tcPr>
          <w:p w14:paraId="6E1BCD06"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502 (7.4%)</w:t>
            </w:r>
          </w:p>
        </w:tc>
        <w:tc>
          <w:tcPr>
            <w:tcW w:w="2396" w:type="dxa"/>
            <w:tcBorders>
              <w:top w:val="nil"/>
              <w:left w:val="nil"/>
              <w:bottom w:val="nil"/>
              <w:right w:val="single" w:sz="4" w:space="0" w:color="auto"/>
            </w:tcBorders>
            <w:shd w:val="clear" w:color="D9D9D9" w:fill="D9D9D9"/>
            <w:noWrap/>
            <w:vAlign w:val="bottom"/>
            <w:hideMark/>
          </w:tcPr>
          <w:p w14:paraId="3B954B7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3BAC8CFD"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47EA3C6"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Peripheral</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artery</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disease</w:t>
            </w:r>
            <w:proofErr w:type="spellEnd"/>
          </w:p>
        </w:tc>
        <w:tc>
          <w:tcPr>
            <w:tcW w:w="1418" w:type="dxa"/>
            <w:tcBorders>
              <w:top w:val="nil"/>
              <w:left w:val="nil"/>
              <w:bottom w:val="nil"/>
              <w:right w:val="nil"/>
            </w:tcBorders>
            <w:shd w:val="clear" w:color="auto" w:fill="auto"/>
            <w:noWrap/>
            <w:vAlign w:val="bottom"/>
            <w:hideMark/>
          </w:tcPr>
          <w:p w14:paraId="695DBC78"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378 (5.6%)</w:t>
            </w:r>
          </w:p>
        </w:tc>
        <w:tc>
          <w:tcPr>
            <w:tcW w:w="2396" w:type="dxa"/>
            <w:tcBorders>
              <w:top w:val="nil"/>
              <w:left w:val="nil"/>
              <w:bottom w:val="nil"/>
              <w:right w:val="single" w:sz="4" w:space="0" w:color="auto"/>
            </w:tcBorders>
            <w:shd w:val="clear" w:color="auto" w:fill="auto"/>
            <w:noWrap/>
            <w:vAlign w:val="bottom"/>
            <w:hideMark/>
          </w:tcPr>
          <w:p w14:paraId="4C1423C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416086DE"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65A992A2" w14:textId="77777777" w:rsidR="00E30D79" w:rsidRPr="00ED6D24" w:rsidRDefault="00E30D79" w:rsidP="00C26C4B">
            <w:pPr>
              <w:rPr>
                <w:rFonts w:ascii="Calibri" w:eastAsia="Times New Roman" w:hAnsi="Calibri"/>
                <w:color w:val="000000"/>
                <w:sz w:val="16"/>
                <w:szCs w:val="16"/>
              </w:rPr>
            </w:pPr>
            <w:proofErr w:type="spellStart"/>
            <w:r w:rsidRPr="00206A91">
              <w:rPr>
                <w:rFonts w:ascii="Calibri" w:eastAsia="Times New Roman" w:hAnsi="Calibri"/>
                <w:color w:val="000000"/>
                <w:sz w:val="16"/>
                <w:szCs w:val="16"/>
              </w:rPr>
              <w:t>Chronic</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obstructive</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pulmonary</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disease</w:t>
            </w:r>
            <w:proofErr w:type="spellEnd"/>
          </w:p>
        </w:tc>
        <w:tc>
          <w:tcPr>
            <w:tcW w:w="1418" w:type="dxa"/>
            <w:tcBorders>
              <w:top w:val="nil"/>
              <w:left w:val="nil"/>
              <w:bottom w:val="nil"/>
              <w:right w:val="nil"/>
            </w:tcBorders>
            <w:shd w:val="clear" w:color="D9D9D9" w:fill="D9D9D9"/>
            <w:noWrap/>
            <w:vAlign w:val="bottom"/>
            <w:hideMark/>
          </w:tcPr>
          <w:p w14:paraId="356B510E"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726 (10.7%)</w:t>
            </w:r>
          </w:p>
        </w:tc>
        <w:tc>
          <w:tcPr>
            <w:tcW w:w="2396" w:type="dxa"/>
            <w:tcBorders>
              <w:top w:val="nil"/>
              <w:left w:val="nil"/>
              <w:bottom w:val="nil"/>
              <w:right w:val="single" w:sz="4" w:space="0" w:color="auto"/>
            </w:tcBorders>
            <w:shd w:val="clear" w:color="D9D9D9" w:fill="D9D9D9"/>
            <w:noWrap/>
            <w:vAlign w:val="bottom"/>
            <w:hideMark/>
          </w:tcPr>
          <w:p w14:paraId="711157C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5CBBA2D0"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F22C0F3" w14:textId="77777777" w:rsidR="00E30D79" w:rsidRPr="00ED6D24" w:rsidRDefault="00E30D79" w:rsidP="00C26C4B">
            <w:pPr>
              <w:rPr>
                <w:rFonts w:ascii="Calibri" w:eastAsia="Times New Roman" w:hAnsi="Calibri"/>
                <w:color w:val="000000"/>
                <w:sz w:val="16"/>
                <w:szCs w:val="16"/>
              </w:rPr>
            </w:pPr>
            <w:r>
              <w:rPr>
                <w:rFonts w:ascii="Calibri" w:eastAsia="Times New Roman" w:hAnsi="Calibri"/>
                <w:color w:val="000000"/>
                <w:sz w:val="16"/>
                <w:szCs w:val="16"/>
              </w:rPr>
              <w:t>Diabetes mellitus</w:t>
            </w:r>
          </w:p>
        </w:tc>
        <w:tc>
          <w:tcPr>
            <w:tcW w:w="1418" w:type="dxa"/>
            <w:tcBorders>
              <w:top w:val="nil"/>
              <w:left w:val="nil"/>
              <w:bottom w:val="nil"/>
              <w:right w:val="nil"/>
            </w:tcBorders>
            <w:shd w:val="clear" w:color="auto" w:fill="auto"/>
            <w:noWrap/>
            <w:vAlign w:val="bottom"/>
            <w:hideMark/>
          </w:tcPr>
          <w:p w14:paraId="6350FCF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2607 (38.4%)</w:t>
            </w:r>
          </w:p>
        </w:tc>
        <w:tc>
          <w:tcPr>
            <w:tcW w:w="2396" w:type="dxa"/>
            <w:tcBorders>
              <w:top w:val="nil"/>
              <w:left w:val="nil"/>
              <w:bottom w:val="nil"/>
              <w:right w:val="single" w:sz="4" w:space="0" w:color="auto"/>
            </w:tcBorders>
            <w:shd w:val="clear" w:color="auto" w:fill="auto"/>
            <w:noWrap/>
            <w:vAlign w:val="bottom"/>
            <w:hideMark/>
          </w:tcPr>
          <w:p w14:paraId="3506B0D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10F78081"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561FCE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Smoking (Ever)</w:t>
            </w:r>
          </w:p>
        </w:tc>
        <w:tc>
          <w:tcPr>
            <w:tcW w:w="1418" w:type="dxa"/>
            <w:tcBorders>
              <w:top w:val="nil"/>
              <w:left w:val="nil"/>
              <w:bottom w:val="nil"/>
              <w:right w:val="nil"/>
            </w:tcBorders>
            <w:shd w:val="clear" w:color="D9D9D9" w:fill="D9D9D9"/>
            <w:noWrap/>
            <w:vAlign w:val="bottom"/>
            <w:hideMark/>
          </w:tcPr>
          <w:p w14:paraId="3B30D123"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2504 (36.9%)</w:t>
            </w:r>
          </w:p>
        </w:tc>
        <w:tc>
          <w:tcPr>
            <w:tcW w:w="2396" w:type="dxa"/>
            <w:tcBorders>
              <w:top w:val="nil"/>
              <w:left w:val="nil"/>
              <w:bottom w:val="nil"/>
              <w:right w:val="single" w:sz="4" w:space="0" w:color="auto"/>
            </w:tcBorders>
            <w:shd w:val="clear" w:color="D9D9D9" w:fill="D9D9D9"/>
            <w:noWrap/>
            <w:vAlign w:val="bottom"/>
            <w:hideMark/>
          </w:tcPr>
          <w:p w14:paraId="5AD3F8AA"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5788848F"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2099A2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Smoking (Never)</w:t>
            </w:r>
          </w:p>
        </w:tc>
        <w:tc>
          <w:tcPr>
            <w:tcW w:w="1418" w:type="dxa"/>
            <w:tcBorders>
              <w:top w:val="nil"/>
              <w:left w:val="nil"/>
              <w:bottom w:val="nil"/>
              <w:right w:val="nil"/>
            </w:tcBorders>
            <w:shd w:val="clear" w:color="auto" w:fill="auto"/>
            <w:noWrap/>
            <w:vAlign w:val="bottom"/>
            <w:hideMark/>
          </w:tcPr>
          <w:p w14:paraId="456C647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913 (13.5%)</w:t>
            </w:r>
          </w:p>
        </w:tc>
        <w:tc>
          <w:tcPr>
            <w:tcW w:w="2396" w:type="dxa"/>
            <w:tcBorders>
              <w:top w:val="nil"/>
              <w:left w:val="nil"/>
              <w:bottom w:val="nil"/>
              <w:right w:val="single" w:sz="4" w:space="0" w:color="auto"/>
            </w:tcBorders>
            <w:shd w:val="clear" w:color="auto" w:fill="auto"/>
            <w:noWrap/>
            <w:vAlign w:val="bottom"/>
            <w:hideMark/>
          </w:tcPr>
          <w:p w14:paraId="6A584629" w14:textId="77777777" w:rsidR="00E30D79" w:rsidRPr="00ED6D24" w:rsidRDefault="00E30D79" w:rsidP="00C26C4B">
            <w:pPr>
              <w:rPr>
                <w:rFonts w:ascii="Calibri" w:eastAsia="Times New Roman" w:hAnsi="Calibri"/>
                <w:color w:val="000000"/>
                <w:sz w:val="16"/>
                <w:szCs w:val="16"/>
              </w:rPr>
            </w:pPr>
          </w:p>
        </w:tc>
      </w:tr>
      <w:tr w:rsidR="00E30D79" w:rsidRPr="00ED6D24" w14:paraId="4BC03F86"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B5250D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Alcohol </w:t>
            </w:r>
            <w:proofErr w:type="spellStart"/>
            <w:r w:rsidRPr="00ED6D24">
              <w:rPr>
                <w:rFonts w:ascii="Calibri" w:eastAsia="Times New Roman" w:hAnsi="Calibri"/>
                <w:color w:val="000000"/>
                <w:sz w:val="16"/>
                <w:szCs w:val="16"/>
              </w:rPr>
              <w:t>history</w:t>
            </w:r>
            <w:proofErr w:type="spellEnd"/>
          </w:p>
        </w:tc>
        <w:tc>
          <w:tcPr>
            <w:tcW w:w="1418" w:type="dxa"/>
            <w:tcBorders>
              <w:top w:val="nil"/>
              <w:left w:val="nil"/>
              <w:bottom w:val="nil"/>
              <w:right w:val="nil"/>
            </w:tcBorders>
            <w:shd w:val="clear" w:color="D9D9D9" w:fill="D9D9D9"/>
            <w:noWrap/>
            <w:vAlign w:val="bottom"/>
            <w:hideMark/>
          </w:tcPr>
          <w:p w14:paraId="0FF441B8"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1139 (16.8%)</w:t>
            </w:r>
          </w:p>
        </w:tc>
        <w:tc>
          <w:tcPr>
            <w:tcW w:w="2396" w:type="dxa"/>
            <w:tcBorders>
              <w:top w:val="nil"/>
              <w:left w:val="nil"/>
              <w:bottom w:val="nil"/>
              <w:right w:val="single" w:sz="4" w:space="0" w:color="auto"/>
            </w:tcBorders>
            <w:shd w:val="clear" w:color="D9D9D9" w:fill="D9D9D9"/>
            <w:noWrap/>
            <w:vAlign w:val="bottom"/>
            <w:hideMark/>
          </w:tcPr>
          <w:p w14:paraId="2889DBC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0 %</w:t>
            </w:r>
          </w:p>
        </w:tc>
      </w:tr>
      <w:tr w:rsidR="00E30D79" w:rsidRPr="00ED6D24" w14:paraId="6B573A5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2951CB4D" w14:textId="77777777" w:rsidR="00E30D79" w:rsidRPr="00ED6D24" w:rsidRDefault="00E30D79" w:rsidP="00C26C4B">
            <w:pPr>
              <w:rPr>
                <w:rFonts w:ascii="Calibri" w:eastAsia="Times New Roman" w:hAnsi="Calibri"/>
                <w:color w:val="000000"/>
                <w:sz w:val="16"/>
                <w:szCs w:val="16"/>
              </w:rPr>
            </w:pPr>
            <w:r>
              <w:rPr>
                <w:rFonts w:ascii="Calibri" w:eastAsia="Times New Roman" w:hAnsi="Calibri"/>
                <w:color w:val="000000"/>
                <w:sz w:val="16"/>
                <w:szCs w:val="16"/>
              </w:rPr>
              <w:t>Serum Creatinine (</w:t>
            </w:r>
            <w:r>
              <w:rPr>
                <w:rFonts w:ascii="Calibri" w:eastAsia="Times New Roman" w:hAnsi="Calibri"/>
                <w:color w:val="000000"/>
                <w:sz w:val="16"/>
                <w:szCs w:val="16"/>
              </w:rPr>
              <w:sym w:font="Symbol" w:char="F06D"/>
            </w:r>
            <w:r>
              <w:rPr>
                <w:rFonts w:ascii="Calibri" w:eastAsia="Times New Roman" w:hAnsi="Calibri"/>
                <w:color w:val="000000"/>
                <w:sz w:val="16"/>
                <w:szCs w:val="16"/>
              </w:rPr>
              <w:t>mol/L)</w:t>
            </w:r>
          </w:p>
        </w:tc>
        <w:tc>
          <w:tcPr>
            <w:tcW w:w="1418" w:type="dxa"/>
            <w:tcBorders>
              <w:top w:val="nil"/>
              <w:left w:val="nil"/>
              <w:bottom w:val="nil"/>
              <w:right w:val="nil"/>
            </w:tcBorders>
            <w:shd w:val="clear" w:color="auto" w:fill="auto"/>
            <w:noWrap/>
            <w:vAlign w:val="bottom"/>
            <w:hideMark/>
          </w:tcPr>
          <w:p w14:paraId="41F117B9"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4.7 (0.44)</w:t>
            </w:r>
          </w:p>
        </w:tc>
        <w:tc>
          <w:tcPr>
            <w:tcW w:w="2396" w:type="dxa"/>
            <w:tcBorders>
              <w:top w:val="nil"/>
              <w:left w:val="nil"/>
              <w:bottom w:val="nil"/>
              <w:right w:val="single" w:sz="4" w:space="0" w:color="auto"/>
            </w:tcBorders>
            <w:shd w:val="clear" w:color="auto" w:fill="auto"/>
            <w:noWrap/>
            <w:vAlign w:val="bottom"/>
            <w:hideMark/>
          </w:tcPr>
          <w:p w14:paraId="5927EA60"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14 %</w:t>
            </w:r>
          </w:p>
        </w:tc>
      </w:tr>
      <w:tr w:rsidR="00E30D79" w:rsidRPr="00ED6D24" w14:paraId="36B957B3"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0C670BA8" w14:textId="77777777" w:rsidR="00E30D79" w:rsidRPr="00ED6D24" w:rsidRDefault="00E30D79" w:rsidP="00C26C4B">
            <w:pPr>
              <w:rPr>
                <w:rFonts w:ascii="Calibri" w:eastAsia="Times New Roman" w:hAnsi="Calibri"/>
                <w:color w:val="000000"/>
                <w:sz w:val="16"/>
                <w:szCs w:val="16"/>
                <w:lang w:val="en-US"/>
              </w:rPr>
            </w:pPr>
            <w:r w:rsidRPr="00ED6D24">
              <w:rPr>
                <w:rFonts w:ascii="Calibri" w:eastAsia="Times New Roman" w:hAnsi="Calibri"/>
                <w:color w:val="000000"/>
                <w:sz w:val="16"/>
                <w:szCs w:val="16"/>
                <w:lang w:val="en-US"/>
              </w:rPr>
              <w:t>Estimated GFR, calculated with MDRD</w:t>
            </w:r>
          </w:p>
        </w:tc>
        <w:tc>
          <w:tcPr>
            <w:tcW w:w="1418" w:type="dxa"/>
            <w:tcBorders>
              <w:top w:val="nil"/>
              <w:left w:val="nil"/>
              <w:bottom w:val="nil"/>
              <w:right w:val="nil"/>
            </w:tcBorders>
            <w:shd w:val="clear" w:color="D9D9D9" w:fill="D9D9D9"/>
            <w:noWrap/>
            <w:vAlign w:val="bottom"/>
            <w:hideMark/>
          </w:tcPr>
          <w:p w14:paraId="6836E7E6"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68.2 (28.64)</w:t>
            </w:r>
          </w:p>
        </w:tc>
        <w:tc>
          <w:tcPr>
            <w:tcW w:w="2396" w:type="dxa"/>
            <w:tcBorders>
              <w:top w:val="nil"/>
              <w:left w:val="nil"/>
              <w:bottom w:val="nil"/>
              <w:right w:val="single" w:sz="4" w:space="0" w:color="auto"/>
            </w:tcBorders>
            <w:shd w:val="clear" w:color="D9D9D9" w:fill="D9D9D9"/>
            <w:noWrap/>
            <w:vAlign w:val="bottom"/>
            <w:hideMark/>
          </w:tcPr>
          <w:p w14:paraId="1D6B416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15 %</w:t>
            </w:r>
          </w:p>
        </w:tc>
      </w:tr>
      <w:tr w:rsidR="00E30D79" w:rsidRPr="00ED6D24" w14:paraId="7E696D1B"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7F663FD8"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Sodium</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mmol</w:t>
            </w:r>
            <w:proofErr w:type="spellEnd"/>
            <w:r w:rsidRPr="00ED6D24">
              <w:rPr>
                <w:rFonts w:ascii="Calibri" w:eastAsia="Times New Roman" w:hAnsi="Calibri"/>
                <w:color w:val="000000"/>
                <w:sz w:val="16"/>
                <w:szCs w:val="16"/>
              </w:rPr>
              <w:t>/L)</w:t>
            </w:r>
          </w:p>
        </w:tc>
        <w:tc>
          <w:tcPr>
            <w:tcW w:w="1418" w:type="dxa"/>
            <w:tcBorders>
              <w:top w:val="nil"/>
              <w:left w:val="nil"/>
              <w:bottom w:val="nil"/>
              <w:right w:val="nil"/>
            </w:tcBorders>
            <w:shd w:val="clear" w:color="auto" w:fill="auto"/>
            <w:noWrap/>
            <w:vAlign w:val="bottom"/>
            <w:hideMark/>
          </w:tcPr>
          <w:p w14:paraId="10AC4F29"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138.6 (4.03)</w:t>
            </w:r>
          </w:p>
        </w:tc>
        <w:tc>
          <w:tcPr>
            <w:tcW w:w="2396" w:type="dxa"/>
            <w:tcBorders>
              <w:top w:val="nil"/>
              <w:left w:val="nil"/>
              <w:bottom w:val="nil"/>
              <w:right w:val="single" w:sz="4" w:space="0" w:color="auto"/>
            </w:tcBorders>
            <w:shd w:val="clear" w:color="auto" w:fill="auto"/>
            <w:noWrap/>
            <w:vAlign w:val="bottom"/>
            <w:hideMark/>
          </w:tcPr>
          <w:p w14:paraId="3D659DF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20 %</w:t>
            </w:r>
          </w:p>
        </w:tc>
      </w:tr>
      <w:tr w:rsidR="00E30D79" w:rsidRPr="00ED6D24" w14:paraId="31A0FAA5"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D8BB259"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Potassium</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mmol</w:t>
            </w:r>
            <w:proofErr w:type="spellEnd"/>
            <w:r w:rsidRPr="00ED6D24">
              <w:rPr>
                <w:rFonts w:ascii="Calibri" w:eastAsia="Times New Roman" w:hAnsi="Calibri"/>
                <w:color w:val="000000"/>
                <w:sz w:val="16"/>
                <w:szCs w:val="16"/>
              </w:rPr>
              <w:t>/L)</w:t>
            </w:r>
          </w:p>
        </w:tc>
        <w:tc>
          <w:tcPr>
            <w:tcW w:w="1418" w:type="dxa"/>
            <w:tcBorders>
              <w:top w:val="nil"/>
              <w:left w:val="nil"/>
              <w:bottom w:val="nil"/>
              <w:right w:val="nil"/>
            </w:tcBorders>
            <w:shd w:val="clear" w:color="D9D9D9" w:fill="D9D9D9"/>
            <w:noWrap/>
            <w:vAlign w:val="bottom"/>
            <w:hideMark/>
          </w:tcPr>
          <w:p w14:paraId="6345DED1"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4.3 (0.56)</w:t>
            </w:r>
          </w:p>
        </w:tc>
        <w:tc>
          <w:tcPr>
            <w:tcW w:w="2396" w:type="dxa"/>
            <w:tcBorders>
              <w:top w:val="nil"/>
              <w:left w:val="nil"/>
              <w:bottom w:val="nil"/>
              <w:right w:val="single" w:sz="4" w:space="0" w:color="auto"/>
            </w:tcBorders>
            <w:shd w:val="clear" w:color="D9D9D9" w:fill="D9D9D9"/>
            <w:noWrap/>
            <w:vAlign w:val="bottom"/>
            <w:hideMark/>
          </w:tcPr>
          <w:p w14:paraId="0A81D3A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17 %</w:t>
            </w:r>
          </w:p>
        </w:tc>
      </w:tr>
      <w:tr w:rsidR="00E30D79" w:rsidRPr="00ED6D24" w14:paraId="56CBA01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07BC4B09"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Haemoglobin</w:t>
            </w:r>
            <w:proofErr w:type="spellEnd"/>
            <w:r w:rsidRPr="00ED6D24">
              <w:rPr>
                <w:rFonts w:ascii="Calibri" w:eastAsia="Times New Roman" w:hAnsi="Calibri"/>
                <w:color w:val="000000"/>
                <w:sz w:val="16"/>
                <w:szCs w:val="16"/>
              </w:rPr>
              <w:t xml:space="preserve"> (g/</w:t>
            </w:r>
            <w:proofErr w:type="spellStart"/>
            <w:r w:rsidRPr="00ED6D24">
              <w:rPr>
                <w:rFonts w:ascii="Calibri" w:eastAsia="Times New Roman" w:hAnsi="Calibri"/>
                <w:color w:val="000000"/>
                <w:sz w:val="16"/>
                <w:szCs w:val="16"/>
              </w:rPr>
              <w:t>dL</w:t>
            </w:r>
            <w:proofErr w:type="spellEnd"/>
            <w:r w:rsidRPr="00ED6D24">
              <w:rPr>
                <w:rFonts w:ascii="Calibri" w:eastAsia="Times New Roman" w:hAnsi="Calibri"/>
                <w:color w:val="000000"/>
                <w:sz w:val="16"/>
                <w:szCs w:val="16"/>
              </w:rPr>
              <w:t>)</w:t>
            </w:r>
          </w:p>
        </w:tc>
        <w:tc>
          <w:tcPr>
            <w:tcW w:w="1418" w:type="dxa"/>
            <w:tcBorders>
              <w:top w:val="nil"/>
              <w:left w:val="nil"/>
              <w:bottom w:val="nil"/>
              <w:right w:val="nil"/>
            </w:tcBorders>
            <w:shd w:val="clear" w:color="auto" w:fill="auto"/>
            <w:noWrap/>
            <w:vAlign w:val="bottom"/>
            <w:hideMark/>
          </w:tcPr>
          <w:p w14:paraId="5D97497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13.2 (2.01)</w:t>
            </w:r>
          </w:p>
        </w:tc>
        <w:tc>
          <w:tcPr>
            <w:tcW w:w="2396" w:type="dxa"/>
            <w:tcBorders>
              <w:top w:val="nil"/>
              <w:left w:val="nil"/>
              <w:bottom w:val="nil"/>
              <w:right w:val="single" w:sz="4" w:space="0" w:color="auto"/>
            </w:tcBorders>
            <w:shd w:val="clear" w:color="auto" w:fill="auto"/>
            <w:noWrap/>
            <w:vAlign w:val="bottom"/>
            <w:hideMark/>
          </w:tcPr>
          <w:p w14:paraId="0FEB73F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20 %</w:t>
            </w:r>
          </w:p>
        </w:tc>
      </w:tr>
      <w:tr w:rsidR="00E30D79" w:rsidRPr="00ED6D24" w14:paraId="5EF11943"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5CCA883F" w14:textId="77777777" w:rsidR="00E30D79" w:rsidRPr="00ED6D24" w:rsidRDefault="00E30D79" w:rsidP="00C26C4B">
            <w:pPr>
              <w:rPr>
                <w:rFonts w:ascii="Calibri" w:eastAsia="Times New Roman" w:hAnsi="Calibri"/>
                <w:color w:val="000000"/>
                <w:sz w:val="16"/>
                <w:szCs w:val="16"/>
              </w:rPr>
            </w:pPr>
            <w:r w:rsidRPr="00206A91">
              <w:rPr>
                <w:rFonts w:ascii="Calibri" w:eastAsia="Times New Roman" w:hAnsi="Calibri"/>
                <w:color w:val="000000"/>
                <w:sz w:val="16"/>
                <w:szCs w:val="16"/>
              </w:rPr>
              <w:t xml:space="preserve">Blood </w:t>
            </w:r>
            <w:proofErr w:type="spellStart"/>
            <w:r w:rsidRPr="00206A91">
              <w:rPr>
                <w:rFonts w:ascii="Calibri" w:eastAsia="Times New Roman" w:hAnsi="Calibri"/>
                <w:color w:val="000000"/>
                <w:sz w:val="16"/>
                <w:szCs w:val="16"/>
              </w:rPr>
              <w:t>Urea</w:t>
            </w:r>
            <w:proofErr w:type="spellEnd"/>
            <w:r w:rsidRPr="00206A91">
              <w:rPr>
                <w:rFonts w:ascii="Calibri" w:eastAsia="Times New Roman" w:hAnsi="Calibri"/>
                <w:color w:val="000000"/>
                <w:sz w:val="16"/>
                <w:szCs w:val="16"/>
              </w:rPr>
              <w:t xml:space="preserve"> </w:t>
            </w:r>
            <w:proofErr w:type="spellStart"/>
            <w:r w:rsidRPr="00206A91">
              <w:rPr>
                <w:rFonts w:ascii="Calibri" w:eastAsia="Times New Roman" w:hAnsi="Calibri"/>
                <w:color w:val="000000"/>
                <w:sz w:val="16"/>
                <w:szCs w:val="16"/>
              </w:rPr>
              <w:t>Nitroge</w:t>
            </w:r>
            <w:proofErr w:type="spellEnd"/>
            <w:r>
              <w:rPr>
                <w:rFonts w:ascii="Calibri" w:eastAsia="Times New Roman" w:hAnsi="Calibri"/>
                <w:color w:val="000000"/>
                <w:sz w:val="16"/>
                <w:szCs w:val="16"/>
              </w:rPr>
              <w:t xml:space="preserve"> </w:t>
            </w:r>
            <w:r w:rsidRPr="00206A91">
              <w:rPr>
                <w:rFonts w:ascii="Calibri" w:eastAsia="Times New Roman" w:hAnsi="Calibri"/>
                <w:color w:val="000000"/>
                <w:sz w:val="16"/>
                <w:szCs w:val="16"/>
              </w:rPr>
              <w:t>n</w:t>
            </w:r>
            <w:r w:rsidRPr="00ED6D24">
              <w:rPr>
                <w:rFonts w:ascii="Calibri" w:eastAsia="Times New Roman" w:hAnsi="Calibri"/>
                <w:color w:val="000000"/>
                <w:sz w:val="16"/>
                <w:szCs w:val="16"/>
              </w:rPr>
              <w:t>(</w:t>
            </w:r>
            <w:proofErr w:type="spellStart"/>
            <w:r w:rsidRPr="00ED6D24">
              <w:rPr>
                <w:rFonts w:ascii="Calibri" w:eastAsia="Times New Roman" w:hAnsi="Calibri"/>
                <w:color w:val="000000"/>
                <w:sz w:val="16"/>
                <w:szCs w:val="16"/>
              </w:rPr>
              <w:t>mmol</w:t>
            </w:r>
            <w:proofErr w:type="spellEnd"/>
            <w:r w:rsidRPr="00ED6D24">
              <w:rPr>
                <w:rFonts w:ascii="Calibri" w:eastAsia="Times New Roman" w:hAnsi="Calibri"/>
                <w:color w:val="000000"/>
                <w:sz w:val="16"/>
                <w:szCs w:val="16"/>
              </w:rPr>
              <w:t>/L)</w:t>
            </w:r>
          </w:p>
        </w:tc>
        <w:tc>
          <w:tcPr>
            <w:tcW w:w="1418" w:type="dxa"/>
            <w:tcBorders>
              <w:top w:val="nil"/>
              <w:left w:val="nil"/>
              <w:bottom w:val="nil"/>
              <w:right w:val="nil"/>
            </w:tcBorders>
            <w:shd w:val="clear" w:color="D9D9D9" w:fill="D9D9D9"/>
            <w:noWrap/>
            <w:vAlign w:val="bottom"/>
            <w:hideMark/>
          </w:tcPr>
          <w:p w14:paraId="60D9C18F"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10.3 (8.78)</w:t>
            </w:r>
          </w:p>
        </w:tc>
        <w:tc>
          <w:tcPr>
            <w:tcW w:w="2396" w:type="dxa"/>
            <w:tcBorders>
              <w:top w:val="nil"/>
              <w:left w:val="nil"/>
              <w:bottom w:val="nil"/>
              <w:right w:val="single" w:sz="4" w:space="0" w:color="auto"/>
            </w:tcBorders>
            <w:shd w:val="clear" w:color="D9D9D9" w:fill="D9D9D9"/>
            <w:noWrap/>
            <w:vAlign w:val="bottom"/>
            <w:hideMark/>
          </w:tcPr>
          <w:p w14:paraId="1CE381A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33 %</w:t>
            </w:r>
          </w:p>
        </w:tc>
      </w:tr>
      <w:tr w:rsidR="00E30D79" w:rsidRPr="00ED6D24" w14:paraId="46FB3AFE" w14:textId="77777777" w:rsidTr="00C26C4B">
        <w:trPr>
          <w:trHeight w:val="200"/>
        </w:trPr>
        <w:tc>
          <w:tcPr>
            <w:tcW w:w="3397" w:type="dxa"/>
            <w:tcBorders>
              <w:top w:val="nil"/>
              <w:left w:val="single" w:sz="4" w:space="0" w:color="auto"/>
              <w:bottom w:val="nil"/>
              <w:right w:val="nil"/>
            </w:tcBorders>
            <w:shd w:val="clear" w:color="auto" w:fill="auto"/>
            <w:noWrap/>
            <w:vAlign w:val="bottom"/>
            <w:hideMark/>
          </w:tcPr>
          <w:p w14:paraId="62631161" w14:textId="77777777" w:rsidR="00E30D79" w:rsidRPr="00ED6D24" w:rsidRDefault="00E30D79" w:rsidP="00C26C4B">
            <w:pPr>
              <w:rPr>
                <w:rFonts w:ascii="Calibri" w:eastAsia="Times New Roman" w:hAnsi="Calibri"/>
                <w:color w:val="000000"/>
                <w:sz w:val="16"/>
                <w:szCs w:val="16"/>
              </w:rPr>
            </w:pPr>
            <w:r w:rsidRPr="008833A9">
              <w:rPr>
                <w:rFonts w:ascii="Calibri" w:eastAsia="Times New Roman" w:hAnsi="Calibri"/>
                <w:color w:val="000000"/>
                <w:sz w:val="16"/>
                <w:szCs w:val="16"/>
              </w:rPr>
              <w:t>log-</w:t>
            </w:r>
            <w:r w:rsidRPr="00ED6D24">
              <w:rPr>
                <w:rFonts w:ascii="Calibri" w:eastAsia="Times New Roman" w:hAnsi="Calibri"/>
                <w:color w:val="000000"/>
                <w:sz w:val="16"/>
                <w:szCs w:val="16"/>
              </w:rPr>
              <w:t>NT</w:t>
            </w:r>
            <w:r>
              <w:rPr>
                <w:rFonts w:ascii="Calibri" w:eastAsia="Times New Roman" w:hAnsi="Calibri"/>
                <w:color w:val="000000"/>
                <w:sz w:val="16"/>
                <w:szCs w:val="16"/>
              </w:rPr>
              <w:t>-</w:t>
            </w:r>
            <w:proofErr w:type="spellStart"/>
            <w:r>
              <w:rPr>
                <w:rFonts w:ascii="Calibri" w:eastAsia="Times New Roman" w:hAnsi="Calibri"/>
                <w:color w:val="000000"/>
                <w:sz w:val="16"/>
                <w:szCs w:val="16"/>
              </w:rPr>
              <w:t>pro</w:t>
            </w:r>
            <w:r w:rsidRPr="00ED6D24">
              <w:rPr>
                <w:rFonts w:ascii="Calibri" w:eastAsia="Times New Roman" w:hAnsi="Calibri"/>
                <w:color w:val="000000"/>
                <w:sz w:val="16"/>
                <w:szCs w:val="16"/>
              </w:rPr>
              <w:t>BNP</w:t>
            </w:r>
            <w:proofErr w:type="spellEnd"/>
            <w:r>
              <w:rPr>
                <w:rFonts w:ascii="Calibri" w:eastAsia="Times New Roman" w:hAnsi="Calibri"/>
                <w:color w:val="000000"/>
                <w:sz w:val="16"/>
                <w:szCs w:val="16"/>
              </w:rPr>
              <w:t xml:space="preserve"> </w:t>
            </w:r>
            <w:r w:rsidRPr="00E17D02">
              <w:rPr>
                <w:rFonts w:ascii="Calibri" w:eastAsia="Times New Roman" w:hAnsi="Calibri"/>
                <w:color w:val="000000"/>
                <w:sz w:val="16"/>
                <w:szCs w:val="16"/>
              </w:rPr>
              <w:t>(</w:t>
            </w:r>
            <w:proofErr w:type="spellStart"/>
            <w:r w:rsidRPr="00E17D02">
              <w:rPr>
                <w:rFonts w:ascii="Calibri" w:eastAsia="Times New Roman" w:hAnsi="Calibri"/>
                <w:color w:val="000000"/>
                <w:sz w:val="16"/>
                <w:szCs w:val="16"/>
              </w:rPr>
              <w:t>ng</w:t>
            </w:r>
            <w:proofErr w:type="spellEnd"/>
            <w:r w:rsidRPr="00E17D02">
              <w:rPr>
                <w:rFonts w:ascii="Calibri" w:eastAsia="Times New Roman" w:hAnsi="Calibri"/>
                <w:color w:val="000000"/>
                <w:sz w:val="16"/>
                <w:szCs w:val="16"/>
              </w:rPr>
              <w:t>/L)</w:t>
            </w:r>
          </w:p>
        </w:tc>
        <w:tc>
          <w:tcPr>
            <w:tcW w:w="1418" w:type="dxa"/>
            <w:tcBorders>
              <w:top w:val="nil"/>
              <w:left w:val="nil"/>
              <w:bottom w:val="nil"/>
              <w:right w:val="nil"/>
            </w:tcBorders>
            <w:shd w:val="clear" w:color="auto" w:fill="auto"/>
            <w:noWrap/>
            <w:vAlign w:val="bottom"/>
            <w:hideMark/>
          </w:tcPr>
          <w:p w14:paraId="0D9EA19D"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8.2 (7.45-9)</w:t>
            </w:r>
          </w:p>
        </w:tc>
        <w:tc>
          <w:tcPr>
            <w:tcW w:w="2396" w:type="dxa"/>
            <w:tcBorders>
              <w:top w:val="nil"/>
              <w:left w:val="nil"/>
              <w:bottom w:val="nil"/>
              <w:right w:val="single" w:sz="4" w:space="0" w:color="auto"/>
            </w:tcBorders>
            <w:shd w:val="clear" w:color="auto" w:fill="auto"/>
            <w:noWrap/>
            <w:vAlign w:val="bottom"/>
            <w:hideMark/>
          </w:tcPr>
          <w:p w14:paraId="19AAC2A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68 %</w:t>
            </w:r>
          </w:p>
        </w:tc>
      </w:tr>
      <w:tr w:rsidR="00E30D79" w:rsidRPr="00ED6D24" w14:paraId="20BAFE58" w14:textId="77777777" w:rsidTr="00C26C4B">
        <w:trPr>
          <w:trHeight w:val="200"/>
        </w:trPr>
        <w:tc>
          <w:tcPr>
            <w:tcW w:w="3397" w:type="dxa"/>
            <w:tcBorders>
              <w:top w:val="nil"/>
              <w:left w:val="single" w:sz="4" w:space="0" w:color="auto"/>
              <w:bottom w:val="nil"/>
              <w:right w:val="nil"/>
            </w:tcBorders>
            <w:shd w:val="clear" w:color="D9D9D9" w:fill="D9D9D9"/>
            <w:noWrap/>
            <w:vAlign w:val="bottom"/>
            <w:hideMark/>
          </w:tcPr>
          <w:p w14:paraId="2F12FB71" w14:textId="77777777" w:rsidR="00E30D79" w:rsidRPr="00ED6D24" w:rsidRDefault="00E30D79" w:rsidP="00C26C4B">
            <w:pPr>
              <w:rPr>
                <w:rFonts w:ascii="Calibri" w:eastAsia="Times New Roman" w:hAnsi="Calibri"/>
                <w:color w:val="000000"/>
                <w:sz w:val="16"/>
                <w:szCs w:val="16"/>
              </w:rPr>
            </w:pPr>
            <w:r w:rsidRPr="00B9083D">
              <w:rPr>
                <w:rFonts w:ascii="Calibri" w:eastAsia="Times New Roman" w:hAnsi="Calibri"/>
                <w:color w:val="000000"/>
                <w:sz w:val="16"/>
                <w:szCs w:val="16"/>
              </w:rPr>
              <w:t>log-</w:t>
            </w:r>
            <w:r w:rsidRPr="00ED6D24">
              <w:rPr>
                <w:rFonts w:ascii="Calibri" w:eastAsia="Times New Roman" w:hAnsi="Calibri"/>
                <w:color w:val="000000"/>
                <w:sz w:val="16"/>
                <w:szCs w:val="16"/>
              </w:rPr>
              <w:t>BNP</w:t>
            </w:r>
            <w:r>
              <w:rPr>
                <w:rFonts w:ascii="Calibri" w:eastAsia="Times New Roman" w:hAnsi="Calibri"/>
                <w:color w:val="000000"/>
                <w:sz w:val="16"/>
                <w:szCs w:val="16"/>
              </w:rPr>
              <w:t xml:space="preserve"> </w:t>
            </w:r>
            <w:r w:rsidRPr="00E17D02">
              <w:rPr>
                <w:rFonts w:ascii="Calibri" w:eastAsia="Times New Roman" w:hAnsi="Calibri"/>
                <w:color w:val="000000"/>
                <w:sz w:val="16"/>
                <w:szCs w:val="16"/>
              </w:rPr>
              <w:t>(</w:t>
            </w:r>
            <w:proofErr w:type="spellStart"/>
            <w:r w:rsidRPr="00E17D02">
              <w:rPr>
                <w:rFonts w:ascii="Calibri" w:eastAsia="Times New Roman" w:hAnsi="Calibri"/>
                <w:color w:val="000000"/>
                <w:sz w:val="16"/>
                <w:szCs w:val="16"/>
              </w:rPr>
              <w:t>ng</w:t>
            </w:r>
            <w:proofErr w:type="spellEnd"/>
            <w:r w:rsidRPr="00E17D02">
              <w:rPr>
                <w:rFonts w:ascii="Calibri" w:eastAsia="Times New Roman" w:hAnsi="Calibri"/>
                <w:color w:val="000000"/>
                <w:sz w:val="16"/>
                <w:szCs w:val="16"/>
              </w:rPr>
              <w:t>/L)</w:t>
            </w:r>
          </w:p>
        </w:tc>
        <w:tc>
          <w:tcPr>
            <w:tcW w:w="1418" w:type="dxa"/>
            <w:tcBorders>
              <w:top w:val="nil"/>
              <w:left w:val="nil"/>
              <w:bottom w:val="nil"/>
              <w:right w:val="nil"/>
            </w:tcBorders>
            <w:shd w:val="clear" w:color="D9D9D9" w:fill="D9D9D9"/>
            <w:noWrap/>
            <w:vAlign w:val="bottom"/>
            <w:hideMark/>
          </w:tcPr>
          <w:p w14:paraId="0644D760"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6.3 (5.23-7.28)</w:t>
            </w:r>
          </w:p>
        </w:tc>
        <w:tc>
          <w:tcPr>
            <w:tcW w:w="2396" w:type="dxa"/>
            <w:tcBorders>
              <w:top w:val="nil"/>
              <w:left w:val="nil"/>
              <w:bottom w:val="nil"/>
              <w:right w:val="single" w:sz="4" w:space="0" w:color="auto"/>
            </w:tcBorders>
            <w:shd w:val="clear" w:color="D9D9D9" w:fill="D9D9D9"/>
            <w:noWrap/>
            <w:vAlign w:val="bottom"/>
            <w:hideMark/>
          </w:tcPr>
          <w:p w14:paraId="1A072FA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85 %</w:t>
            </w:r>
          </w:p>
        </w:tc>
      </w:tr>
      <w:tr w:rsidR="00E30D79" w:rsidRPr="00ED6D24" w14:paraId="223EBA7B" w14:textId="77777777" w:rsidTr="00C26C4B">
        <w:trPr>
          <w:trHeight w:val="200"/>
        </w:trPr>
        <w:tc>
          <w:tcPr>
            <w:tcW w:w="3397" w:type="dxa"/>
            <w:tcBorders>
              <w:top w:val="nil"/>
              <w:left w:val="single" w:sz="4" w:space="0" w:color="auto"/>
              <w:bottom w:val="single" w:sz="4" w:space="0" w:color="auto"/>
              <w:right w:val="nil"/>
            </w:tcBorders>
            <w:shd w:val="clear" w:color="auto" w:fill="auto"/>
            <w:noWrap/>
            <w:vAlign w:val="bottom"/>
            <w:hideMark/>
          </w:tcPr>
          <w:p w14:paraId="40BC3B0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LVEF</w:t>
            </w:r>
            <w:r>
              <w:rPr>
                <w:rFonts w:ascii="Calibri" w:eastAsia="Times New Roman" w:hAnsi="Calibri"/>
                <w:color w:val="000000"/>
                <w:sz w:val="16"/>
                <w:szCs w:val="16"/>
              </w:rPr>
              <w:t xml:space="preserve"> (%)</w:t>
            </w:r>
          </w:p>
        </w:tc>
        <w:tc>
          <w:tcPr>
            <w:tcW w:w="1418" w:type="dxa"/>
            <w:tcBorders>
              <w:top w:val="nil"/>
              <w:left w:val="nil"/>
              <w:bottom w:val="single" w:sz="4" w:space="0" w:color="auto"/>
              <w:right w:val="nil"/>
            </w:tcBorders>
            <w:shd w:val="clear" w:color="auto" w:fill="auto"/>
            <w:noWrap/>
            <w:vAlign w:val="bottom"/>
            <w:hideMark/>
          </w:tcPr>
          <w:p w14:paraId="10324DB3" w14:textId="77777777" w:rsidR="00E30D79" w:rsidRPr="00ED6D24" w:rsidRDefault="00E30D79" w:rsidP="00C26C4B">
            <w:pPr>
              <w:ind w:left="69" w:hanging="69"/>
              <w:rPr>
                <w:rFonts w:ascii="Calibri" w:eastAsia="Times New Roman" w:hAnsi="Calibri"/>
                <w:color w:val="000000"/>
                <w:sz w:val="16"/>
                <w:szCs w:val="16"/>
              </w:rPr>
            </w:pPr>
            <w:r w:rsidRPr="00ED6D24">
              <w:rPr>
                <w:rFonts w:ascii="Calibri" w:eastAsia="Times New Roman" w:hAnsi="Calibri"/>
                <w:color w:val="000000"/>
                <w:sz w:val="16"/>
                <w:szCs w:val="16"/>
              </w:rPr>
              <w:t>28 (22-34)</w:t>
            </w:r>
          </w:p>
        </w:tc>
        <w:tc>
          <w:tcPr>
            <w:tcW w:w="2396" w:type="dxa"/>
            <w:tcBorders>
              <w:top w:val="nil"/>
              <w:left w:val="nil"/>
              <w:bottom w:val="single" w:sz="4" w:space="0" w:color="auto"/>
              <w:right w:val="single" w:sz="4" w:space="0" w:color="auto"/>
            </w:tcBorders>
            <w:shd w:val="clear" w:color="auto" w:fill="auto"/>
            <w:noWrap/>
            <w:vAlign w:val="bottom"/>
            <w:hideMark/>
          </w:tcPr>
          <w:p w14:paraId="74DB75A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3 %</w:t>
            </w:r>
          </w:p>
        </w:tc>
      </w:tr>
    </w:tbl>
    <w:p w14:paraId="5B84B68E" w14:textId="77777777" w:rsidR="00E30D79" w:rsidRDefault="00E30D79" w:rsidP="00E30D79">
      <w:pPr>
        <w:rPr>
          <w:b/>
          <w:bCs/>
          <w:lang w:val="en-US"/>
        </w:rPr>
      </w:pPr>
    </w:p>
    <w:p w14:paraId="0D5C566E" w14:textId="77777777" w:rsidR="00E30D79" w:rsidRDefault="00E30D79" w:rsidP="00E30D79">
      <w:pPr>
        <w:rPr>
          <w:b/>
          <w:bCs/>
          <w:lang w:val="en-US"/>
        </w:rPr>
      </w:pPr>
      <w:r>
        <w:rPr>
          <w:b/>
          <w:bCs/>
          <w:lang w:val="en-US"/>
        </w:rPr>
        <w:br w:type="page"/>
      </w:r>
    </w:p>
    <w:p w14:paraId="2A6C8291" w14:textId="77777777" w:rsidR="00E30D79" w:rsidRDefault="00E30D79" w:rsidP="00E30D79">
      <w:pPr>
        <w:rPr>
          <w:b/>
          <w:bCs/>
          <w:lang w:val="en-US"/>
        </w:rPr>
      </w:pPr>
      <w:r>
        <w:rPr>
          <w:b/>
          <w:bCs/>
          <w:lang w:val="en-US"/>
        </w:rPr>
        <w:lastRenderedPageBreak/>
        <w:t>Table S2: Baseline characteristics for ASIAN-HF and BIOSTAT-CHF cohorts</w:t>
      </w:r>
    </w:p>
    <w:p w14:paraId="1FD9CEE4" w14:textId="77777777" w:rsidR="00E30D79" w:rsidRDefault="00E30D79" w:rsidP="00E30D79">
      <w:pPr>
        <w:rPr>
          <w:b/>
          <w:bCs/>
          <w:lang w:val="en-US"/>
        </w:rPr>
      </w:pPr>
    </w:p>
    <w:tbl>
      <w:tblPr>
        <w:tblW w:w="9493" w:type="dxa"/>
        <w:tblCellMar>
          <w:left w:w="70" w:type="dxa"/>
          <w:right w:w="70" w:type="dxa"/>
        </w:tblCellMar>
        <w:tblLook w:val="04A0" w:firstRow="1" w:lastRow="0" w:firstColumn="1" w:lastColumn="0" w:noHBand="0" w:noVBand="1"/>
      </w:tblPr>
      <w:tblGrid>
        <w:gridCol w:w="2547"/>
        <w:gridCol w:w="1417"/>
        <w:gridCol w:w="1500"/>
        <w:gridCol w:w="900"/>
        <w:gridCol w:w="1428"/>
        <w:gridCol w:w="1701"/>
      </w:tblGrid>
      <w:tr w:rsidR="00E30D79" w:rsidRPr="00ED6D24" w14:paraId="7F5B6918" w14:textId="77777777" w:rsidTr="00C26C4B">
        <w:trPr>
          <w:trHeight w:val="240"/>
        </w:trPr>
        <w:tc>
          <w:tcPr>
            <w:tcW w:w="2547" w:type="dxa"/>
            <w:tcBorders>
              <w:top w:val="single" w:sz="4" w:space="0" w:color="auto"/>
              <w:left w:val="single" w:sz="4" w:space="0" w:color="auto"/>
              <w:bottom w:val="single" w:sz="4" w:space="0" w:color="auto"/>
              <w:right w:val="nil"/>
            </w:tcBorders>
            <w:shd w:val="clear" w:color="auto" w:fill="auto"/>
            <w:noWrap/>
            <w:vAlign w:val="bottom"/>
            <w:hideMark/>
          </w:tcPr>
          <w:p w14:paraId="01E2CEFC" w14:textId="77777777" w:rsidR="00E30D79" w:rsidRPr="00ED6D24" w:rsidRDefault="00E30D79" w:rsidP="00C26C4B">
            <w:pPr>
              <w:rPr>
                <w:rFonts w:ascii="Calibri" w:eastAsia="Times New Roman" w:hAnsi="Calibri"/>
                <w:b/>
                <w:bCs/>
                <w:color w:val="000000"/>
                <w:sz w:val="16"/>
                <w:szCs w:val="16"/>
              </w:rPr>
            </w:pPr>
            <w:proofErr w:type="spellStart"/>
            <w:r w:rsidRPr="00ED6D24">
              <w:rPr>
                <w:rFonts w:ascii="Calibri" w:eastAsia="Times New Roman" w:hAnsi="Calibri"/>
                <w:b/>
                <w:bCs/>
                <w:color w:val="000000"/>
                <w:sz w:val="16"/>
                <w:szCs w:val="16"/>
              </w:rPr>
              <w:t>Variable</w:t>
            </w:r>
            <w:proofErr w:type="spellEnd"/>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14:paraId="752B37F7" w14:textId="77777777" w:rsidR="00E30D79" w:rsidRPr="00ED6D24" w:rsidRDefault="00E30D79" w:rsidP="00C26C4B">
            <w:pPr>
              <w:rPr>
                <w:rFonts w:ascii="Calibri" w:eastAsia="Times New Roman" w:hAnsi="Calibri"/>
                <w:b/>
                <w:bCs/>
                <w:color w:val="000000"/>
                <w:sz w:val="16"/>
                <w:szCs w:val="16"/>
              </w:rPr>
            </w:pPr>
            <w:r w:rsidRPr="00ED6D24">
              <w:rPr>
                <w:rFonts w:ascii="Calibri" w:eastAsia="Times New Roman" w:hAnsi="Calibri"/>
                <w:b/>
                <w:bCs/>
                <w:color w:val="000000"/>
                <w:sz w:val="16"/>
                <w:szCs w:val="16"/>
              </w:rPr>
              <w:t>ASIAN.HF</w:t>
            </w:r>
          </w:p>
        </w:tc>
        <w:tc>
          <w:tcPr>
            <w:tcW w:w="1500" w:type="dxa"/>
            <w:tcBorders>
              <w:top w:val="single" w:sz="4" w:space="0" w:color="auto"/>
              <w:left w:val="nil"/>
              <w:bottom w:val="single" w:sz="4" w:space="0" w:color="auto"/>
              <w:right w:val="nil"/>
            </w:tcBorders>
            <w:shd w:val="clear" w:color="auto" w:fill="auto"/>
            <w:noWrap/>
            <w:vAlign w:val="bottom"/>
            <w:hideMark/>
          </w:tcPr>
          <w:p w14:paraId="160EF533" w14:textId="77777777" w:rsidR="00E30D79" w:rsidRPr="00ED6D24" w:rsidRDefault="00E30D79" w:rsidP="00C26C4B">
            <w:pPr>
              <w:rPr>
                <w:rFonts w:ascii="Calibri" w:eastAsia="Times New Roman" w:hAnsi="Calibri"/>
                <w:b/>
                <w:bCs/>
                <w:color w:val="000000"/>
                <w:sz w:val="16"/>
                <w:szCs w:val="16"/>
              </w:rPr>
            </w:pPr>
            <w:r w:rsidRPr="00ED6D24">
              <w:rPr>
                <w:rFonts w:ascii="Calibri" w:eastAsia="Times New Roman" w:hAnsi="Calibri"/>
                <w:b/>
                <w:bCs/>
                <w:color w:val="000000"/>
                <w:sz w:val="16"/>
                <w:szCs w:val="16"/>
              </w:rPr>
              <w:t>BIOSTAT</w:t>
            </w:r>
            <w:r>
              <w:rPr>
                <w:rFonts w:ascii="Calibri" w:eastAsia="Times New Roman" w:hAnsi="Calibri"/>
                <w:b/>
                <w:bCs/>
                <w:color w:val="000000"/>
                <w:sz w:val="16"/>
                <w:szCs w:val="16"/>
              </w:rPr>
              <w:t>-</w:t>
            </w:r>
            <w:r w:rsidRPr="00ED6D24">
              <w:rPr>
                <w:rFonts w:ascii="Calibri" w:eastAsia="Times New Roman" w:hAnsi="Calibri"/>
                <w:b/>
                <w:bCs/>
                <w:color w:val="000000"/>
                <w:sz w:val="16"/>
                <w:szCs w:val="16"/>
              </w:rPr>
              <w:t>CHF</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6E1504F" w14:textId="77777777" w:rsidR="00E30D79" w:rsidRPr="00ED6D24" w:rsidRDefault="00E30D79" w:rsidP="00C26C4B">
            <w:pPr>
              <w:rPr>
                <w:rFonts w:ascii="Calibri" w:eastAsia="Times New Roman" w:hAnsi="Calibri"/>
                <w:b/>
                <w:bCs/>
                <w:color w:val="000000"/>
                <w:sz w:val="16"/>
                <w:szCs w:val="16"/>
              </w:rPr>
            </w:pPr>
            <w:r w:rsidRPr="00ED6D24">
              <w:rPr>
                <w:rFonts w:ascii="Calibri" w:eastAsia="Times New Roman" w:hAnsi="Calibri"/>
                <w:b/>
                <w:bCs/>
                <w:color w:val="000000"/>
                <w:sz w:val="16"/>
                <w:szCs w:val="16"/>
              </w:rPr>
              <w:t xml:space="preserve">p </w:t>
            </w:r>
            <w:proofErr w:type="spellStart"/>
            <w:r w:rsidRPr="00ED6D24">
              <w:rPr>
                <w:rFonts w:ascii="Calibri" w:eastAsia="Times New Roman" w:hAnsi="Calibri"/>
                <w:b/>
                <w:bCs/>
                <w:color w:val="000000"/>
                <w:sz w:val="16"/>
                <w:szCs w:val="16"/>
              </w:rPr>
              <w:t>value</w:t>
            </w:r>
            <w:proofErr w:type="spellEnd"/>
          </w:p>
        </w:tc>
        <w:tc>
          <w:tcPr>
            <w:tcW w:w="1428" w:type="dxa"/>
            <w:tcBorders>
              <w:top w:val="single" w:sz="4" w:space="0" w:color="auto"/>
              <w:left w:val="nil"/>
              <w:bottom w:val="single" w:sz="4" w:space="0" w:color="auto"/>
              <w:right w:val="single" w:sz="4" w:space="0" w:color="auto"/>
            </w:tcBorders>
            <w:vAlign w:val="bottom"/>
          </w:tcPr>
          <w:p w14:paraId="1CD2DC0A" w14:textId="77777777" w:rsidR="00E30D79" w:rsidRDefault="00E30D79" w:rsidP="00C26C4B">
            <w:pPr>
              <w:rPr>
                <w:rFonts w:ascii="Calibri" w:hAnsi="Calibri" w:cs="Calibri"/>
                <w:b/>
                <w:bCs/>
                <w:color w:val="000000"/>
                <w:sz w:val="16"/>
                <w:szCs w:val="16"/>
              </w:rPr>
            </w:pPr>
            <w:proofErr w:type="spellStart"/>
            <w:r>
              <w:rPr>
                <w:rFonts w:ascii="Calibri" w:hAnsi="Calibri" w:cs="Calibri"/>
                <w:b/>
                <w:bCs/>
                <w:color w:val="000000"/>
                <w:sz w:val="16"/>
                <w:szCs w:val="16"/>
              </w:rPr>
              <w:t>excluded</w:t>
            </w:r>
            <w:proofErr w:type="spellEnd"/>
            <w:r>
              <w:rPr>
                <w:rFonts w:ascii="Calibri" w:hAnsi="Calibri" w:cs="Calibri"/>
                <w:b/>
                <w:bCs/>
                <w:color w:val="000000"/>
                <w:sz w:val="16"/>
                <w:szCs w:val="16"/>
              </w:rPr>
              <w:t xml:space="preserve"> ASIAN-HF</w:t>
            </w:r>
          </w:p>
        </w:tc>
        <w:tc>
          <w:tcPr>
            <w:tcW w:w="1701" w:type="dxa"/>
            <w:tcBorders>
              <w:top w:val="single" w:sz="4" w:space="0" w:color="auto"/>
              <w:left w:val="nil"/>
              <w:bottom w:val="single" w:sz="4" w:space="0" w:color="auto"/>
              <w:right w:val="single" w:sz="4" w:space="0" w:color="auto"/>
            </w:tcBorders>
            <w:vAlign w:val="bottom"/>
          </w:tcPr>
          <w:p w14:paraId="60503057" w14:textId="77777777" w:rsidR="00E30D79" w:rsidRDefault="00E30D79" w:rsidP="00C26C4B">
            <w:pPr>
              <w:rPr>
                <w:rFonts w:ascii="Calibri" w:hAnsi="Calibri" w:cs="Calibri"/>
                <w:b/>
                <w:bCs/>
                <w:color w:val="000000"/>
                <w:sz w:val="16"/>
                <w:szCs w:val="16"/>
              </w:rPr>
            </w:pPr>
            <w:proofErr w:type="spellStart"/>
            <w:r>
              <w:rPr>
                <w:rFonts w:ascii="Calibri" w:hAnsi="Calibri" w:cs="Calibri"/>
                <w:b/>
                <w:bCs/>
                <w:color w:val="000000"/>
                <w:sz w:val="16"/>
                <w:szCs w:val="16"/>
              </w:rPr>
              <w:t>excluded</w:t>
            </w:r>
            <w:proofErr w:type="spellEnd"/>
            <w:r>
              <w:rPr>
                <w:rFonts w:ascii="Calibri" w:hAnsi="Calibri" w:cs="Calibri"/>
                <w:b/>
                <w:bCs/>
                <w:color w:val="000000"/>
                <w:sz w:val="16"/>
                <w:szCs w:val="16"/>
              </w:rPr>
              <w:t xml:space="preserve"> BIOSTAT-CHF</w:t>
            </w:r>
          </w:p>
        </w:tc>
      </w:tr>
      <w:tr w:rsidR="00E30D79" w:rsidRPr="00ED6D24" w14:paraId="01E784D0"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70DBC8B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n </w:t>
            </w:r>
          </w:p>
        </w:tc>
        <w:tc>
          <w:tcPr>
            <w:tcW w:w="1417" w:type="dxa"/>
            <w:tcBorders>
              <w:top w:val="nil"/>
              <w:left w:val="single" w:sz="4" w:space="0" w:color="auto"/>
              <w:bottom w:val="nil"/>
              <w:right w:val="nil"/>
            </w:tcBorders>
            <w:shd w:val="clear" w:color="auto" w:fill="auto"/>
            <w:noWrap/>
            <w:vAlign w:val="bottom"/>
            <w:hideMark/>
          </w:tcPr>
          <w:p w14:paraId="3AAFC5D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 xml:space="preserve">4687 </w:t>
            </w:r>
          </w:p>
        </w:tc>
        <w:tc>
          <w:tcPr>
            <w:tcW w:w="1500" w:type="dxa"/>
            <w:tcBorders>
              <w:top w:val="nil"/>
              <w:left w:val="nil"/>
              <w:bottom w:val="nil"/>
              <w:right w:val="nil"/>
            </w:tcBorders>
            <w:shd w:val="clear" w:color="auto" w:fill="auto"/>
            <w:noWrap/>
            <w:vAlign w:val="bottom"/>
            <w:hideMark/>
          </w:tcPr>
          <w:p w14:paraId="04465760" w14:textId="77777777" w:rsidR="00E30D79" w:rsidRPr="00ED6D24" w:rsidRDefault="00E30D79" w:rsidP="00C26C4B">
            <w:pPr>
              <w:rPr>
                <w:rFonts w:ascii="Calibri" w:eastAsia="Times New Roman" w:hAnsi="Calibri"/>
                <w:color w:val="000000"/>
                <w:sz w:val="16"/>
                <w:szCs w:val="16"/>
              </w:rPr>
            </w:pPr>
            <w:r>
              <w:rPr>
                <w:rFonts w:ascii="Calibri" w:eastAsia="Times New Roman" w:hAnsi="Calibri"/>
                <w:color w:val="000000"/>
                <w:sz w:val="16"/>
                <w:szCs w:val="16"/>
              </w:rPr>
              <w:t>2100</w:t>
            </w:r>
          </w:p>
        </w:tc>
        <w:tc>
          <w:tcPr>
            <w:tcW w:w="900" w:type="dxa"/>
            <w:tcBorders>
              <w:top w:val="nil"/>
              <w:left w:val="nil"/>
              <w:bottom w:val="nil"/>
              <w:right w:val="single" w:sz="4" w:space="0" w:color="auto"/>
            </w:tcBorders>
            <w:shd w:val="clear" w:color="auto" w:fill="auto"/>
            <w:noWrap/>
            <w:vAlign w:val="bottom"/>
            <w:hideMark/>
          </w:tcPr>
          <w:p w14:paraId="1992B82C" w14:textId="77777777" w:rsidR="00E30D79" w:rsidRPr="00ED6D24" w:rsidRDefault="00E30D79" w:rsidP="00C26C4B">
            <w:pPr>
              <w:rPr>
                <w:rFonts w:ascii="Calibri" w:eastAsia="Times New Roman" w:hAnsi="Calibri"/>
                <w:color w:val="000000"/>
                <w:sz w:val="16"/>
                <w:szCs w:val="16"/>
              </w:rPr>
            </w:pPr>
          </w:p>
        </w:tc>
        <w:tc>
          <w:tcPr>
            <w:tcW w:w="1428" w:type="dxa"/>
            <w:tcBorders>
              <w:top w:val="nil"/>
              <w:left w:val="nil"/>
              <w:bottom w:val="nil"/>
              <w:right w:val="single" w:sz="4" w:space="0" w:color="auto"/>
            </w:tcBorders>
            <w:vAlign w:val="bottom"/>
          </w:tcPr>
          <w:p w14:paraId="2CB02F9A"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589</w:t>
            </w:r>
          </w:p>
        </w:tc>
        <w:tc>
          <w:tcPr>
            <w:tcW w:w="1701" w:type="dxa"/>
            <w:tcBorders>
              <w:top w:val="nil"/>
              <w:left w:val="nil"/>
              <w:bottom w:val="nil"/>
              <w:right w:val="single" w:sz="4" w:space="0" w:color="auto"/>
            </w:tcBorders>
            <w:vAlign w:val="bottom"/>
          </w:tcPr>
          <w:p w14:paraId="7E1EE296"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416</w:t>
            </w:r>
          </w:p>
        </w:tc>
      </w:tr>
      <w:tr w:rsidR="00E30D79" w:rsidRPr="00ED6D24" w14:paraId="18CE20C0"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29DEDDD4"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Sex</w:t>
            </w:r>
            <w:proofErr w:type="spellEnd"/>
            <w:r w:rsidRPr="00ED6D24">
              <w:rPr>
                <w:rFonts w:ascii="Calibri" w:eastAsia="Times New Roman" w:hAnsi="Calibri"/>
                <w:color w:val="000000"/>
                <w:sz w:val="16"/>
                <w:szCs w:val="16"/>
              </w:rPr>
              <w:t xml:space="preserve"> (Male)</w:t>
            </w:r>
          </w:p>
        </w:tc>
        <w:tc>
          <w:tcPr>
            <w:tcW w:w="1417" w:type="dxa"/>
            <w:tcBorders>
              <w:top w:val="nil"/>
              <w:left w:val="single" w:sz="4" w:space="0" w:color="auto"/>
              <w:bottom w:val="nil"/>
              <w:right w:val="nil"/>
            </w:tcBorders>
            <w:shd w:val="clear" w:color="000000" w:fill="D9D9D9"/>
            <w:noWrap/>
            <w:vAlign w:val="bottom"/>
            <w:hideMark/>
          </w:tcPr>
          <w:p w14:paraId="65F0E5A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3682 (78.6%)</w:t>
            </w:r>
          </w:p>
        </w:tc>
        <w:tc>
          <w:tcPr>
            <w:tcW w:w="1500" w:type="dxa"/>
            <w:tcBorders>
              <w:top w:val="nil"/>
              <w:left w:val="nil"/>
              <w:bottom w:val="nil"/>
              <w:right w:val="nil"/>
            </w:tcBorders>
            <w:shd w:val="clear" w:color="000000" w:fill="D9D9D9"/>
            <w:noWrap/>
            <w:vAlign w:val="bottom"/>
            <w:hideMark/>
          </w:tcPr>
          <w:p w14:paraId="65A848F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1589 (75.7%)</w:t>
            </w:r>
          </w:p>
        </w:tc>
        <w:tc>
          <w:tcPr>
            <w:tcW w:w="900" w:type="dxa"/>
            <w:tcBorders>
              <w:top w:val="nil"/>
              <w:left w:val="nil"/>
              <w:bottom w:val="nil"/>
              <w:right w:val="single" w:sz="4" w:space="0" w:color="auto"/>
            </w:tcBorders>
            <w:shd w:val="clear" w:color="000000" w:fill="D9D9D9"/>
            <w:noWrap/>
            <w:vAlign w:val="bottom"/>
            <w:hideMark/>
          </w:tcPr>
          <w:p w14:paraId="0404C04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0.008</w:t>
            </w:r>
          </w:p>
        </w:tc>
        <w:tc>
          <w:tcPr>
            <w:tcW w:w="1428" w:type="dxa"/>
            <w:tcBorders>
              <w:top w:val="nil"/>
              <w:left w:val="nil"/>
              <w:bottom w:val="nil"/>
              <w:right w:val="single" w:sz="4" w:space="0" w:color="auto"/>
            </w:tcBorders>
            <w:shd w:val="clear" w:color="000000" w:fill="D9D9D9"/>
            <w:vAlign w:val="bottom"/>
          </w:tcPr>
          <w:p w14:paraId="4551C16E"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441 (74.9%)</w:t>
            </w:r>
          </w:p>
        </w:tc>
        <w:tc>
          <w:tcPr>
            <w:tcW w:w="1701" w:type="dxa"/>
            <w:tcBorders>
              <w:top w:val="nil"/>
              <w:left w:val="nil"/>
              <w:bottom w:val="nil"/>
              <w:right w:val="single" w:sz="4" w:space="0" w:color="auto"/>
            </w:tcBorders>
            <w:shd w:val="clear" w:color="000000" w:fill="D9D9D9"/>
            <w:vAlign w:val="bottom"/>
          </w:tcPr>
          <w:p w14:paraId="6C767E09"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257 (61.8%)</w:t>
            </w:r>
          </w:p>
        </w:tc>
      </w:tr>
      <w:tr w:rsidR="00E30D79" w:rsidRPr="00ED6D24" w14:paraId="18199507"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36CB146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Age (</w:t>
            </w:r>
            <w:proofErr w:type="spellStart"/>
            <w:r w:rsidRPr="00ED6D24">
              <w:rPr>
                <w:rFonts w:ascii="Calibri" w:eastAsia="Times New Roman" w:hAnsi="Calibri"/>
                <w:color w:val="000000"/>
                <w:sz w:val="16"/>
                <w:szCs w:val="16"/>
              </w:rPr>
              <w:t>years</w:t>
            </w:r>
            <w:proofErr w:type="spellEnd"/>
            <w:r w:rsidRPr="00ED6D24">
              <w:rPr>
                <w:rFonts w:ascii="Calibri" w:eastAsia="Times New Roman" w:hAnsi="Calibri"/>
                <w:color w:val="000000"/>
                <w:sz w:val="16"/>
                <w:szCs w:val="16"/>
              </w:rPr>
              <w:t>)</w:t>
            </w:r>
          </w:p>
        </w:tc>
        <w:tc>
          <w:tcPr>
            <w:tcW w:w="1417" w:type="dxa"/>
            <w:tcBorders>
              <w:top w:val="nil"/>
              <w:left w:val="single" w:sz="4" w:space="0" w:color="auto"/>
              <w:bottom w:val="nil"/>
              <w:right w:val="nil"/>
            </w:tcBorders>
            <w:shd w:val="clear" w:color="auto" w:fill="auto"/>
            <w:noWrap/>
            <w:vAlign w:val="bottom"/>
            <w:hideMark/>
          </w:tcPr>
          <w:p w14:paraId="27DBA00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60.3 (13.03)</w:t>
            </w:r>
          </w:p>
        </w:tc>
        <w:tc>
          <w:tcPr>
            <w:tcW w:w="1500" w:type="dxa"/>
            <w:tcBorders>
              <w:top w:val="nil"/>
              <w:left w:val="nil"/>
              <w:bottom w:val="nil"/>
              <w:right w:val="nil"/>
            </w:tcBorders>
            <w:shd w:val="clear" w:color="auto" w:fill="auto"/>
            <w:noWrap/>
            <w:vAlign w:val="bottom"/>
            <w:hideMark/>
          </w:tcPr>
          <w:p w14:paraId="2F96B46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67.7 (11.95)</w:t>
            </w:r>
          </w:p>
        </w:tc>
        <w:tc>
          <w:tcPr>
            <w:tcW w:w="900" w:type="dxa"/>
            <w:tcBorders>
              <w:top w:val="nil"/>
              <w:left w:val="nil"/>
              <w:bottom w:val="nil"/>
              <w:right w:val="single" w:sz="4" w:space="0" w:color="auto"/>
            </w:tcBorders>
            <w:shd w:val="clear" w:color="auto" w:fill="auto"/>
            <w:noWrap/>
            <w:vAlign w:val="bottom"/>
            <w:hideMark/>
          </w:tcPr>
          <w:p w14:paraId="4393FCC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1F546570"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58.7 (13.19)</w:t>
            </w:r>
          </w:p>
        </w:tc>
        <w:tc>
          <w:tcPr>
            <w:tcW w:w="1701" w:type="dxa"/>
            <w:tcBorders>
              <w:top w:val="nil"/>
              <w:left w:val="nil"/>
              <w:bottom w:val="nil"/>
              <w:right w:val="single" w:sz="4" w:space="0" w:color="auto"/>
            </w:tcBorders>
            <w:vAlign w:val="bottom"/>
          </w:tcPr>
          <w:p w14:paraId="03C42DB1"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75 (9.97)</w:t>
            </w:r>
          </w:p>
        </w:tc>
      </w:tr>
      <w:tr w:rsidR="00E30D79" w:rsidRPr="00ED6D24" w14:paraId="3B89EEB8"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2876EA16"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Isch</w:t>
            </w:r>
            <w:r>
              <w:rPr>
                <w:rFonts w:ascii="Calibri" w:eastAsia="Times New Roman" w:hAnsi="Calibri"/>
                <w:color w:val="000000"/>
                <w:sz w:val="16"/>
                <w:szCs w:val="16"/>
              </w:rPr>
              <w:t>a</w:t>
            </w:r>
            <w:r w:rsidRPr="00ED6D24">
              <w:rPr>
                <w:rFonts w:ascii="Calibri" w:eastAsia="Times New Roman" w:hAnsi="Calibri"/>
                <w:color w:val="000000"/>
                <w:sz w:val="16"/>
                <w:szCs w:val="16"/>
              </w:rPr>
              <w:t>emic</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aetiology</w:t>
            </w:r>
            <w:proofErr w:type="spellEnd"/>
          </w:p>
        </w:tc>
        <w:tc>
          <w:tcPr>
            <w:tcW w:w="1417" w:type="dxa"/>
            <w:tcBorders>
              <w:top w:val="nil"/>
              <w:left w:val="single" w:sz="4" w:space="0" w:color="auto"/>
              <w:bottom w:val="nil"/>
              <w:right w:val="nil"/>
            </w:tcBorders>
            <w:shd w:val="clear" w:color="000000" w:fill="D9D9D9"/>
            <w:noWrap/>
            <w:vAlign w:val="bottom"/>
            <w:hideMark/>
          </w:tcPr>
          <w:p w14:paraId="74FF1ED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2189 (49.8%)</w:t>
            </w:r>
          </w:p>
        </w:tc>
        <w:tc>
          <w:tcPr>
            <w:tcW w:w="1500" w:type="dxa"/>
            <w:tcBorders>
              <w:top w:val="nil"/>
              <w:left w:val="nil"/>
              <w:bottom w:val="nil"/>
              <w:right w:val="nil"/>
            </w:tcBorders>
            <w:shd w:val="clear" w:color="000000" w:fill="D9D9D9"/>
            <w:noWrap/>
            <w:vAlign w:val="bottom"/>
            <w:hideMark/>
          </w:tcPr>
          <w:p w14:paraId="7A4EF79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1154 (55%)</w:t>
            </w:r>
          </w:p>
        </w:tc>
        <w:tc>
          <w:tcPr>
            <w:tcW w:w="900" w:type="dxa"/>
            <w:tcBorders>
              <w:top w:val="nil"/>
              <w:left w:val="nil"/>
              <w:bottom w:val="nil"/>
              <w:right w:val="single" w:sz="4" w:space="0" w:color="auto"/>
            </w:tcBorders>
            <w:shd w:val="clear" w:color="000000" w:fill="D9D9D9"/>
            <w:noWrap/>
            <w:vAlign w:val="bottom"/>
            <w:hideMark/>
          </w:tcPr>
          <w:p w14:paraId="427C716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0.0001</w:t>
            </w:r>
          </w:p>
        </w:tc>
        <w:tc>
          <w:tcPr>
            <w:tcW w:w="1428" w:type="dxa"/>
            <w:tcBorders>
              <w:top w:val="nil"/>
              <w:left w:val="nil"/>
              <w:bottom w:val="nil"/>
              <w:right w:val="single" w:sz="4" w:space="0" w:color="auto"/>
            </w:tcBorders>
            <w:shd w:val="clear" w:color="000000" w:fill="D9D9D9"/>
            <w:vAlign w:val="bottom"/>
          </w:tcPr>
          <w:p w14:paraId="3B16923F"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281 (51.5%)</w:t>
            </w:r>
          </w:p>
        </w:tc>
        <w:tc>
          <w:tcPr>
            <w:tcW w:w="1701" w:type="dxa"/>
            <w:tcBorders>
              <w:top w:val="nil"/>
              <w:left w:val="nil"/>
              <w:bottom w:val="nil"/>
              <w:right w:val="single" w:sz="4" w:space="0" w:color="auto"/>
            </w:tcBorders>
            <w:shd w:val="clear" w:color="000000" w:fill="D9D9D9"/>
            <w:vAlign w:val="bottom"/>
          </w:tcPr>
          <w:p w14:paraId="6BF545F6"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204 (49%)</w:t>
            </w:r>
          </w:p>
        </w:tc>
      </w:tr>
      <w:tr w:rsidR="00E30D79" w:rsidRPr="00ED6D24" w14:paraId="0913E763"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3597E88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NYHA Class III/IV</w:t>
            </w:r>
          </w:p>
        </w:tc>
        <w:tc>
          <w:tcPr>
            <w:tcW w:w="1417" w:type="dxa"/>
            <w:tcBorders>
              <w:top w:val="nil"/>
              <w:left w:val="single" w:sz="4" w:space="0" w:color="auto"/>
              <w:bottom w:val="nil"/>
              <w:right w:val="nil"/>
            </w:tcBorders>
            <w:shd w:val="clear" w:color="auto" w:fill="auto"/>
            <w:noWrap/>
            <w:vAlign w:val="bottom"/>
            <w:hideMark/>
          </w:tcPr>
          <w:p w14:paraId="1FC05B2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1455 (34.3%)</w:t>
            </w:r>
          </w:p>
        </w:tc>
        <w:tc>
          <w:tcPr>
            <w:tcW w:w="1500" w:type="dxa"/>
            <w:tcBorders>
              <w:top w:val="nil"/>
              <w:left w:val="nil"/>
              <w:bottom w:val="nil"/>
              <w:right w:val="nil"/>
            </w:tcBorders>
            <w:shd w:val="clear" w:color="auto" w:fill="auto"/>
            <w:noWrap/>
            <w:vAlign w:val="bottom"/>
            <w:hideMark/>
          </w:tcPr>
          <w:p w14:paraId="3175FEC0"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1236 (60.3%)</w:t>
            </w:r>
          </w:p>
        </w:tc>
        <w:tc>
          <w:tcPr>
            <w:tcW w:w="900" w:type="dxa"/>
            <w:tcBorders>
              <w:top w:val="nil"/>
              <w:left w:val="nil"/>
              <w:bottom w:val="nil"/>
              <w:right w:val="single" w:sz="4" w:space="0" w:color="auto"/>
            </w:tcBorders>
            <w:shd w:val="clear" w:color="auto" w:fill="auto"/>
            <w:noWrap/>
            <w:vAlign w:val="bottom"/>
            <w:hideMark/>
          </w:tcPr>
          <w:p w14:paraId="16BAD0D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17EA675A"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213 (39.6%)</w:t>
            </w:r>
          </w:p>
        </w:tc>
        <w:tc>
          <w:tcPr>
            <w:tcW w:w="1701" w:type="dxa"/>
            <w:tcBorders>
              <w:top w:val="nil"/>
              <w:left w:val="nil"/>
              <w:bottom w:val="nil"/>
              <w:right w:val="single" w:sz="4" w:space="0" w:color="auto"/>
            </w:tcBorders>
            <w:vAlign w:val="bottom"/>
          </w:tcPr>
          <w:p w14:paraId="168BB7B9"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286 (72.2%)</w:t>
            </w:r>
          </w:p>
        </w:tc>
      </w:tr>
      <w:tr w:rsidR="00E30D79" w:rsidRPr="00ED6D24" w14:paraId="6F527C11"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5BA076C3"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peripheral</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oedema</w:t>
            </w:r>
            <w:proofErr w:type="spellEnd"/>
          </w:p>
        </w:tc>
        <w:tc>
          <w:tcPr>
            <w:tcW w:w="1417" w:type="dxa"/>
            <w:tcBorders>
              <w:top w:val="nil"/>
              <w:left w:val="single" w:sz="4" w:space="0" w:color="auto"/>
              <w:bottom w:val="nil"/>
              <w:right w:val="nil"/>
            </w:tcBorders>
            <w:shd w:val="clear" w:color="000000" w:fill="D9D9D9"/>
            <w:noWrap/>
            <w:vAlign w:val="bottom"/>
            <w:hideMark/>
          </w:tcPr>
          <w:p w14:paraId="35F900B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1070 (22.9%)</w:t>
            </w:r>
          </w:p>
        </w:tc>
        <w:tc>
          <w:tcPr>
            <w:tcW w:w="1500" w:type="dxa"/>
            <w:tcBorders>
              <w:top w:val="nil"/>
              <w:left w:val="nil"/>
              <w:bottom w:val="nil"/>
              <w:right w:val="nil"/>
            </w:tcBorders>
            <w:shd w:val="clear" w:color="000000" w:fill="D9D9D9"/>
            <w:noWrap/>
            <w:vAlign w:val="bottom"/>
            <w:hideMark/>
          </w:tcPr>
          <w:p w14:paraId="2C9D393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988 (47%)</w:t>
            </w:r>
          </w:p>
        </w:tc>
        <w:tc>
          <w:tcPr>
            <w:tcW w:w="900" w:type="dxa"/>
            <w:tcBorders>
              <w:top w:val="nil"/>
              <w:left w:val="nil"/>
              <w:bottom w:val="nil"/>
              <w:right w:val="single" w:sz="4" w:space="0" w:color="auto"/>
            </w:tcBorders>
            <w:shd w:val="clear" w:color="000000" w:fill="D9D9D9"/>
            <w:noWrap/>
            <w:vAlign w:val="bottom"/>
            <w:hideMark/>
          </w:tcPr>
          <w:p w14:paraId="26A8801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shd w:val="clear" w:color="000000" w:fill="D9D9D9"/>
            <w:vAlign w:val="bottom"/>
          </w:tcPr>
          <w:p w14:paraId="2946EA64"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171 (30.1%)</w:t>
            </w:r>
          </w:p>
        </w:tc>
        <w:tc>
          <w:tcPr>
            <w:tcW w:w="1701" w:type="dxa"/>
            <w:tcBorders>
              <w:top w:val="nil"/>
              <w:left w:val="nil"/>
              <w:bottom w:val="nil"/>
              <w:right w:val="single" w:sz="4" w:space="0" w:color="auto"/>
            </w:tcBorders>
            <w:shd w:val="clear" w:color="000000" w:fill="D9D9D9"/>
            <w:vAlign w:val="bottom"/>
          </w:tcPr>
          <w:p w14:paraId="209AD7B8"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268 (64.4%)</w:t>
            </w:r>
          </w:p>
        </w:tc>
      </w:tr>
      <w:tr w:rsidR="00E30D79" w:rsidRPr="00ED6D24" w14:paraId="27FCDF97"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4A6E8A4B"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Orthopnea</w:t>
            </w:r>
            <w:proofErr w:type="spellEnd"/>
          </w:p>
        </w:tc>
        <w:tc>
          <w:tcPr>
            <w:tcW w:w="1417" w:type="dxa"/>
            <w:tcBorders>
              <w:top w:val="nil"/>
              <w:left w:val="single" w:sz="4" w:space="0" w:color="auto"/>
              <w:bottom w:val="nil"/>
              <w:right w:val="nil"/>
            </w:tcBorders>
            <w:shd w:val="clear" w:color="auto" w:fill="auto"/>
            <w:noWrap/>
            <w:vAlign w:val="bottom"/>
            <w:hideMark/>
          </w:tcPr>
          <w:p w14:paraId="0DBC2B4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986 (21.1%)</w:t>
            </w:r>
          </w:p>
        </w:tc>
        <w:tc>
          <w:tcPr>
            <w:tcW w:w="1500" w:type="dxa"/>
            <w:tcBorders>
              <w:top w:val="nil"/>
              <w:left w:val="nil"/>
              <w:bottom w:val="nil"/>
              <w:right w:val="nil"/>
            </w:tcBorders>
            <w:shd w:val="clear" w:color="auto" w:fill="auto"/>
            <w:noWrap/>
            <w:vAlign w:val="bottom"/>
            <w:hideMark/>
          </w:tcPr>
          <w:p w14:paraId="06D5EA77"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678 (32.3%)</w:t>
            </w:r>
          </w:p>
        </w:tc>
        <w:tc>
          <w:tcPr>
            <w:tcW w:w="900" w:type="dxa"/>
            <w:tcBorders>
              <w:top w:val="nil"/>
              <w:left w:val="nil"/>
              <w:bottom w:val="nil"/>
              <w:right w:val="single" w:sz="4" w:space="0" w:color="auto"/>
            </w:tcBorders>
            <w:shd w:val="clear" w:color="auto" w:fill="auto"/>
            <w:noWrap/>
            <w:vAlign w:val="bottom"/>
            <w:hideMark/>
          </w:tcPr>
          <w:p w14:paraId="5790814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5DBBE3B8"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200 (35.1%)</w:t>
            </w:r>
          </w:p>
        </w:tc>
        <w:tc>
          <w:tcPr>
            <w:tcW w:w="1701" w:type="dxa"/>
            <w:tcBorders>
              <w:top w:val="nil"/>
              <w:left w:val="nil"/>
              <w:bottom w:val="nil"/>
              <w:right w:val="single" w:sz="4" w:space="0" w:color="auto"/>
            </w:tcBorders>
            <w:vAlign w:val="bottom"/>
          </w:tcPr>
          <w:p w14:paraId="0C1BF7C4"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201 (48.6%)</w:t>
            </w:r>
          </w:p>
        </w:tc>
      </w:tr>
      <w:tr w:rsidR="00E30D79" w:rsidRPr="00ED6D24" w14:paraId="6DC82F4C"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2B1A5EFA"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pulmonary</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rales</w:t>
            </w:r>
            <w:proofErr w:type="spellEnd"/>
          </w:p>
        </w:tc>
        <w:tc>
          <w:tcPr>
            <w:tcW w:w="1417" w:type="dxa"/>
            <w:tcBorders>
              <w:top w:val="nil"/>
              <w:left w:val="single" w:sz="4" w:space="0" w:color="auto"/>
              <w:bottom w:val="nil"/>
              <w:right w:val="nil"/>
            </w:tcBorders>
            <w:shd w:val="clear" w:color="000000" w:fill="D9D9D9"/>
            <w:noWrap/>
            <w:vAlign w:val="bottom"/>
            <w:hideMark/>
          </w:tcPr>
          <w:p w14:paraId="2DBA5C5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768 (16.4%)</w:t>
            </w:r>
          </w:p>
        </w:tc>
        <w:tc>
          <w:tcPr>
            <w:tcW w:w="1500" w:type="dxa"/>
            <w:tcBorders>
              <w:top w:val="nil"/>
              <w:left w:val="nil"/>
              <w:bottom w:val="nil"/>
              <w:right w:val="nil"/>
            </w:tcBorders>
            <w:shd w:val="clear" w:color="000000" w:fill="D9D9D9"/>
            <w:noWrap/>
            <w:vAlign w:val="bottom"/>
            <w:hideMark/>
          </w:tcPr>
          <w:p w14:paraId="6176107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183 (18%)</w:t>
            </w:r>
          </w:p>
        </w:tc>
        <w:tc>
          <w:tcPr>
            <w:tcW w:w="900" w:type="dxa"/>
            <w:tcBorders>
              <w:top w:val="nil"/>
              <w:left w:val="nil"/>
              <w:bottom w:val="nil"/>
              <w:right w:val="single" w:sz="4" w:space="0" w:color="auto"/>
            </w:tcBorders>
            <w:shd w:val="clear" w:color="000000" w:fill="D9D9D9"/>
            <w:noWrap/>
            <w:vAlign w:val="bottom"/>
            <w:hideMark/>
          </w:tcPr>
          <w:p w14:paraId="09624CF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0.22</w:t>
            </w:r>
          </w:p>
        </w:tc>
        <w:tc>
          <w:tcPr>
            <w:tcW w:w="1428" w:type="dxa"/>
            <w:tcBorders>
              <w:top w:val="nil"/>
              <w:left w:val="nil"/>
              <w:bottom w:val="nil"/>
              <w:right w:val="single" w:sz="4" w:space="0" w:color="auto"/>
            </w:tcBorders>
            <w:shd w:val="clear" w:color="000000" w:fill="D9D9D9"/>
            <w:vAlign w:val="bottom"/>
          </w:tcPr>
          <w:p w14:paraId="1B2E9DBC"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111 (19.5%)</w:t>
            </w:r>
          </w:p>
        </w:tc>
        <w:tc>
          <w:tcPr>
            <w:tcW w:w="1701" w:type="dxa"/>
            <w:tcBorders>
              <w:top w:val="nil"/>
              <w:left w:val="nil"/>
              <w:bottom w:val="nil"/>
              <w:right w:val="single" w:sz="4" w:space="0" w:color="auto"/>
            </w:tcBorders>
            <w:shd w:val="clear" w:color="000000" w:fill="D9D9D9"/>
            <w:vAlign w:val="bottom"/>
          </w:tcPr>
          <w:p w14:paraId="6665E327"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65 (23.8%)</w:t>
            </w:r>
          </w:p>
        </w:tc>
      </w:tr>
      <w:tr w:rsidR="00E30D79" w:rsidRPr="00ED6D24" w14:paraId="24F46BED"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33CB7889" w14:textId="77777777" w:rsidR="00E30D79" w:rsidRPr="00ED6D24" w:rsidRDefault="00E30D79" w:rsidP="00C26C4B">
            <w:pPr>
              <w:rPr>
                <w:rFonts w:ascii="Calibri" w:eastAsia="Times New Roman" w:hAnsi="Calibri"/>
                <w:color w:val="000000"/>
                <w:sz w:val="16"/>
                <w:szCs w:val="16"/>
                <w:lang w:val="en-US"/>
              </w:rPr>
            </w:pPr>
            <w:r w:rsidRPr="00ED6D24">
              <w:rPr>
                <w:rFonts w:ascii="Calibri" w:eastAsia="Times New Roman" w:hAnsi="Calibri"/>
                <w:color w:val="000000"/>
                <w:sz w:val="16"/>
                <w:szCs w:val="16"/>
                <w:lang w:val="en-US"/>
              </w:rPr>
              <w:t>Previous HF-hospitalization in past year</w:t>
            </w:r>
          </w:p>
        </w:tc>
        <w:tc>
          <w:tcPr>
            <w:tcW w:w="1417" w:type="dxa"/>
            <w:tcBorders>
              <w:top w:val="nil"/>
              <w:left w:val="single" w:sz="4" w:space="0" w:color="auto"/>
              <w:bottom w:val="nil"/>
              <w:right w:val="nil"/>
            </w:tcBorders>
            <w:shd w:val="clear" w:color="auto" w:fill="auto"/>
            <w:noWrap/>
            <w:vAlign w:val="bottom"/>
            <w:hideMark/>
          </w:tcPr>
          <w:p w14:paraId="1FDBF86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1578 (62.9%)</w:t>
            </w:r>
          </w:p>
        </w:tc>
        <w:tc>
          <w:tcPr>
            <w:tcW w:w="1500" w:type="dxa"/>
            <w:tcBorders>
              <w:top w:val="nil"/>
              <w:left w:val="nil"/>
              <w:bottom w:val="nil"/>
              <w:right w:val="nil"/>
            </w:tcBorders>
            <w:shd w:val="clear" w:color="auto" w:fill="auto"/>
            <w:noWrap/>
            <w:vAlign w:val="bottom"/>
            <w:hideMark/>
          </w:tcPr>
          <w:p w14:paraId="54D5A969"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669 (31.9%)</w:t>
            </w:r>
          </w:p>
        </w:tc>
        <w:tc>
          <w:tcPr>
            <w:tcW w:w="900" w:type="dxa"/>
            <w:tcBorders>
              <w:top w:val="nil"/>
              <w:left w:val="nil"/>
              <w:bottom w:val="nil"/>
              <w:right w:val="single" w:sz="4" w:space="0" w:color="auto"/>
            </w:tcBorders>
            <w:shd w:val="clear" w:color="auto" w:fill="auto"/>
            <w:noWrap/>
            <w:vAlign w:val="bottom"/>
            <w:hideMark/>
          </w:tcPr>
          <w:p w14:paraId="23D1161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2749F868"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193 (65%)</w:t>
            </w:r>
          </w:p>
        </w:tc>
        <w:tc>
          <w:tcPr>
            <w:tcW w:w="1701" w:type="dxa"/>
            <w:tcBorders>
              <w:top w:val="nil"/>
              <w:left w:val="nil"/>
              <w:bottom w:val="nil"/>
              <w:right w:val="single" w:sz="4" w:space="0" w:color="auto"/>
            </w:tcBorders>
            <w:vAlign w:val="bottom"/>
          </w:tcPr>
          <w:p w14:paraId="5BCB6527"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125 (30%)</w:t>
            </w:r>
          </w:p>
        </w:tc>
      </w:tr>
      <w:tr w:rsidR="00E30D79" w:rsidRPr="00ED6D24" w14:paraId="071F9CA0"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4FDD2602"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Atrial</w:t>
            </w:r>
            <w:proofErr w:type="spellEnd"/>
            <w:r w:rsidRPr="00ED6D24">
              <w:rPr>
                <w:rFonts w:ascii="Calibri" w:eastAsia="Times New Roman" w:hAnsi="Calibri"/>
                <w:color w:val="000000"/>
                <w:sz w:val="16"/>
                <w:szCs w:val="16"/>
              </w:rPr>
              <w:t xml:space="preserve"> </w:t>
            </w:r>
            <w:proofErr w:type="spellStart"/>
            <w:r w:rsidRPr="00C515A5">
              <w:rPr>
                <w:rFonts w:ascii="Calibri" w:eastAsia="Times New Roman" w:hAnsi="Calibri"/>
                <w:color w:val="000000"/>
                <w:sz w:val="16"/>
                <w:szCs w:val="16"/>
              </w:rPr>
              <w:t>Fibri</w:t>
            </w:r>
            <w:r>
              <w:rPr>
                <w:rFonts w:ascii="Calibri" w:eastAsia="Times New Roman" w:hAnsi="Calibri"/>
                <w:color w:val="000000"/>
                <w:sz w:val="16"/>
                <w:szCs w:val="16"/>
              </w:rPr>
              <w:t>l</w:t>
            </w:r>
            <w:r w:rsidRPr="00C515A5">
              <w:rPr>
                <w:rFonts w:ascii="Calibri" w:eastAsia="Times New Roman" w:hAnsi="Calibri"/>
                <w:color w:val="000000"/>
                <w:sz w:val="16"/>
                <w:szCs w:val="16"/>
              </w:rPr>
              <w:t>lation</w:t>
            </w:r>
            <w:proofErr w:type="spellEnd"/>
          </w:p>
        </w:tc>
        <w:tc>
          <w:tcPr>
            <w:tcW w:w="1417" w:type="dxa"/>
            <w:tcBorders>
              <w:top w:val="nil"/>
              <w:left w:val="single" w:sz="4" w:space="0" w:color="auto"/>
              <w:bottom w:val="nil"/>
              <w:right w:val="nil"/>
            </w:tcBorders>
            <w:shd w:val="clear" w:color="000000" w:fill="D9D9D9"/>
            <w:noWrap/>
            <w:vAlign w:val="bottom"/>
            <w:hideMark/>
          </w:tcPr>
          <w:p w14:paraId="7207FC6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864 (18.5%)</w:t>
            </w:r>
          </w:p>
        </w:tc>
        <w:tc>
          <w:tcPr>
            <w:tcW w:w="1500" w:type="dxa"/>
            <w:tcBorders>
              <w:top w:val="nil"/>
              <w:left w:val="nil"/>
              <w:bottom w:val="nil"/>
              <w:right w:val="nil"/>
            </w:tcBorders>
            <w:shd w:val="clear" w:color="000000" w:fill="D9D9D9"/>
            <w:noWrap/>
            <w:vAlign w:val="bottom"/>
            <w:hideMark/>
          </w:tcPr>
          <w:p w14:paraId="376C02C5"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901 (42.9%)</w:t>
            </w:r>
          </w:p>
        </w:tc>
        <w:tc>
          <w:tcPr>
            <w:tcW w:w="900" w:type="dxa"/>
            <w:tcBorders>
              <w:top w:val="nil"/>
              <w:left w:val="nil"/>
              <w:bottom w:val="nil"/>
              <w:right w:val="single" w:sz="4" w:space="0" w:color="auto"/>
            </w:tcBorders>
            <w:shd w:val="clear" w:color="000000" w:fill="D9D9D9"/>
            <w:noWrap/>
            <w:vAlign w:val="bottom"/>
            <w:hideMark/>
          </w:tcPr>
          <w:p w14:paraId="45B30E5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shd w:val="clear" w:color="000000" w:fill="D9D9D9"/>
            <w:vAlign w:val="bottom"/>
          </w:tcPr>
          <w:p w14:paraId="01390F99"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77 (13.6%)</w:t>
            </w:r>
          </w:p>
        </w:tc>
        <w:tc>
          <w:tcPr>
            <w:tcW w:w="1701" w:type="dxa"/>
            <w:tcBorders>
              <w:top w:val="nil"/>
              <w:left w:val="nil"/>
              <w:bottom w:val="nil"/>
              <w:right w:val="single" w:sz="4" w:space="0" w:color="auto"/>
            </w:tcBorders>
            <w:shd w:val="clear" w:color="000000" w:fill="D9D9D9"/>
            <w:vAlign w:val="bottom"/>
          </w:tcPr>
          <w:p w14:paraId="05180FB7"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242 (58.2%)</w:t>
            </w:r>
          </w:p>
        </w:tc>
      </w:tr>
      <w:tr w:rsidR="00E30D79" w:rsidRPr="00ED6D24" w14:paraId="7727F79A"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62C86D7D" w14:textId="77777777" w:rsidR="00E30D79" w:rsidRPr="00ED6D24" w:rsidRDefault="00E30D79" w:rsidP="00C26C4B">
            <w:pPr>
              <w:rPr>
                <w:rFonts w:ascii="Calibri" w:eastAsia="Times New Roman" w:hAnsi="Calibri"/>
                <w:color w:val="000000"/>
                <w:sz w:val="16"/>
                <w:szCs w:val="16"/>
              </w:rPr>
            </w:pPr>
            <w:r>
              <w:rPr>
                <w:rFonts w:ascii="Calibri" w:eastAsia="Times New Roman" w:hAnsi="Calibri"/>
                <w:color w:val="000000"/>
                <w:sz w:val="16"/>
                <w:szCs w:val="16"/>
              </w:rPr>
              <w:t>Diabetes mellitus</w:t>
            </w:r>
          </w:p>
        </w:tc>
        <w:tc>
          <w:tcPr>
            <w:tcW w:w="1417" w:type="dxa"/>
            <w:tcBorders>
              <w:top w:val="nil"/>
              <w:left w:val="single" w:sz="4" w:space="0" w:color="auto"/>
              <w:bottom w:val="nil"/>
              <w:right w:val="nil"/>
            </w:tcBorders>
            <w:shd w:val="clear" w:color="auto" w:fill="auto"/>
            <w:noWrap/>
            <w:vAlign w:val="bottom"/>
            <w:hideMark/>
          </w:tcPr>
          <w:p w14:paraId="3E1D3A4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1931 (41.2%)</w:t>
            </w:r>
          </w:p>
        </w:tc>
        <w:tc>
          <w:tcPr>
            <w:tcW w:w="1500" w:type="dxa"/>
            <w:tcBorders>
              <w:top w:val="nil"/>
              <w:left w:val="nil"/>
              <w:bottom w:val="nil"/>
              <w:right w:val="nil"/>
            </w:tcBorders>
            <w:shd w:val="clear" w:color="auto" w:fill="auto"/>
            <w:noWrap/>
            <w:vAlign w:val="bottom"/>
            <w:hideMark/>
          </w:tcPr>
          <w:p w14:paraId="02523228"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676 (32.2%)</w:t>
            </w:r>
          </w:p>
        </w:tc>
        <w:tc>
          <w:tcPr>
            <w:tcW w:w="900" w:type="dxa"/>
            <w:tcBorders>
              <w:top w:val="nil"/>
              <w:left w:val="nil"/>
              <w:bottom w:val="nil"/>
              <w:right w:val="single" w:sz="4" w:space="0" w:color="auto"/>
            </w:tcBorders>
            <w:shd w:val="clear" w:color="auto" w:fill="auto"/>
            <w:noWrap/>
            <w:vAlign w:val="bottom"/>
            <w:hideMark/>
          </w:tcPr>
          <w:p w14:paraId="265AD304"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055E19EC"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189 (33.3%)</w:t>
            </w:r>
          </w:p>
        </w:tc>
        <w:tc>
          <w:tcPr>
            <w:tcW w:w="1701" w:type="dxa"/>
            <w:tcBorders>
              <w:top w:val="nil"/>
              <w:left w:val="nil"/>
              <w:bottom w:val="nil"/>
              <w:right w:val="single" w:sz="4" w:space="0" w:color="auto"/>
            </w:tcBorders>
            <w:vAlign w:val="bottom"/>
          </w:tcPr>
          <w:p w14:paraId="06153892"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143 (34.4%)</w:t>
            </w:r>
          </w:p>
        </w:tc>
      </w:tr>
      <w:tr w:rsidR="00E30D79" w:rsidRPr="00ED6D24" w14:paraId="4E0FCEAA"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5352C27C"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Hypertension</w:t>
            </w:r>
            <w:proofErr w:type="spellEnd"/>
          </w:p>
        </w:tc>
        <w:tc>
          <w:tcPr>
            <w:tcW w:w="1417" w:type="dxa"/>
            <w:tcBorders>
              <w:top w:val="nil"/>
              <w:left w:val="single" w:sz="4" w:space="0" w:color="auto"/>
              <w:bottom w:val="nil"/>
              <w:right w:val="nil"/>
            </w:tcBorders>
            <w:shd w:val="clear" w:color="000000" w:fill="D9D9D9"/>
            <w:noWrap/>
            <w:vAlign w:val="bottom"/>
            <w:hideMark/>
          </w:tcPr>
          <w:p w14:paraId="28FBEC7C"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2431 (51.9%)</w:t>
            </w:r>
          </w:p>
        </w:tc>
        <w:tc>
          <w:tcPr>
            <w:tcW w:w="1500" w:type="dxa"/>
            <w:tcBorders>
              <w:top w:val="nil"/>
              <w:left w:val="nil"/>
              <w:bottom w:val="nil"/>
              <w:right w:val="nil"/>
            </w:tcBorders>
            <w:shd w:val="clear" w:color="000000" w:fill="D9D9D9"/>
            <w:noWrap/>
            <w:vAlign w:val="bottom"/>
            <w:hideMark/>
          </w:tcPr>
          <w:p w14:paraId="63AC17E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1277 (60.8%)</w:t>
            </w:r>
          </w:p>
        </w:tc>
        <w:tc>
          <w:tcPr>
            <w:tcW w:w="900" w:type="dxa"/>
            <w:tcBorders>
              <w:top w:val="nil"/>
              <w:left w:val="nil"/>
              <w:bottom w:val="nil"/>
              <w:right w:val="single" w:sz="4" w:space="0" w:color="auto"/>
            </w:tcBorders>
            <w:shd w:val="clear" w:color="000000" w:fill="D9D9D9"/>
            <w:noWrap/>
            <w:vAlign w:val="bottom"/>
            <w:hideMark/>
          </w:tcPr>
          <w:p w14:paraId="5C1ED8D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shd w:val="clear" w:color="000000" w:fill="D9D9D9"/>
            <w:vAlign w:val="bottom"/>
          </w:tcPr>
          <w:p w14:paraId="267229C5"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288 (50.8%)</w:t>
            </w:r>
          </w:p>
        </w:tc>
        <w:tc>
          <w:tcPr>
            <w:tcW w:w="1701" w:type="dxa"/>
            <w:tcBorders>
              <w:top w:val="nil"/>
              <w:left w:val="nil"/>
              <w:bottom w:val="nil"/>
              <w:right w:val="single" w:sz="4" w:space="0" w:color="auto"/>
            </w:tcBorders>
            <w:shd w:val="clear" w:color="000000" w:fill="D9D9D9"/>
            <w:vAlign w:val="bottom"/>
          </w:tcPr>
          <w:p w14:paraId="04B926BD"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292 (70.2%)</w:t>
            </w:r>
          </w:p>
        </w:tc>
      </w:tr>
      <w:tr w:rsidR="00E30D79" w:rsidRPr="00ED6D24" w14:paraId="68BB11E3"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4F783DD4" w14:textId="77777777" w:rsidR="00E30D79" w:rsidRPr="00ED6D24" w:rsidRDefault="00E30D79" w:rsidP="00C26C4B">
            <w:pPr>
              <w:rPr>
                <w:rFonts w:ascii="Calibri" w:eastAsia="Times New Roman" w:hAnsi="Calibri"/>
                <w:color w:val="000000"/>
                <w:sz w:val="16"/>
                <w:szCs w:val="16"/>
                <w:lang w:val="en-US"/>
              </w:rPr>
            </w:pPr>
            <w:r w:rsidRPr="00ED6D24">
              <w:rPr>
                <w:rFonts w:ascii="Calibri" w:eastAsia="Times New Roman" w:hAnsi="Calibri"/>
                <w:color w:val="000000"/>
                <w:sz w:val="16"/>
                <w:szCs w:val="16"/>
                <w:lang w:val="en-US"/>
              </w:rPr>
              <w:t>Body mass index (kg/m^2)</w:t>
            </w:r>
          </w:p>
        </w:tc>
        <w:tc>
          <w:tcPr>
            <w:tcW w:w="1417" w:type="dxa"/>
            <w:tcBorders>
              <w:top w:val="nil"/>
              <w:left w:val="single" w:sz="4" w:space="0" w:color="auto"/>
              <w:bottom w:val="nil"/>
              <w:right w:val="nil"/>
            </w:tcBorders>
            <w:shd w:val="clear" w:color="auto" w:fill="auto"/>
            <w:noWrap/>
            <w:vAlign w:val="bottom"/>
            <w:hideMark/>
          </w:tcPr>
          <w:p w14:paraId="52E8C15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24.9 (5.06)</w:t>
            </w:r>
          </w:p>
        </w:tc>
        <w:tc>
          <w:tcPr>
            <w:tcW w:w="1500" w:type="dxa"/>
            <w:tcBorders>
              <w:top w:val="nil"/>
              <w:left w:val="nil"/>
              <w:bottom w:val="nil"/>
              <w:right w:val="nil"/>
            </w:tcBorders>
            <w:shd w:val="clear" w:color="auto" w:fill="auto"/>
            <w:noWrap/>
            <w:vAlign w:val="bottom"/>
            <w:hideMark/>
          </w:tcPr>
          <w:p w14:paraId="464DD97B"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28 (5.52)</w:t>
            </w:r>
          </w:p>
        </w:tc>
        <w:tc>
          <w:tcPr>
            <w:tcW w:w="900" w:type="dxa"/>
            <w:tcBorders>
              <w:top w:val="nil"/>
              <w:left w:val="nil"/>
              <w:bottom w:val="nil"/>
              <w:right w:val="single" w:sz="4" w:space="0" w:color="auto"/>
            </w:tcBorders>
            <w:shd w:val="clear" w:color="auto" w:fill="auto"/>
            <w:noWrap/>
            <w:vAlign w:val="bottom"/>
            <w:hideMark/>
          </w:tcPr>
          <w:p w14:paraId="339D2A5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2F6DF93D"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24.6 (5.51)</w:t>
            </w:r>
          </w:p>
        </w:tc>
        <w:tc>
          <w:tcPr>
            <w:tcW w:w="1701" w:type="dxa"/>
            <w:tcBorders>
              <w:top w:val="nil"/>
              <w:left w:val="nil"/>
              <w:bottom w:val="nil"/>
              <w:right w:val="single" w:sz="4" w:space="0" w:color="auto"/>
            </w:tcBorders>
            <w:vAlign w:val="bottom"/>
          </w:tcPr>
          <w:p w14:paraId="28FF6464"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27.4 (5.34)</w:t>
            </w:r>
          </w:p>
        </w:tc>
      </w:tr>
      <w:tr w:rsidR="00E30D79" w:rsidRPr="00ED6D24" w14:paraId="35E4346C"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6BAA2F31"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Heart</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rate</w:t>
            </w:r>
            <w:proofErr w:type="spellEnd"/>
            <w:r w:rsidRPr="00ED6D24">
              <w:rPr>
                <w:rFonts w:ascii="Calibri" w:eastAsia="Times New Roman" w:hAnsi="Calibri"/>
                <w:color w:val="000000"/>
                <w:sz w:val="16"/>
                <w:szCs w:val="16"/>
              </w:rPr>
              <w:t xml:space="preserve"> (beats/min)</w:t>
            </w:r>
          </w:p>
        </w:tc>
        <w:tc>
          <w:tcPr>
            <w:tcW w:w="1417" w:type="dxa"/>
            <w:tcBorders>
              <w:top w:val="nil"/>
              <w:left w:val="single" w:sz="4" w:space="0" w:color="auto"/>
              <w:bottom w:val="nil"/>
              <w:right w:val="nil"/>
            </w:tcBorders>
            <w:shd w:val="clear" w:color="000000" w:fill="D9D9D9"/>
            <w:noWrap/>
            <w:vAlign w:val="bottom"/>
            <w:hideMark/>
          </w:tcPr>
          <w:p w14:paraId="7AE1630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79.5 (16.19)</w:t>
            </w:r>
          </w:p>
        </w:tc>
        <w:tc>
          <w:tcPr>
            <w:tcW w:w="1500" w:type="dxa"/>
            <w:tcBorders>
              <w:top w:val="nil"/>
              <w:left w:val="nil"/>
              <w:bottom w:val="nil"/>
              <w:right w:val="nil"/>
            </w:tcBorders>
            <w:shd w:val="clear" w:color="000000" w:fill="D9D9D9"/>
            <w:noWrap/>
            <w:vAlign w:val="bottom"/>
            <w:hideMark/>
          </w:tcPr>
          <w:p w14:paraId="33A224D2"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79.8 (19.43)</w:t>
            </w:r>
          </w:p>
        </w:tc>
        <w:tc>
          <w:tcPr>
            <w:tcW w:w="900" w:type="dxa"/>
            <w:tcBorders>
              <w:top w:val="nil"/>
              <w:left w:val="nil"/>
              <w:bottom w:val="nil"/>
              <w:right w:val="single" w:sz="4" w:space="0" w:color="auto"/>
            </w:tcBorders>
            <w:shd w:val="clear" w:color="000000" w:fill="D9D9D9"/>
            <w:noWrap/>
            <w:vAlign w:val="bottom"/>
            <w:hideMark/>
          </w:tcPr>
          <w:p w14:paraId="6E6B5531"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0.51</w:t>
            </w:r>
          </w:p>
        </w:tc>
        <w:tc>
          <w:tcPr>
            <w:tcW w:w="1428" w:type="dxa"/>
            <w:tcBorders>
              <w:top w:val="nil"/>
              <w:left w:val="nil"/>
              <w:bottom w:val="nil"/>
              <w:right w:val="single" w:sz="4" w:space="0" w:color="auto"/>
            </w:tcBorders>
            <w:shd w:val="clear" w:color="000000" w:fill="D9D9D9"/>
            <w:vAlign w:val="bottom"/>
          </w:tcPr>
          <w:p w14:paraId="26B02EE4"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80.9 (15.84)</w:t>
            </w:r>
          </w:p>
        </w:tc>
        <w:tc>
          <w:tcPr>
            <w:tcW w:w="1701" w:type="dxa"/>
            <w:tcBorders>
              <w:top w:val="nil"/>
              <w:left w:val="nil"/>
              <w:bottom w:val="nil"/>
              <w:right w:val="single" w:sz="4" w:space="0" w:color="auto"/>
            </w:tcBorders>
            <w:shd w:val="clear" w:color="000000" w:fill="D9D9D9"/>
            <w:vAlign w:val="bottom"/>
          </w:tcPr>
          <w:p w14:paraId="50039E7E"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80.8 (19.71)</w:t>
            </w:r>
          </w:p>
        </w:tc>
      </w:tr>
      <w:tr w:rsidR="00E30D79" w:rsidRPr="00ED6D24" w14:paraId="37E4EDFC"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0EBBD540"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Systolic</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blood</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pressure</w:t>
            </w:r>
            <w:proofErr w:type="spellEnd"/>
            <w:r w:rsidRPr="00ED6D24">
              <w:rPr>
                <w:rFonts w:ascii="Calibri" w:eastAsia="Times New Roman" w:hAnsi="Calibri"/>
                <w:color w:val="000000"/>
                <w:sz w:val="16"/>
                <w:szCs w:val="16"/>
              </w:rPr>
              <w:t xml:space="preserve"> (mmHg)</w:t>
            </w:r>
          </w:p>
        </w:tc>
        <w:tc>
          <w:tcPr>
            <w:tcW w:w="1417" w:type="dxa"/>
            <w:tcBorders>
              <w:top w:val="nil"/>
              <w:left w:val="single" w:sz="4" w:space="0" w:color="auto"/>
              <w:bottom w:val="nil"/>
              <w:right w:val="nil"/>
            </w:tcBorders>
            <w:shd w:val="clear" w:color="auto" w:fill="auto"/>
            <w:noWrap/>
            <w:vAlign w:val="bottom"/>
            <w:hideMark/>
          </w:tcPr>
          <w:p w14:paraId="56F0ACB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118.1 (19.99)</w:t>
            </w:r>
          </w:p>
        </w:tc>
        <w:tc>
          <w:tcPr>
            <w:tcW w:w="1500" w:type="dxa"/>
            <w:tcBorders>
              <w:top w:val="nil"/>
              <w:left w:val="nil"/>
              <w:bottom w:val="nil"/>
              <w:right w:val="nil"/>
            </w:tcBorders>
            <w:shd w:val="clear" w:color="auto" w:fill="auto"/>
            <w:noWrap/>
            <w:vAlign w:val="bottom"/>
            <w:hideMark/>
          </w:tcPr>
          <w:p w14:paraId="6A1E2E8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124.2 (21.24)</w:t>
            </w:r>
          </w:p>
        </w:tc>
        <w:tc>
          <w:tcPr>
            <w:tcW w:w="900" w:type="dxa"/>
            <w:tcBorders>
              <w:top w:val="nil"/>
              <w:left w:val="nil"/>
              <w:bottom w:val="nil"/>
              <w:right w:val="single" w:sz="4" w:space="0" w:color="auto"/>
            </w:tcBorders>
            <w:shd w:val="clear" w:color="auto" w:fill="auto"/>
            <w:noWrap/>
            <w:vAlign w:val="bottom"/>
            <w:hideMark/>
          </w:tcPr>
          <w:p w14:paraId="22ED147E"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7C37F8DE"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121.1 (20.03)</w:t>
            </w:r>
          </w:p>
        </w:tc>
        <w:tc>
          <w:tcPr>
            <w:tcW w:w="1701" w:type="dxa"/>
            <w:tcBorders>
              <w:top w:val="nil"/>
              <w:left w:val="nil"/>
              <w:bottom w:val="nil"/>
              <w:right w:val="single" w:sz="4" w:space="0" w:color="auto"/>
            </w:tcBorders>
            <w:vAlign w:val="bottom"/>
          </w:tcPr>
          <w:p w14:paraId="0A53475A"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127.3 (24.85)</w:t>
            </w:r>
          </w:p>
        </w:tc>
      </w:tr>
      <w:tr w:rsidR="00E30D79" w:rsidRPr="00ED6D24" w14:paraId="207A394B"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648AAF6A" w14:textId="77777777" w:rsidR="00E30D79" w:rsidRPr="00ED6D24" w:rsidRDefault="00E30D79" w:rsidP="00C26C4B">
            <w:pPr>
              <w:rPr>
                <w:rFonts w:ascii="Calibri" w:eastAsia="Times New Roman" w:hAnsi="Calibri"/>
                <w:color w:val="000000"/>
                <w:sz w:val="16"/>
                <w:szCs w:val="16"/>
              </w:rPr>
            </w:pPr>
            <w:proofErr w:type="spellStart"/>
            <w:r w:rsidRPr="00ED6D24">
              <w:rPr>
                <w:rFonts w:ascii="Calibri" w:eastAsia="Times New Roman" w:hAnsi="Calibri"/>
                <w:color w:val="000000"/>
                <w:sz w:val="16"/>
                <w:szCs w:val="16"/>
              </w:rPr>
              <w:t>Diastolic</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blood</w:t>
            </w:r>
            <w:proofErr w:type="spellEnd"/>
            <w:r w:rsidRPr="00ED6D24">
              <w:rPr>
                <w:rFonts w:ascii="Calibri" w:eastAsia="Times New Roman" w:hAnsi="Calibri"/>
                <w:color w:val="000000"/>
                <w:sz w:val="16"/>
                <w:szCs w:val="16"/>
              </w:rPr>
              <w:t xml:space="preserve"> </w:t>
            </w:r>
            <w:proofErr w:type="spellStart"/>
            <w:r w:rsidRPr="00ED6D24">
              <w:rPr>
                <w:rFonts w:ascii="Calibri" w:eastAsia="Times New Roman" w:hAnsi="Calibri"/>
                <w:color w:val="000000"/>
                <w:sz w:val="16"/>
                <w:szCs w:val="16"/>
              </w:rPr>
              <w:t>pressure</w:t>
            </w:r>
            <w:proofErr w:type="spellEnd"/>
            <w:r w:rsidRPr="00ED6D24">
              <w:rPr>
                <w:rFonts w:ascii="Calibri" w:eastAsia="Times New Roman" w:hAnsi="Calibri"/>
                <w:color w:val="000000"/>
                <w:sz w:val="16"/>
                <w:szCs w:val="16"/>
              </w:rPr>
              <w:t xml:space="preserve"> (mmHg)</w:t>
            </w:r>
          </w:p>
        </w:tc>
        <w:tc>
          <w:tcPr>
            <w:tcW w:w="1417" w:type="dxa"/>
            <w:tcBorders>
              <w:top w:val="nil"/>
              <w:left w:val="single" w:sz="4" w:space="0" w:color="auto"/>
              <w:bottom w:val="nil"/>
              <w:right w:val="nil"/>
            </w:tcBorders>
            <w:shd w:val="clear" w:color="000000" w:fill="D9D9D9"/>
            <w:noWrap/>
            <w:vAlign w:val="bottom"/>
            <w:hideMark/>
          </w:tcPr>
          <w:p w14:paraId="377871AA"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72 (12.45)</w:t>
            </w:r>
          </w:p>
        </w:tc>
        <w:tc>
          <w:tcPr>
            <w:tcW w:w="1500" w:type="dxa"/>
            <w:tcBorders>
              <w:top w:val="nil"/>
              <w:left w:val="nil"/>
              <w:bottom w:val="nil"/>
              <w:right w:val="nil"/>
            </w:tcBorders>
            <w:shd w:val="clear" w:color="000000" w:fill="D9D9D9"/>
            <w:noWrap/>
            <w:vAlign w:val="bottom"/>
            <w:hideMark/>
          </w:tcPr>
          <w:p w14:paraId="22AD5FC6"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75.5 (13.05)</w:t>
            </w:r>
          </w:p>
        </w:tc>
        <w:tc>
          <w:tcPr>
            <w:tcW w:w="900" w:type="dxa"/>
            <w:tcBorders>
              <w:top w:val="nil"/>
              <w:left w:val="nil"/>
              <w:bottom w:val="nil"/>
              <w:right w:val="single" w:sz="4" w:space="0" w:color="auto"/>
            </w:tcBorders>
            <w:shd w:val="clear" w:color="000000" w:fill="D9D9D9"/>
            <w:noWrap/>
            <w:vAlign w:val="bottom"/>
            <w:hideMark/>
          </w:tcPr>
          <w:p w14:paraId="704000AD"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shd w:val="clear" w:color="000000" w:fill="D9D9D9"/>
            <w:vAlign w:val="bottom"/>
          </w:tcPr>
          <w:p w14:paraId="6266CD34"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75.2 (13.19)</w:t>
            </w:r>
          </w:p>
        </w:tc>
        <w:tc>
          <w:tcPr>
            <w:tcW w:w="1701" w:type="dxa"/>
            <w:tcBorders>
              <w:top w:val="nil"/>
              <w:left w:val="nil"/>
              <w:bottom w:val="nil"/>
              <w:right w:val="single" w:sz="4" w:space="0" w:color="auto"/>
            </w:tcBorders>
            <w:shd w:val="clear" w:color="000000" w:fill="D9D9D9"/>
            <w:vAlign w:val="bottom"/>
          </w:tcPr>
          <w:p w14:paraId="1CDB3483"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71.9 (14.52)</w:t>
            </w:r>
          </w:p>
        </w:tc>
      </w:tr>
      <w:tr w:rsidR="00E30D79" w:rsidRPr="00ED6D24" w14:paraId="5E422191"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0BF4B277" w14:textId="77777777" w:rsidR="00E30D79" w:rsidRPr="00E17D02" w:rsidRDefault="00E30D79" w:rsidP="00C26C4B">
            <w:pPr>
              <w:rPr>
                <w:rFonts w:ascii="Calibri" w:eastAsia="Times New Roman" w:hAnsi="Calibri"/>
                <w:color w:val="000000"/>
                <w:sz w:val="16"/>
                <w:szCs w:val="16"/>
              </w:rPr>
            </w:pPr>
            <w:r w:rsidRPr="00E17D02">
              <w:rPr>
                <w:rFonts w:ascii="Calibri" w:eastAsia="Times New Roman" w:hAnsi="Calibri"/>
                <w:color w:val="000000"/>
                <w:sz w:val="16"/>
                <w:szCs w:val="16"/>
              </w:rPr>
              <w:t>LVEF (%)</w:t>
            </w:r>
          </w:p>
        </w:tc>
        <w:tc>
          <w:tcPr>
            <w:tcW w:w="1417" w:type="dxa"/>
            <w:tcBorders>
              <w:top w:val="nil"/>
              <w:left w:val="single" w:sz="4" w:space="0" w:color="auto"/>
              <w:bottom w:val="nil"/>
              <w:right w:val="nil"/>
            </w:tcBorders>
            <w:shd w:val="clear" w:color="auto" w:fill="auto"/>
            <w:noWrap/>
            <w:vAlign w:val="bottom"/>
            <w:hideMark/>
          </w:tcPr>
          <w:p w14:paraId="456F25E5" w14:textId="77777777" w:rsidR="00E30D79" w:rsidRPr="00E17D02" w:rsidRDefault="00E30D79" w:rsidP="00C26C4B">
            <w:pPr>
              <w:rPr>
                <w:rFonts w:ascii="Calibri" w:eastAsia="Times New Roman" w:hAnsi="Calibri"/>
                <w:color w:val="000000"/>
                <w:sz w:val="16"/>
                <w:szCs w:val="16"/>
              </w:rPr>
            </w:pPr>
            <w:r w:rsidRPr="00E17D02">
              <w:rPr>
                <w:rFonts w:ascii="Calibri" w:eastAsia="Times New Roman" w:hAnsi="Calibri"/>
                <w:color w:val="000000"/>
                <w:sz w:val="16"/>
                <w:szCs w:val="16"/>
              </w:rPr>
              <w:t>27.3 (7.06)</w:t>
            </w:r>
          </w:p>
        </w:tc>
        <w:tc>
          <w:tcPr>
            <w:tcW w:w="1500" w:type="dxa"/>
            <w:tcBorders>
              <w:top w:val="nil"/>
              <w:left w:val="nil"/>
              <w:bottom w:val="nil"/>
              <w:right w:val="nil"/>
            </w:tcBorders>
            <w:shd w:val="clear" w:color="auto" w:fill="auto"/>
            <w:noWrap/>
            <w:vAlign w:val="bottom"/>
            <w:hideMark/>
          </w:tcPr>
          <w:p w14:paraId="540D918A" w14:textId="77777777" w:rsidR="00E30D79" w:rsidRPr="00E17D02" w:rsidRDefault="00E30D79" w:rsidP="00C26C4B">
            <w:pPr>
              <w:rPr>
                <w:rFonts w:ascii="Calibri" w:eastAsia="Times New Roman" w:hAnsi="Calibri"/>
                <w:color w:val="000000"/>
                <w:sz w:val="16"/>
                <w:szCs w:val="16"/>
              </w:rPr>
            </w:pPr>
            <w:r w:rsidRPr="00E17D02">
              <w:rPr>
                <w:rFonts w:ascii="Calibri" w:eastAsia="Times New Roman" w:hAnsi="Calibri"/>
                <w:color w:val="000000"/>
                <w:sz w:val="16"/>
                <w:szCs w:val="16"/>
              </w:rPr>
              <w:t>28.6 (7.49)</w:t>
            </w:r>
          </w:p>
        </w:tc>
        <w:tc>
          <w:tcPr>
            <w:tcW w:w="900" w:type="dxa"/>
            <w:tcBorders>
              <w:top w:val="nil"/>
              <w:left w:val="nil"/>
              <w:bottom w:val="nil"/>
              <w:right w:val="single" w:sz="4" w:space="0" w:color="auto"/>
            </w:tcBorders>
            <w:shd w:val="clear" w:color="auto" w:fill="auto"/>
            <w:noWrap/>
            <w:vAlign w:val="bottom"/>
            <w:hideMark/>
          </w:tcPr>
          <w:p w14:paraId="279542AF"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242C0E77"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28.1 (22-34)</w:t>
            </w:r>
          </w:p>
        </w:tc>
        <w:tc>
          <w:tcPr>
            <w:tcW w:w="1701" w:type="dxa"/>
            <w:tcBorders>
              <w:top w:val="nil"/>
              <w:left w:val="nil"/>
              <w:bottom w:val="nil"/>
              <w:right w:val="single" w:sz="4" w:space="0" w:color="auto"/>
            </w:tcBorders>
            <w:vAlign w:val="bottom"/>
          </w:tcPr>
          <w:p w14:paraId="4933AB5E"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45 (35-55)</w:t>
            </w:r>
          </w:p>
        </w:tc>
      </w:tr>
      <w:tr w:rsidR="00E30D79" w:rsidRPr="00ED6D24" w14:paraId="32AB0017" w14:textId="77777777" w:rsidTr="00C26C4B">
        <w:trPr>
          <w:trHeight w:val="240"/>
        </w:trPr>
        <w:tc>
          <w:tcPr>
            <w:tcW w:w="2547" w:type="dxa"/>
            <w:tcBorders>
              <w:top w:val="nil"/>
              <w:left w:val="single" w:sz="4" w:space="0" w:color="auto"/>
              <w:bottom w:val="nil"/>
              <w:right w:val="nil"/>
            </w:tcBorders>
            <w:shd w:val="clear" w:color="000000" w:fill="D9D9D9"/>
            <w:noWrap/>
            <w:vAlign w:val="bottom"/>
            <w:hideMark/>
          </w:tcPr>
          <w:p w14:paraId="2A0EB183" w14:textId="77777777" w:rsidR="00E30D79" w:rsidRPr="00E17D02" w:rsidRDefault="00E30D79" w:rsidP="00C26C4B">
            <w:pPr>
              <w:rPr>
                <w:rFonts w:ascii="Calibri" w:eastAsia="Times New Roman" w:hAnsi="Calibri"/>
                <w:color w:val="000000"/>
                <w:sz w:val="16"/>
                <w:szCs w:val="16"/>
              </w:rPr>
            </w:pPr>
            <w:proofErr w:type="spellStart"/>
            <w:r w:rsidRPr="00E17D02">
              <w:rPr>
                <w:rFonts w:ascii="Calibri" w:eastAsia="Times New Roman" w:hAnsi="Calibri"/>
                <w:color w:val="000000"/>
                <w:sz w:val="16"/>
                <w:szCs w:val="16"/>
              </w:rPr>
              <w:t>NT-proBNP</w:t>
            </w:r>
            <w:proofErr w:type="spellEnd"/>
            <w:r w:rsidRPr="00E17D02">
              <w:rPr>
                <w:rFonts w:ascii="Calibri" w:eastAsia="Times New Roman" w:hAnsi="Calibri"/>
                <w:color w:val="000000"/>
                <w:sz w:val="16"/>
                <w:szCs w:val="16"/>
              </w:rPr>
              <w:t xml:space="preserve"> (</w:t>
            </w:r>
            <w:proofErr w:type="spellStart"/>
            <w:r w:rsidRPr="00E17D02">
              <w:rPr>
                <w:rFonts w:ascii="Calibri" w:eastAsia="Times New Roman" w:hAnsi="Calibri"/>
                <w:color w:val="000000"/>
                <w:sz w:val="16"/>
                <w:szCs w:val="16"/>
              </w:rPr>
              <w:t>ng</w:t>
            </w:r>
            <w:proofErr w:type="spellEnd"/>
            <w:r w:rsidRPr="00E17D02">
              <w:rPr>
                <w:rFonts w:ascii="Calibri" w:eastAsia="Times New Roman" w:hAnsi="Calibri"/>
                <w:color w:val="000000"/>
                <w:sz w:val="16"/>
                <w:szCs w:val="16"/>
              </w:rPr>
              <w:t>/L)</w:t>
            </w:r>
          </w:p>
        </w:tc>
        <w:tc>
          <w:tcPr>
            <w:tcW w:w="1417" w:type="dxa"/>
            <w:tcBorders>
              <w:top w:val="nil"/>
              <w:left w:val="single" w:sz="4" w:space="0" w:color="auto"/>
              <w:bottom w:val="nil"/>
              <w:right w:val="nil"/>
            </w:tcBorders>
            <w:shd w:val="clear" w:color="000000" w:fill="D9D9D9"/>
            <w:noWrap/>
            <w:vAlign w:val="bottom"/>
            <w:hideMark/>
          </w:tcPr>
          <w:p w14:paraId="10BCAF68" w14:textId="77777777" w:rsidR="00E30D79" w:rsidRPr="00E17D02" w:rsidRDefault="00E30D79" w:rsidP="00C26C4B">
            <w:pPr>
              <w:rPr>
                <w:rFonts w:ascii="Calibri" w:hAnsi="Calibri" w:cs="Calibri"/>
                <w:color w:val="000000"/>
                <w:sz w:val="16"/>
                <w:szCs w:val="16"/>
              </w:rPr>
            </w:pPr>
            <w:r w:rsidRPr="00E17D02">
              <w:rPr>
                <w:rFonts w:ascii="Calibri" w:hAnsi="Calibri" w:cs="Calibri"/>
                <w:color w:val="000000"/>
                <w:sz w:val="16"/>
                <w:szCs w:val="16"/>
              </w:rPr>
              <w:t>3294 (1436-8103)</w:t>
            </w:r>
          </w:p>
        </w:tc>
        <w:tc>
          <w:tcPr>
            <w:tcW w:w="1500" w:type="dxa"/>
            <w:tcBorders>
              <w:top w:val="nil"/>
              <w:left w:val="nil"/>
              <w:bottom w:val="nil"/>
              <w:right w:val="nil"/>
            </w:tcBorders>
            <w:shd w:val="clear" w:color="000000" w:fill="D9D9D9"/>
            <w:noWrap/>
            <w:vAlign w:val="bottom"/>
            <w:hideMark/>
          </w:tcPr>
          <w:p w14:paraId="31A1E0D4" w14:textId="77777777" w:rsidR="00E30D79" w:rsidRPr="00E17D02" w:rsidRDefault="00E30D79" w:rsidP="00C26C4B">
            <w:pPr>
              <w:rPr>
                <w:rFonts w:ascii="Calibri" w:hAnsi="Calibri" w:cs="Calibri"/>
                <w:color w:val="000000"/>
                <w:sz w:val="16"/>
                <w:szCs w:val="16"/>
              </w:rPr>
            </w:pPr>
            <w:r w:rsidRPr="00E17D02">
              <w:rPr>
                <w:rFonts w:ascii="Calibri" w:hAnsi="Calibri" w:cs="Calibri"/>
                <w:color w:val="000000"/>
                <w:sz w:val="16"/>
                <w:szCs w:val="16"/>
              </w:rPr>
              <w:t>4024 (2253-8185)</w:t>
            </w:r>
          </w:p>
        </w:tc>
        <w:tc>
          <w:tcPr>
            <w:tcW w:w="900" w:type="dxa"/>
            <w:tcBorders>
              <w:top w:val="nil"/>
              <w:left w:val="nil"/>
              <w:bottom w:val="nil"/>
              <w:right w:val="single" w:sz="4" w:space="0" w:color="auto"/>
            </w:tcBorders>
            <w:shd w:val="clear" w:color="000000" w:fill="D9D9D9"/>
            <w:noWrap/>
            <w:vAlign w:val="bottom"/>
            <w:hideMark/>
          </w:tcPr>
          <w:p w14:paraId="2A3AF9C3"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shd w:val="clear" w:color="000000" w:fill="D9D9D9"/>
            <w:vAlign w:val="bottom"/>
          </w:tcPr>
          <w:p w14:paraId="338C7207"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4023 (1339-11849)</w:t>
            </w:r>
          </w:p>
        </w:tc>
        <w:tc>
          <w:tcPr>
            <w:tcW w:w="1701" w:type="dxa"/>
            <w:tcBorders>
              <w:top w:val="nil"/>
              <w:left w:val="nil"/>
              <w:bottom w:val="nil"/>
              <w:right w:val="single" w:sz="4" w:space="0" w:color="auto"/>
            </w:tcBorders>
            <w:shd w:val="clear" w:color="000000" w:fill="D9D9D9"/>
            <w:vAlign w:val="bottom"/>
          </w:tcPr>
          <w:p w14:paraId="2DFF3542"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4495 (2713-9000)</w:t>
            </w:r>
          </w:p>
        </w:tc>
      </w:tr>
      <w:tr w:rsidR="00E30D79" w:rsidRPr="00ED6D24" w14:paraId="24240F3F" w14:textId="77777777" w:rsidTr="00C26C4B">
        <w:trPr>
          <w:trHeight w:val="240"/>
        </w:trPr>
        <w:tc>
          <w:tcPr>
            <w:tcW w:w="2547" w:type="dxa"/>
            <w:tcBorders>
              <w:top w:val="nil"/>
              <w:left w:val="single" w:sz="4" w:space="0" w:color="auto"/>
              <w:bottom w:val="nil"/>
              <w:right w:val="nil"/>
            </w:tcBorders>
            <w:shd w:val="clear" w:color="auto" w:fill="auto"/>
            <w:noWrap/>
            <w:vAlign w:val="bottom"/>
            <w:hideMark/>
          </w:tcPr>
          <w:p w14:paraId="652F4766" w14:textId="77777777" w:rsidR="00E30D79" w:rsidRPr="00E17D02" w:rsidRDefault="00E30D79" w:rsidP="00C26C4B">
            <w:pPr>
              <w:rPr>
                <w:rFonts w:ascii="Calibri" w:eastAsia="Times New Roman" w:hAnsi="Calibri"/>
                <w:color w:val="000000"/>
                <w:sz w:val="16"/>
                <w:szCs w:val="16"/>
              </w:rPr>
            </w:pPr>
            <w:proofErr w:type="spellStart"/>
            <w:r w:rsidRPr="00E17D02">
              <w:rPr>
                <w:rFonts w:ascii="Calibri" w:eastAsia="Times New Roman" w:hAnsi="Calibri"/>
                <w:color w:val="000000"/>
                <w:sz w:val="16"/>
                <w:szCs w:val="16"/>
              </w:rPr>
              <w:t>eGFR</w:t>
            </w:r>
            <w:proofErr w:type="spellEnd"/>
            <w:r w:rsidRPr="00E17D02">
              <w:rPr>
                <w:rFonts w:ascii="Calibri" w:eastAsia="Times New Roman" w:hAnsi="Calibri"/>
                <w:color w:val="000000"/>
                <w:sz w:val="16"/>
                <w:szCs w:val="16"/>
              </w:rPr>
              <w:t xml:space="preserve"> (ml/min/1.73m^2)</w:t>
            </w:r>
          </w:p>
        </w:tc>
        <w:tc>
          <w:tcPr>
            <w:tcW w:w="1417" w:type="dxa"/>
            <w:tcBorders>
              <w:top w:val="nil"/>
              <w:left w:val="single" w:sz="4" w:space="0" w:color="auto"/>
              <w:bottom w:val="nil"/>
              <w:right w:val="nil"/>
            </w:tcBorders>
            <w:shd w:val="clear" w:color="auto" w:fill="auto"/>
            <w:noWrap/>
            <w:vAlign w:val="bottom"/>
            <w:hideMark/>
          </w:tcPr>
          <w:p w14:paraId="61D2F41C" w14:textId="77777777" w:rsidR="00E30D79" w:rsidRPr="00E17D02" w:rsidRDefault="00E30D79" w:rsidP="00C26C4B">
            <w:pPr>
              <w:rPr>
                <w:rFonts w:ascii="Calibri" w:eastAsia="Times New Roman" w:hAnsi="Calibri"/>
                <w:color w:val="000000"/>
                <w:sz w:val="16"/>
                <w:szCs w:val="16"/>
              </w:rPr>
            </w:pPr>
            <w:r w:rsidRPr="00E17D02">
              <w:rPr>
                <w:rFonts w:ascii="Calibri" w:eastAsia="Times New Roman" w:hAnsi="Calibri"/>
                <w:color w:val="000000"/>
                <w:sz w:val="16"/>
                <w:szCs w:val="16"/>
              </w:rPr>
              <w:t>66.1 (27.85)</w:t>
            </w:r>
          </w:p>
        </w:tc>
        <w:tc>
          <w:tcPr>
            <w:tcW w:w="1500" w:type="dxa"/>
            <w:tcBorders>
              <w:top w:val="nil"/>
              <w:left w:val="nil"/>
              <w:bottom w:val="nil"/>
              <w:right w:val="nil"/>
            </w:tcBorders>
            <w:shd w:val="clear" w:color="auto" w:fill="auto"/>
            <w:noWrap/>
            <w:vAlign w:val="bottom"/>
            <w:hideMark/>
          </w:tcPr>
          <w:p w14:paraId="74EBD120" w14:textId="77777777" w:rsidR="00E30D79" w:rsidRPr="00E17D02" w:rsidRDefault="00E30D79" w:rsidP="00C26C4B">
            <w:pPr>
              <w:rPr>
                <w:rFonts w:ascii="Calibri" w:eastAsia="Times New Roman" w:hAnsi="Calibri"/>
                <w:color w:val="000000"/>
                <w:sz w:val="16"/>
                <w:szCs w:val="16"/>
              </w:rPr>
            </w:pPr>
            <w:r w:rsidRPr="00E17D02">
              <w:rPr>
                <w:rFonts w:ascii="Calibri" w:eastAsia="Times New Roman" w:hAnsi="Calibri"/>
                <w:color w:val="000000"/>
                <w:sz w:val="16"/>
                <w:szCs w:val="16"/>
              </w:rPr>
              <w:t>71.9 (29.65)</w:t>
            </w:r>
          </w:p>
        </w:tc>
        <w:tc>
          <w:tcPr>
            <w:tcW w:w="900" w:type="dxa"/>
            <w:tcBorders>
              <w:top w:val="nil"/>
              <w:left w:val="nil"/>
              <w:bottom w:val="nil"/>
              <w:right w:val="single" w:sz="4" w:space="0" w:color="auto"/>
            </w:tcBorders>
            <w:shd w:val="clear" w:color="auto" w:fill="auto"/>
            <w:noWrap/>
            <w:vAlign w:val="bottom"/>
            <w:hideMark/>
          </w:tcPr>
          <w:p w14:paraId="15C2BB9A" w14:textId="77777777" w:rsidR="00E30D79" w:rsidRPr="00ED6D24" w:rsidRDefault="00E30D79" w:rsidP="00C26C4B">
            <w:pPr>
              <w:rPr>
                <w:rFonts w:ascii="Calibri" w:eastAsia="Times New Roman" w:hAnsi="Calibri"/>
                <w:color w:val="000000"/>
                <w:sz w:val="16"/>
                <w:szCs w:val="16"/>
              </w:rPr>
            </w:pPr>
            <w:r w:rsidRPr="00ED6D24">
              <w:rPr>
                <w:rFonts w:ascii="Calibri" w:eastAsia="Times New Roman" w:hAnsi="Calibri"/>
                <w:color w:val="000000"/>
                <w:sz w:val="16"/>
                <w:szCs w:val="16"/>
              </w:rPr>
              <w:t>&lt;0.0001</w:t>
            </w:r>
          </w:p>
        </w:tc>
        <w:tc>
          <w:tcPr>
            <w:tcW w:w="1428" w:type="dxa"/>
            <w:tcBorders>
              <w:top w:val="nil"/>
              <w:left w:val="nil"/>
              <w:bottom w:val="nil"/>
              <w:right w:val="single" w:sz="4" w:space="0" w:color="auto"/>
            </w:tcBorders>
            <w:vAlign w:val="bottom"/>
          </w:tcPr>
          <w:p w14:paraId="6AA3C9E6"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63 (27.11)</w:t>
            </w:r>
          </w:p>
        </w:tc>
        <w:tc>
          <w:tcPr>
            <w:tcW w:w="1701" w:type="dxa"/>
            <w:tcBorders>
              <w:top w:val="nil"/>
              <w:left w:val="nil"/>
              <w:bottom w:val="nil"/>
              <w:right w:val="single" w:sz="4" w:space="0" w:color="auto"/>
            </w:tcBorders>
            <w:vAlign w:val="bottom"/>
          </w:tcPr>
          <w:p w14:paraId="28857D49" w14:textId="77777777" w:rsidR="00E30D79" w:rsidRDefault="00E30D79" w:rsidP="00C26C4B">
            <w:pPr>
              <w:rPr>
                <w:rFonts w:ascii="Calibri" w:hAnsi="Calibri" w:cs="Calibri"/>
                <w:color w:val="000000"/>
                <w:sz w:val="16"/>
                <w:szCs w:val="16"/>
              </w:rPr>
            </w:pPr>
            <w:r>
              <w:rPr>
                <w:rFonts w:ascii="Calibri" w:hAnsi="Calibri" w:cs="Calibri"/>
                <w:color w:val="000000"/>
                <w:sz w:val="16"/>
                <w:szCs w:val="16"/>
              </w:rPr>
              <w:t>64.2 (28.79)</w:t>
            </w:r>
          </w:p>
        </w:tc>
      </w:tr>
      <w:tr w:rsidR="00E30D79" w:rsidRPr="00ED6D24" w14:paraId="19DC932B" w14:textId="77777777" w:rsidTr="00C26C4B">
        <w:trPr>
          <w:trHeight w:val="240"/>
        </w:trPr>
        <w:tc>
          <w:tcPr>
            <w:tcW w:w="2547" w:type="dxa"/>
            <w:tcBorders>
              <w:top w:val="nil"/>
              <w:left w:val="single" w:sz="4" w:space="0" w:color="auto"/>
              <w:bottom w:val="nil"/>
              <w:right w:val="nil"/>
            </w:tcBorders>
            <w:shd w:val="clear" w:color="auto" w:fill="D9D9D9" w:themeFill="background1" w:themeFillShade="D9"/>
            <w:noWrap/>
            <w:vAlign w:val="bottom"/>
          </w:tcPr>
          <w:p w14:paraId="1669A06F" w14:textId="77777777" w:rsidR="00E30D79" w:rsidRPr="006208A7" w:rsidRDefault="00E30D79" w:rsidP="00C26C4B">
            <w:pPr>
              <w:rPr>
                <w:rFonts w:ascii="Calibri" w:eastAsia="Times New Roman" w:hAnsi="Calibri"/>
                <w:color w:val="000000" w:themeColor="text1"/>
                <w:sz w:val="16"/>
                <w:szCs w:val="16"/>
              </w:rPr>
            </w:pPr>
            <w:r w:rsidRPr="006208A7">
              <w:rPr>
                <w:rFonts w:eastAsia="Times New Roman" w:cstheme="minorHAnsi"/>
                <w:color w:val="000000" w:themeColor="text1"/>
                <w:sz w:val="16"/>
                <w:szCs w:val="16"/>
                <w:lang w:val="en-US"/>
              </w:rPr>
              <w:t>Combined Endpoint</w:t>
            </w:r>
          </w:p>
        </w:tc>
        <w:tc>
          <w:tcPr>
            <w:tcW w:w="1417" w:type="dxa"/>
            <w:tcBorders>
              <w:top w:val="nil"/>
              <w:left w:val="single" w:sz="4" w:space="0" w:color="auto"/>
              <w:bottom w:val="nil"/>
              <w:right w:val="nil"/>
            </w:tcBorders>
            <w:shd w:val="clear" w:color="auto" w:fill="D9D9D9" w:themeFill="background1" w:themeFillShade="D9"/>
            <w:noWrap/>
          </w:tcPr>
          <w:p w14:paraId="6D3C6CCE" w14:textId="77777777" w:rsidR="00E30D79" w:rsidRPr="006208A7" w:rsidRDefault="00E30D79" w:rsidP="00C26C4B">
            <w:pPr>
              <w:tabs>
                <w:tab w:val="left" w:pos="1276"/>
              </w:tabs>
              <w:rPr>
                <w:rFonts w:eastAsia="Times New Roman" w:cstheme="minorHAnsi"/>
                <w:color w:val="000000" w:themeColor="text1"/>
                <w:sz w:val="16"/>
                <w:szCs w:val="16"/>
                <w:lang w:val="en-US"/>
              </w:rPr>
            </w:pPr>
            <w:r w:rsidRPr="006208A7">
              <w:rPr>
                <w:rFonts w:eastAsia="Times New Roman" w:cstheme="minorHAnsi"/>
                <w:color w:val="000000" w:themeColor="text1"/>
                <w:sz w:val="16"/>
                <w:szCs w:val="16"/>
                <w:lang w:val="en-US"/>
              </w:rPr>
              <w:t>1441 (31%)</w:t>
            </w:r>
          </w:p>
        </w:tc>
        <w:tc>
          <w:tcPr>
            <w:tcW w:w="1500" w:type="dxa"/>
            <w:tcBorders>
              <w:top w:val="nil"/>
              <w:left w:val="nil"/>
              <w:bottom w:val="nil"/>
              <w:right w:val="nil"/>
            </w:tcBorders>
            <w:shd w:val="clear" w:color="auto" w:fill="D9D9D9" w:themeFill="background1" w:themeFillShade="D9"/>
            <w:noWrap/>
          </w:tcPr>
          <w:p w14:paraId="42271AAA" w14:textId="77777777" w:rsidR="00E30D79" w:rsidRPr="006208A7" w:rsidRDefault="00E30D79" w:rsidP="00C26C4B">
            <w:pPr>
              <w:tabs>
                <w:tab w:val="left" w:pos="1276"/>
              </w:tabs>
              <w:rPr>
                <w:rFonts w:eastAsia="Times New Roman" w:cstheme="minorHAnsi"/>
                <w:color w:val="000000" w:themeColor="text1"/>
                <w:sz w:val="16"/>
                <w:szCs w:val="16"/>
                <w:lang w:val="en-US"/>
              </w:rPr>
            </w:pPr>
            <w:r w:rsidRPr="006208A7">
              <w:rPr>
                <w:rFonts w:eastAsia="Times New Roman" w:cstheme="minorHAnsi"/>
                <w:color w:val="000000" w:themeColor="text1"/>
                <w:sz w:val="16"/>
                <w:szCs w:val="16"/>
                <w:lang w:val="en-US"/>
              </w:rPr>
              <w:t>741 (35%)</w:t>
            </w:r>
          </w:p>
        </w:tc>
        <w:tc>
          <w:tcPr>
            <w:tcW w:w="900" w:type="dxa"/>
            <w:tcBorders>
              <w:top w:val="nil"/>
              <w:left w:val="nil"/>
              <w:bottom w:val="nil"/>
              <w:right w:val="single" w:sz="4" w:space="0" w:color="auto"/>
            </w:tcBorders>
            <w:shd w:val="clear" w:color="auto" w:fill="D9D9D9" w:themeFill="background1" w:themeFillShade="D9"/>
            <w:noWrap/>
            <w:vAlign w:val="bottom"/>
          </w:tcPr>
          <w:p w14:paraId="7136C119" w14:textId="77777777" w:rsidR="00E30D79" w:rsidRPr="00ED6D24" w:rsidRDefault="00E30D79" w:rsidP="00C26C4B">
            <w:pPr>
              <w:rPr>
                <w:rFonts w:ascii="Calibri" w:eastAsia="Times New Roman" w:hAnsi="Calibri"/>
                <w:color w:val="000000"/>
                <w:sz w:val="16"/>
                <w:szCs w:val="16"/>
              </w:rPr>
            </w:pPr>
          </w:p>
        </w:tc>
        <w:tc>
          <w:tcPr>
            <w:tcW w:w="1428" w:type="dxa"/>
            <w:tcBorders>
              <w:top w:val="nil"/>
              <w:left w:val="nil"/>
              <w:bottom w:val="nil"/>
              <w:right w:val="single" w:sz="4" w:space="0" w:color="auto"/>
            </w:tcBorders>
            <w:shd w:val="clear" w:color="auto" w:fill="D9D9D9" w:themeFill="background1" w:themeFillShade="D9"/>
            <w:vAlign w:val="bottom"/>
          </w:tcPr>
          <w:p w14:paraId="5C9AD803" w14:textId="77777777" w:rsidR="00E30D79" w:rsidRDefault="00E30D79" w:rsidP="00C26C4B">
            <w:pPr>
              <w:rPr>
                <w:rFonts w:ascii="Calibri" w:hAnsi="Calibri" w:cs="Calibri"/>
                <w:color w:val="000000"/>
                <w:sz w:val="16"/>
                <w:szCs w:val="16"/>
              </w:rPr>
            </w:pPr>
          </w:p>
        </w:tc>
        <w:tc>
          <w:tcPr>
            <w:tcW w:w="1701" w:type="dxa"/>
            <w:tcBorders>
              <w:top w:val="nil"/>
              <w:left w:val="nil"/>
              <w:bottom w:val="nil"/>
              <w:right w:val="single" w:sz="4" w:space="0" w:color="auto"/>
            </w:tcBorders>
            <w:shd w:val="clear" w:color="auto" w:fill="D9D9D9" w:themeFill="background1" w:themeFillShade="D9"/>
            <w:vAlign w:val="bottom"/>
          </w:tcPr>
          <w:p w14:paraId="3B5DD5B7" w14:textId="77777777" w:rsidR="00E30D79" w:rsidRDefault="00E30D79" w:rsidP="00C26C4B">
            <w:pPr>
              <w:rPr>
                <w:rFonts w:ascii="Calibri" w:hAnsi="Calibri" w:cs="Calibri"/>
                <w:color w:val="000000"/>
                <w:sz w:val="16"/>
                <w:szCs w:val="16"/>
              </w:rPr>
            </w:pPr>
          </w:p>
        </w:tc>
      </w:tr>
      <w:tr w:rsidR="00E30D79" w:rsidRPr="00ED6D24" w14:paraId="7C3380D0" w14:textId="77777777" w:rsidTr="00C26C4B">
        <w:trPr>
          <w:trHeight w:val="240"/>
        </w:trPr>
        <w:tc>
          <w:tcPr>
            <w:tcW w:w="2547" w:type="dxa"/>
            <w:tcBorders>
              <w:top w:val="nil"/>
              <w:left w:val="single" w:sz="4" w:space="0" w:color="auto"/>
              <w:bottom w:val="nil"/>
              <w:right w:val="nil"/>
            </w:tcBorders>
            <w:shd w:val="clear" w:color="auto" w:fill="auto"/>
            <w:noWrap/>
            <w:vAlign w:val="bottom"/>
          </w:tcPr>
          <w:p w14:paraId="3E068940" w14:textId="77777777" w:rsidR="00E30D79" w:rsidRPr="006208A7" w:rsidRDefault="00E30D79" w:rsidP="00C26C4B">
            <w:pPr>
              <w:rPr>
                <w:rFonts w:ascii="Calibri" w:eastAsia="Times New Roman" w:hAnsi="Calibri"/>
                <w:color w:val="000000" w:themeColor="text1"/>
                <w:sz w:val="16"/>
                <w:szCs w:val="16"/>
              </w:rPr>
            </w:pPr>
            <w:r w:rsidRPr="006208A7">
              <w:rPr>
                <w:rFonts w:eastAsia="Times New Roman" w:cstheme="minorHAnsi"/>
                <w:color w:val="000000" w:themeColor="text1"/>
                <w:sz w:val="16"/>
                <w:szCs w:val="16"/>
                <w:lang w:val="en-US"/>
              </w:rPr>
              <w:t>All-cause mortality</w:t>
            </w:r>
          </w:p>
        </w:tc>
        <w:tc>
          <w:tcPr>
            <w:tcW w:w="1417" w:type="dxa"/>
            <w:tcBorders>
              <w:top w:val="nil"/>
              <w:left w:val="single" w:sz="4" w:space="0" w:color="auto"/>
              <w:bottom w:val="nil"/>
              <w:right w:val="nil"/>
            </w:tcBorders>
            <w:shd w:val="clear" w:color="auto" w:fill="auto"/>
            <w:noWrap/>
            <w:vAlign w:val="bottom"/>
          </w:tcPr>
          <w:p w14:paraId="1BCC31AC" w14:textId="77777777" w:rsidR="00E30D79" w:rsidRPr="006208A7" w:rsidRDefault="00E30D79" w:rsidP="00C26C4B">
            <w:pPr>
              <w:rPr>
                <w:rFonts w:ascii="Calibri" w:eastAsia="Times New Roman" w:hAnsi="Calibri"/>
                <w:color w:val="000000" w:themeColor="text1"/>
                <w:sz w:val="16"/>
                <w:szCs w:val="16"/>
              </w:rPr>
            </w:pPr>
            <w:r w:rsidRPr="006208A7">
              <w:rPr>
                <w:rFonts w:eastAsia="Times New Roman" w:cstheme="minorHAnsi"/>
                <w:color w:val="000000" w:themeColor="text1"/>
                <w:sz w:val="16"/>
                <w:szCs w:val="16"/>
                <w:lang w:val="en-US"/>
              </w:rPr>
              <w:t>864 (18%)</w:t>
            </w:r>
          </w:p>
        </w:tc>
        <w:tc>
          <w:tcPr>
            <w:tcW w:w="1500" w:type="dxa"/>
            <w:tcBorders>
              <w:top w:val="nil"/>
              <w:left w:val="nil"/>
              <w:bottom w:val="nil"/>
              <w:right w:val="nil"/>
            </w:tcBorders>
            <w:shd w:val="clear" w:color="auto" w:fill="auto"/>
            <w:noWrap/>
            <w:vAlign w:val="bottom"/>
          </w:tcPr>
          <w:p w14:paraId="039A49A9" w14:textId="77777777" w:rsidR="00E30D79" w:rsidRPr="006208A7" w:rsidRDefault="00E30D79" w:rsidP="00C26C4B">
            <w:pPr>
              <w:rPr>
                <w:rFonts w:ascii="Calibri" w:eastAsia="Times New Roman" w:hAnsi="Calibri"/>
                <w:color w:val="000000" w:themeColor="text1"/>
                <w:sz w:val="16"/>
                <w:szCs w:val="16"/>
              </w:rPr>
            </w:pPr>
            <w:r w:rsidRPr="006208A7">
              <w:rPr>
                <w:rFonts w:eastAsia="Times New Roman" w:cstheme="minorHAnsi"/>
                <w:color w:val="000000" w:themeColor="text1"/>
                <w:sz w:val="16"/>
                <w:szCs w:val="16"/>
                <w:lang w:val="en-US"/>
              </w:rPr>
              <w:t>423 (20%)</w:t>
            </w:r>
          </w:p>
        </w:tc>
        <w:tc>
          <w:tcPr>
            <w:tcW w:w="900" w:type="dxa"/>
            <w:tcBorders>
              <w:top w:val="nil"/>
              <w:left w:val="nil"/>
              <w:bottom w:val="nil"/>
              <w:right w:val="single" w:sz="4" w:space="0" w:color="auto"/>
            </w:tcBorders>
            <w:shd w:val="clear" w:color="auto" w:fill="auto"/>
            <w:noWrap/>
            <w:vAlign w:val="bottom"/>
          </w:tcPr>
          <w:p w14:paraId="51089862" w14:textId="77777777" w:rsidR="00E30D79" w:rsidRPr="00A26C15" w:rsidRDefault="00E30D79" w:rsidP="00C26C4B">
            <w:pPr>
              <w:rPr>
                <w:rFonts w:ascii="Calibri" w:eastAsia="Times New Roman" w:hAnsi="Calibri"/>
                <w:color w:val="FF0000"/>
                <w:sz w:val="16"/>
                <w:szCs w:val="16"/>
              </w:rPr>
            </w:pPr>
          </w:p>
        </w:tc>
        <w:tc>
          <w:tcPr>
            <w:tcW w:w="1428" w:type="dxa"/>
            <w:tcBorders>
              <w:top w:val="nil"/>
              <w:left w:val="nil"/>
              <w:bottom w:val="nil"/>
              <w:right w:val="single" w:sz="4" w:space="0" w:color="auto"/>
            </w:tcBorders>
            <w:vAlign w:val="bottom"/>
          </w:tcPr>
          <w:p w14:paraId="51CAC616" w14:textId="77777777" w:rsidR="00E30D79" w:rsidRPr="00A26C15" w:rsidRDefault="00E30D79" w:rsidP="00C26C4B">
            <w:pPr>
              <w:rPr>
                <w:rFonts w:ascii="Calibri" w:hAnsi="Calibri" w:cs="Calibri"/>
                <w:color w:val="FF0000"/>
                <w:sz w:val="16"/>
                <w:szCs w:val="16"/>
              </w:rPr>
            </w:pPr>
          </w:p>
        </w:tc>
        <w:tc>
          <w:tcPr>
            <w:tcW w:w="1701" w:type="dxa"/>
            <w:tcBorders>
              <w:top w:val="nil"/>
              <w:left w:val="nil"/>
              <w:bottom w:val="nil"/>
              <w:right w:val="single" w:sz="4" w:space="0" w:color="auto"/>
            </w:tcBorders>
            <w:vAlign w:val="bottom"/>
          </w:tcPr>
          <w:p w14:paraId="6B1E15B4" w14:textId="77777777" w:rsidR="00E30D79" w:rsidRPr="00A26C15" w:rsidRDefault="00E30D79" w:rsidP="00C26C4B">
            <w:pPr>
              <w:rPr>
                <w:rFonts w:ascii="Calibri" w:hAnsi="Calibri" w:cs="Calibri"/>
                <w:color w:val="FF0000"/>
                <w:sz w:val="16"/>
                <w:szCs w:val="16"/>
              </w:rPr>
            </w:pPr>
          </w:p>
        </w:tc>
      </w:tr>
      <w:tr w:rsidR="00E30D79" w:rsidRPr="00ED6D24" w14:paraId="014B6964" w14:textId="77777777" w:rsidTr="00C26C4B">
        <w:trPr>
          <w:trHeight w:val="240"/>
        </w:trPr>
        <w:tc>
          <w:tcPr>
            <w:tcW w:w="2547" w:type="dxa"/>
            <w:tcBorders>
              <w:top w:val="nil"/>
              <w:left w:val="single" w:sz="4" w:space="0" w:color="auto"/>
              <w:bottom w:val="single" w:sz="4" w:space="0" w:color="auto"/>
              <w:right w:val="nil"/>
            </w:tcBorders>
            <w:shd w:val="clear" w:color="auto" w:fill="D9D9D9" w:themeFill="background1" w:themeFillShade="D9"/>
            <w:noWrap/>
            <w:vAlign w:val="bottom"/>
          </w:tcPr>
          <w:p w14:paraId="5EE1B774" w14:textId="77777777" w:rsidR="00E30D79" w:rsidRPr="006208A7" w:rsidRDefault="00E30D79" w:rsidP="00C26C4B">
            <w:pPr>
              <w:rPr>
                <w:rFonts w:ascii="Calibri" w:eastAsia="Times New Roman" w:hAnsi="Calibri"/>
                <w:color w:val="000000" w:themeColor="text1"/>
                <w:sz w:val="16"/>
                <w:szCs w:val="16"/>
              </w:rPr>
            </w:pPr>
            <w:r w:rsidRPr="006208A7">
              <w:rPr>
                <w:rFonts w:eastAsia="Times New Roman" w:cstheme="minorHAnsi"/>
                <w:color w:val="000000" w:themeColor="text1"/>
                <w:sz w:val="16"/>
                <w:szCs w:val="16"/>
                <w:lang w:val="en-US"/>
              </w:rPr>
              <w:t>Heart failure hospitalization</w:t>
            </w:r>
          </w:p>
        </w:tc>
        <w:tc>
          <w:tcPr>
            <w:tcW w:w="1417" w:type="dxa"/>
            <w:tcBorders>
              <w:top w:val="nil"/>
              <w:left w:val="single" w:sz="4" w:space="0" w:color="auto"/>
              <w:bottom w:val="single" w:sz="4" w:space="0" w:color="auto"/>
              <w:right w:val="nil"/>
            </w:tcBorders>
            <w:shd w:val="clear" w:color="auto" w:fill="D9D9D9" w:themeFill="background1" w:themeFillShade="D9"/>
            <w:noWrap/>
            <w:vAlign w:val="bottom"/>
          </w:tcPr>
          <w:p w14:paraId="1447BBC7" w14:textId="77777777" w:rsidR="00E30D79" w:rsidRPr="006208A7" w:rsidRDefault="00E30D79" w:rsidP="00C26C4B">
            <w:pPr>
              <w:rPr>
                <w:rFonts w:ascii="Calibri" w:eastAsia="Times New Roman" w:hAnsi="Calibri"/>
                <w:color w:val="000000" w:themeColor="text1"/>
                <w:sz w:val="16"/>
                <w:szCs w:val="16"/>
              </w:rPr>
            </w:pPr>
            <w:r w:rsidRPr="006208A7">
              <w:rPr>
                <w:rFonts w:ascii="Calibri" w:eastAsia="Times New Roman" w:hAnsi="Calibri"/>
                <w:color w:val="000000" w:themeColor="text1"/>
                <w:sz w:val="16"/>
                <w:szCs w:val="16"/>
              </w:rPr>
              <w:t>1119 (24%)</w:t>
            </w:r>
          </w:p>
        </w:tc>
        <w:tc>
          <w:tcPr>
            <w:tcW w:w="1500" w:type="dxa"/>
            <w:tcBorders>
              <w:top w:val="nil"/>
              <w:left w:val="nil"/>
              <w:bottom w:val="single" w:sz="4" w:space="0" w:color="auto"/>
              <w:right w:val="nil"/>
            </w:tcBorders>
            <w:shd w:val="clear" w:color="auto" w:fill="D9D9D9" w:themeFill="background1" w:themeFillShade="D9"/>
            <w:noWrap/>
            <w:vAlign w:val="bottom"/>
          </w:tcPr>
          <w:p w14:paraId="1EFB8495" w14:textId="77777777" w:rsidR="00E30D79" w:rsidRPr="006208A7" w:rsidRDefault="00E30D79" w:rsidP="00C26C4B">
            <w:pPr>
              <w:rPr>
                <w:rFonts w:ascii="Calibri" w:eastAsia="Times New Roman" w:hAnsi="Calibri"/>
                <w:color w:val="000000" w:themeColor="text1"/>
                <w:sz w:val="16"/>
                <w:szCs w:val="16"/>
              </w:rPr>
            </w:pPr>
            <w:r w:rsidRPr="006208A7">
              <w:rPr>
                <w:rFonts w:ascii="Calibri" w:eastAsia="Times New Roman" w:hAnsi="Calibri"/>
                <w:color w:val="000000" w:themeColor="text1"/>
                <w:sz w:val="16"/>
                <w:szCs w:val="16"/>
              </w:rPr>
              <w:t>500 (24%)</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tcPr>
          <w:p w14:paraId="3219FFF4" w14:textId="77777777" w:rsidR="00E30D79" w:rsidRPr="00ED6D24" w:rsidRDefault="00E30D79" w:rsidP="00C26C4B">
            <w:pPr>
              <w:rPr>
                <w:rFonts w:ascii="Calibri" w:eastAsia="Times New Roman" w:hAnsi="Calibri"/>
                <w:color w:val="000000"/>
                <w:sz w:val="16"/>
                <w:szCs w:val="16"/>
              </w:rPr>
            </w:pPr>
          </w:p>
        </w:tc>
        <w:tc>
          <w:tcPr>
            <w:tcW w:w="1428" w:type="dxa"/>
            <w:tcBorders>
              <w:top w:val="nil"/>
              <w:left w:val="nil"/>
              <w:bottom w:val="single" w:sz="4" w:space="0" w:color="auto"/>
              <w:right w:val="single" w:sz="4" w:space="0" w:color="auto"/>
            </w:tcBorders>
            <w:shd w:val="clear" w:color="auto" w:fill="D9D9D9" w:themeFill="background1" w:themeFillShade="D9"/>
            <w:vAlign w:val="bottom"/>
          </w:tcPr>
          <w:p w14:paraId="2A7CF37B" w14:textId="77777777" w:rsidR="00E30D79" w:rsidRDefault="00E30D79" w:rsidP="00C26C4B">
            <w:pPr>
              <w:rPr>
                <w:rFonts w:ascii="Calibri" w:hAnsi="Calibri" w:cs="Calibri"/>
                <w:color w:val="000000"/>
                <w:sz w:val="16"/>
                <w:szCs w:val="16"/>
              </w:rPr>
            </w:pP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1695863C" w14:textId="77777777" w:rsidR="00E30D79" w:rsidRDefault="00E30D79" w:rsidP="00C26C4B">
            <w:pPr>
              <w:rPr>
                <w:rFonts w:ascii="Calibri" w:hAnsi="Calibri" w:cs="Calibri"/>
                <w:color w:val="000000"/>
                <w:sz w:val="16"/>
                <w:szCs w:val="16"/>
              </w:rPr>
            </w:pPr>
          </w:p>
        </w:tc>
      </w:tr>
    </w:tbl>
    <w:p w14:paraId="4516E0A4" w14:textId="77777777" w:rsidR="00E30D79" w:rsidRDefault="00E30D79" w:rsidP="00E30D79">
      <w:pPr>
        <w:rPr>
          <w:b/>
          <w:bCs/>
          <w:lang w:val="en-US"/>
        </w:rPr>
      </w:pPr>
    </w:p>
    <w:p w14:paraId="19B4E014" w14:textId="77777777" w:rsidR="00E30D79" w:rsidRDefault="00E30D79" w:rsidP="00E30D79">
      <w:pPr>
        <w:rPr>
          <w:b/>
          <w:bCs/>
          <w:lang w:val="en-US"/>
        </w:rPr>
      </w:pPr>
    </w:p>
    <w:p w14:paraId="4B051ECE" w14:textId="77777777" w:rsidR="00E30D79" w:rsidRDefault="00E30D79" w:rsidP="00E30D79">
      <w:pPr>
        <w:rPr>
          <w:b/>
          <w:bCs/>
          <w:lang w:val="en-US"/>
        </w:rPr>
        <w:sectPr w:rsidR="00E30D79" w:rsidSect="002764FE">
          <w:pgSz w:w="11900" w:h="16840"/>
          <w:pgMar w:top="1417" w:right="1417" w:bottom="1417" w:left="1417" w:header="708" w:footer="708" w:gutter="0"/>
          <w:cols w:space="708"/>
          <w:docGrid w:linePitch="360"/>
        </w:sectPr>
      </w:pPr>
    </w:p>
    <w:p w14:paraId="1E7B9FE0" w14:textId="77777777" w:rsidR="00E30D79" w:rsidRDefault="00E30D79" w:rsidP="00E30D79">
      <w:pPr>
        <w:rPr>
          <w:b/>
          <w:bCs/>
          <w:lang w:val="en-US"/>
        </w:rPr>
      </w:pPr>
      <w:r>
        <w:rPr>
          <w:b/>
          <w:bCs/>
          <w:lang w:val="en-US"/>
        </w:rPr>
        <w:lastRenderedPageBreak/>
        <w:t>Table S3: Baseline characteristics of groups achieving 0%, 1-49%, 50-99% and 100% guideline recommended target doses for ACE-inhibitor/ARB and beta-blocker</w:t>
      </w:r>
    </w:p>
    <w:tbl>
      <w:tblPr>
        <w:tblW w:w="12598" w:type="dxa"/>
        <w:tblCellMar>
          <w:left w:w="70" w:type="dxa"/>
          <w:right w:w="70" w:type="dxa"/>
        </w:tblCellMar>
        <w:tblLook w:val="04A0" w:firstRow="1" w:lastRow="0" w:firstColumn="1" w:lastColumn="0" w:noHBand="0" w:noVBand="1"/>
      </w:tblPr>
      <w:tblGrid>
        <w:gridCol w:w="1060"/>
        <w:gridCol w:w="1060"/>
        <w:gridCol w:w="208"/>
        <w:gridCol w:w="852"/>
        <w:gridCol w:w="208"/>
        <w:gridCol w:w="852"/>
        <w:gridCol w:w="146"/>
        <w:gridCol w:w="62"/>
        <w:gridCol w:w="1060"/>
        <w:gridCol w:w="1291"/>
        <w:gridCol w:w="1060"/>
        <w:gridCol w:w="1060"/>
        <w:gridCol w:w="1060"/>
        <w:gridCol w:w="1060"/>
        <w:gridCol w:w="1060"/>
        <w:gridCol w:w="61"/>
        <w:gridCol w:w="146"/>
        <w:gridCol w:w="146"/>
        <w:gridCol w:w="146"/>
      </w:tblGrid>
      <w:tr w:rsidR="00E30D79" w:rsidRPr="00A23275" w14:paraId="6A57DE6E" w14:textId="77777777" w:rsidTr="00C26C4B">
        <w:trPr>
          <w:gridAfter w:val="4"/>
          <w:wAfter w:w="499" w:type="dxa"/>
          <w:trHeight w:val="200"/>
        </w:trPr>
        <w:tc>
          <w:tcPr>
            <w:tcW w:w="2328" w:type="dxa"/>
            <w:gridSpan w:val="3"/>
            <w:tcBorders>
              <w:top w:val="single" w:sz="4" w:space="0" w:color="auto"/>
              <w:left w:val="single" w:sz="4" w:space="0" w:color="auto"/>
              <w:bottom w:val="nil"/>
              <w:right w:val="nil"/>
            </w:tcBorders>
            <w:shd w:val="clear" w:color="auto" w:fill="auto"/>
            <w:noWrap/>
            <w:vAlign w:val="bottom"/>
            <w:hideMark/>
          </w:tcPr>
          <w:p w14:paraId="07B12274" w14:textId="77777777" w:rsidR="00E30D79" w:rsidRPr="004072EF" w:rsidRDefault="00E30D79" w:rsidP="00C26C4B">
            <w:pPr>
              <w:rPr>
                <w:rFonts w:ascii="Calibri" w:eastAsia="Times New Roman" w:hAnsi="Calibri"/>
                <w:b/>
                <w:bCs/>
                <w:color w:val="000000"/>
                <w:sz w:val="14"/>
                <w:szCs w:val="14"/>
              </w:rPr>
            </w:pPr>
            <w:proofErr w:type="spellStart"/>
            <w:r w:rsidRPr="004072EF">
              <w:rPr>
                <w:rFonts w:ascii="Calibri" w:eastAsia="Times New Roman" w:hAnsi="Calibri"/>
                <w:b/>
                <w:bCs/>
                <w:color w:val="000000"/>
                <w:sz w:val="14"/>
                <w:szCs w:val="14"/>
              </w:rPr>
              <w:t>Variable</w:t>
            </w:r>
            <w:proofErr w:type="spellEnd"/>
          </w:p>
        </w:tc>
        <w:tc>
          <w:tcPr>
            <w:tcW w:w="1060" w:type="dxa"/>
            <w:gridSpan w:val="2"/>
            <w:tcBorders>
              <w:top w:val="single" w:sz="4" w:space="0" w:color="auto"/>
              <w:left w:val="nil"/>
              <w:bottom w:val="nil"/>
              <w:right w:val="nil"/>
            </w:tcBorders>
            <w:shd w:val="clear" w:color="auto" w:fill="auto"/>
            <w:noWrap/>
            <w:vAlign w:val="bottom"/>
            <w:hideMark/>
          </w:tcPr>
          <w:p w14:paraId="318379F5" w14:textId="77777777" w:rsidR="00E30D79" w:rsidRPr="004072EF" w:rsidRDefault="00E30D79" w:rsidP="00C26C4B">
            <w:pPr>
              <w:rPr>
                <w:rFonts w:ascii="Calibri" w:eastAsia="Times New Roman" w:hAnsi="Calibri"/>
                <w:b/>
                <w:bCs/>
                <w:color w:val="000000"/>
                <w:sz w:val="14"/>
                <w:szCs w:val="14"/>
              </w:rPr>
            </w:pPr>
            <w:proofErr w:type="spellStart"/>
            <w:r w:rsidRPr="004072EF">
              <w:rPr>
                <w:rFonts w:ascii="Calibri" w:eastAsia="Times New Roman" w:hAnsi="Calibri"/>
                <w:b/>
                <w:bCs/>
                <w:color w:val="000000"/>
                <w:sz w:val="14"/>
                <w:szCs w:val="14"/>
              </w:rPr>
              <w:t>All</w:t>
            </w:r>
            <w:proofErr w:type="spellEnd"/>
          </w:p>
        </w:tc>
        <w:tc>
          <w:tcPr>
            <w:tcW w:w="1060" w:type="dxa"/>
            <w:gridSpan w:val="3"/>
            <w:tcBorders>
              <w:top w:val="single" w:sz="4" w:space="0" w:color="auto"/>
              <w:left w:val="nil"/>
              <w:bottom w:val="nil"/>
              <w:right w:val="nil"/>
            </w:tcBorders>
            <w:shd w:val="clear" w:color="auto" w:fill="auto"/>
            <w:noWrap/>
            <w:vAlign w:val="bottom"/>
            <w:hideMark/>
          </w:tcPr>
          <w:p w14:paraId="1BEA803A"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A0B0</w:t>
            </w:r>
          </w:p>
        </w:tc>
        <w:tc>
          <w:tcPr>
            <w:tcW w:w="1060" w:type="dxa"/>
            <w:tcBorders>
              <w:top w:val="single" w:sz="4" w:space="0" w:color="auto"/>
              <w:left w:val="nil"/>
              <w:bottom w:val="nil"/>
              <w:right w:val="nil"/>
            </w:tcBorders>
            <w:shd w:val="clear" w:color="auto" w:fill="auto"/>
            <w:noWrap/>
            <w:vAlign w:val="bottom"/>
            <w:hideMark/>
          </w:tcPr>
          <w:p w14:paraId="0E45EAD8"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A0B1</w:t>
            </w:r>
          </w:p>
        </w:tc>
        <w:tc>
          <w:tcPr>
            <w:tcW w:w="1291" w:type="dxa"/>
            <w:tcBorders>
              <w:top w:val="single" w:sz="4" w:space="0" w:color="auto"/>
              <w:left w:val="nil"/>
              <w:bottom w:val="nil"/>
              <w:right w:val="nil"/>
            </w:tcBorders>
            <w:shd w:val="clear" w:color="auto" w:fill="auto"/>
            <w:noWrap/>
            <w:vAlign w:val="bottom"/>
            <w:hideMark/>
          </w:tcPr>
          <w:p w14:paraId="2B4F15AB"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A0B2</w:t>
            </w:r>
          </w:p>
        </w:tc>
        <w:tc>
          <w:tcPr>
            <w:tcW w:w="1060" w:type="dxa"/>
            <w:tcBorders>
              <w:top w:val="single" w:sz="4" w:space="0" w:color="auto"/>
              <w:left w:val="nil"/>
              <w:bottom w:val="nil"/>
              <w:right w:val="nil"/>
            </w:tcBorders>
            <w:shd w:val="clear" w:color="auto" w:fill="auto"/>
            <w:noWrap/>
            <w:vAlign w:val="bottom"/>
            <w:hideMark/>
          </w:tcPr>
          <w:p w14:paraId="13FF199D"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A0B3</w:t>
            </w:r>
          </w:p>
        </w:tc>
        <w:tc>
          <w:tcPr>
            <w:tcW w:w="1060" w:type="dxa"/>
            <w:tcBorders>
              <w:top w:val="single" w:sz="4" w:space="0" w:color="auto"/>
              <w:left w:val="nil"/>
              <w:bottom w:val="nil"/>
              <w:right w:val="nil"/>
            </w:tcBorders>
            <w:shd w:val="clear" w:color="auto" w:fill="auto"/>
            <w:noWrap/>
            <w:vAlign w:val="bottom"/>
            <w:hideMark/>
          </w:tcPr>
          <w:p w14:paraId="3C86635E"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A1B0</w:t>
            </w:r>
          </w:p>
        </w:tc>
        <w:tc>
          <w:tcPr>
            <w:tcW w:w="1060" w:type="dxa"/>
            <w:tcBorders>
              <w:top w:val="single" w:sz="4" w:space="0" w:color="auto"/>
              <w:left w:val="nil"/>
              <w:bottom w:val="nil"/>
              <w:right w:val="nil"/>
            </w:tcBorders>
            <w:shd w:val="clear" w:color="auto" w:fill="auto"/>
            <w:noWrap/>
            <w:vAlign w:val="bottom"/>
            <w:hideMark/>
          </w:tcPr>
          <w:p w14:paraId="0A9EE3FE"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A1B1</w:t>
            </w:r>
          </w:p>
        </w:tc>
        <w:tc>
          <w:tcPr>
            <w:tcW w:w="1060" w:type="dxa"/>
            <w:tcBorders>
              <w:top w:val="single" w:sz="4" w:space="0" w:color="auto"/>
              <w:left w:val="nil"/>
              <w:bottom w:val="nil"/>
              <w:right w:val="nil"/>
            </w:tcBorders>
            <w:shd w:val="clear" w:color="auto" w:fill="auto"/>
            <w:noWrap/>
            <w:vAlign w:val="bottom"/>
            <w:hideMark/>
          </w:tcPr>
          <w:p w14:paraId="0C9D4EC2"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A1B2</w:t>
            </w:r>
          </w:p>
        </w:tc>
        <w:tc>
          <w:tcPr>
            <w:tcW w:w="1060" w:type="dxa"/>
            <w:tcBorders>
              <w:top w:val="single" w:sz="4" w:space="0" w:color="auto"/>
              <w:left w:val="nil"/>
              <w:bottom w:val="nil"/>
              <w:right w:val="nil"/>
            </w:tcBorders>
            <w:shd w:val="clear" w:color="auto" w:fill="auto"/>
            <w:noWrap/>
            <w:vAlign w:val="bottom"/>
            <w:hideMark/>
          </w:tcPr>
          <w:p w14:paraId="09E326E5"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A1B3</w:t>
            </w:r>
          </w:p>
        </w:tc>
      </w:tr>
      <w:tr w:rsidR="00E30D79" w:rsidRPr="00A23275" w14:paraId="766C65E0" w14:textId="77777777" w:rsidTr="00C26C4B">
        <w:trPr>
          <w:gridAfter w:val="4"/>
          <w:wAfter w:w="499" w:type="dxa"/>
          <w:trHeight w:val="200"/>
        </w:trPr>
        <w:tc>
          <w:tcPr>
            <w:tcW w:w="2328"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47FD077D"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n</w:t>
            </w:r>
          </w:p>
        </w:tc>
        <w:tc>
          <w:tcPr>
            <w:tcW w:w="1060" w:type="dxa"/>
            <w:gridSpan w:val="2"/>
            <w:tcBorders>
              <w:top w:val="single" w:sz="4" w:space="0" w:color="auto"/>
              <w:left w:val="nil"/>
              <w:bottom w:val="nil"/>
              <w:right w:val="nil"/>
            </w:tcBorders>
            <w:shd w:val="clear" w:color="000000" w:fill="D9D9D9"/>
            <w:noWrap/>
            <w:vAlign w:val="bottom"/>
            <w:hideMark/>
          </w:tcPr>
          <w:p w14:paraId="511524F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6787</w:t>
            </w:r>
          </w:p>
        </w:tc>
        <w:tc>
          <w:tcPr>
            <w:tcW w:w="1060" w:type="dxa"/>
            <w:gridSpan w:val="3"/>
            <w:tcBorders>
              <w:top w:val="single" w:sz="4" w:space="0" w:color="auto"/>
              <w:left w:val="nil"/>
              <w:bottom w:val="nil"/>
              <w:right w:val="nil"/>
            </w:tcBorders>
            <w:shd w:val="clear" w:color="000000" w:fill="D9D9D9"/>
            <w:noWrap/>
            <w:vAlign w:val="bottom"/>
            <w:hideMark/>
          </w:tcPr>
          <w:p w14:paraId="333820C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502</w:t>
            </w:r>
          </w:p>
        </w:tc>
        <w:tc>
          <w:tcPr>
            <w:tcW w:w="1060" w:type="dxa"/>
            <w:tcBorders>
              <w:top w:val="single" w:sz="4" w:space="0" w:color="auto"/>
              <w:left w:val="nil"/>
              <w:bottom w:val="nil"/>
              <w:right w:val="nil"/>
            </w:tcBorders>
            <w:shd w:val="clear" w:color="000000" w:fill="D9D9D9"/>
            <w:noWrap/>
            <w:vAlign w:val="bottom"/>
            <w:hideMark/>
          </w:tcPr>
          <w:p w14:paraId="0B4E2E3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782</w:t>
            </w:r>
          </w:p>
        </w:tc>
        <w:tc>
          <w:tcPr>
            <w:tcW w:w="1291" w:type="dxa"/>
            <w:tcBorders>
              <w:top w:val="single" w:sz="4" w:space="0" w:color="auto"/>
              <w:left w:val="nil"/>
              <w:bottom w:val="nil"/>
              <w:right w:val="nil"/>
            </w:tcBorders>
            <w:shd w:val="clear" w:color="000000" w:fill="D9D9D9"/>
            <w:noWrap/>
            <w:vAlign w:val="bottom"/>
            <w:hideMark/>
          </w:tcPr>
          <w:p w14:paraId="515099A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245</w:t>
            </w:r>
          </w:p>
        </w:tc>
        <w:tc>
          <w:tcPr>
            <w:tcW w:w="1060" w:type="dxa"/>
            <w:tcBorders>
              <w:top w:val="single" w:sz="4" w:space="0" w:color="auto"/>
              <w:left w:val="nil"/>
              <w:bottom w:val="nil"/>
              <w:right w:val="nil"/>
            </w:tcBorders>
            <w:shd w:val="clear" w:color="000000" w:fill="D9D9D9"/>
            <w:noWrap/>
            <w:vAlign w:val="bottom"/>
            <w:hideMark/>
          </w:tcPr>
          <w:p w14:paraId="1C22633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133</w:t>
            </w:r>
          </w:p>
        </w:tc>
        <w:tc>
          <w:tcPr>
            <w:tcW w:w="1060" w:type="dxa"/>
            <w:tcBorders>
              <w:top w:val="single" w:sz="4" w:space="0" w:color="auto"/>
              <w:left w:val="nil"/>
              <w:bottom w:val="nil"/>
              <w:right w:val="nil"/>
            </w:tcBorders>
            <w:shd w:val="clear" w:color="000000" w:fill="D9D9D9"/>
            <w:noWrap/>
            <w:vAlign w:val="bottom"/>
            <w:hideMark/>
          </w:tcPr>
          <w:p w14:paraId="6E44475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380</w:t>
            </w:r>
          </w:p>
        </w:tc>
        <w:tc>
          <w:tcPr>
            <w:tcW w:w="1060" w:type="dxa"/>
            <w:tcBorders>
              <w:top w:val="single" w:sz="4" w:space="0" w:color="auto"/>
              <w:left w:val="nil"/>
              <w:bottom w:val="nil"/>
              <w:right w:val="nil"/>
            </w:tcBorders>
            <w:shd w:val="clear" w:color="000000" w:fill="D9D9D9"/>
            <w:noWrap/>
            <w:vAlign w:val="bottom"/>
            <w:hideMark/>
          </w:tcPr>
          <w:p w14:paraId="4C72783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1524</w:t>
            </w:r>
          </w:p>
        </w:tc>
        <w:tc>
          <w:tcPr>
            <w:tcW w:w="1060" w:type="dxa"/>
            <w:tcBorders>
              <w:top w:val="single" w:sz="4" w:space="0" w:color="auto"/>
              <w:left w:val="nil"/>
              <w:bottom w:val="nil"/>
              <w:right w:val="nil"/>
            </w:tcBorders>
            <w:shd w:val="clear" w:color="000000" w:fill="D9D9D9"/>
            <w:noWrap/>
            <w:vAlign w:val="bottom"/>
            <w:hideMark/>
          </w:tcPr>
          <w:p w14:paraId="5E7B20C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458</w:t>
            </w:r>
          </w:p>
        </w:tc>
        <w:tc>
          <w:tcPr>
            <w:tcW w:w="1060" w:type="dxa"/>
            <w:tcBorders>
              <w:top w:val="single" w:sz="4" w:space="0" w:color="auto"/>
              <w:left w:val="nil"/>
              <w:bottom w:val="nil"/>
              <w:right w:val="nil"/>
            </w:tcBorders>
            <w:shd w:val="clear" w:color="000000" w:fill="D9D9D9"/>
            <w:noWrap/>
            <w:vAlign w:val="bottom"/>
            <w:hideMark/>
          </w:tcPr>
          <w:p w14:paraId="34A699F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185</w:t>
            </w:r>
          </w:p>
        </w:tc>
      </w:tr>
      <w:tr w:rsidR="00E30D79" w:rsidRPr="00A23275" w14:paraId="6A18E4DF"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378D2C79"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n (ASIAN-HF)</w:t>
            </w:r>
          </w:p>
        </w:tc>
        <w:tc>
          <w:tcPr>
            <w:tcW w:w="1060" w:type="dxa"/>
            <w:gridSpan w:val="2"/>
            <w:tcBorders>
              <w:top w:val="nil"/>
              <w:left w:val="nil"/>
              <w:bottom w:val="nil"/>
              <w:right w:val="nil"/>
            </w:tcBorders>
            <w:shd w:val="clear" w:color="auto" w:fill="auto"/>
            <w:noWrap/>
            <w:vAlign w:val="bottom"/>
            <w:hideMark/>
          </w:tcPr>
          <w:p w14:paraId="3DEFFF9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4687 (69.1%)</w:t>
            </w:r>
          </w:p>
        </w:tc>
        <w:tc>
          <w:tcPr>
            <w:tcW w:w="1060" w:type="dxa"/>
            <w:gridSpan w:val="3"/>
            <w:tcBorders>
              <w:top w:val="nil"/>
              <w:left w:val="nil"/>
              <w:bottom w:val="nil"/>
              <w:right w:val="nil"/>
            </w:tcBorders>
            <w:shd w:val="clear" w:color="auto" w:fill="auto"/>
            <w:noWrap/>
            <w:vAlign w:val="bottom"/>
            <w:hideMark/>
          </w:tcPr>
          <w:p w14:paraId="3B2D115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482 (96%)</w:t>
            </w:r>
          </w:p>
        </w:tc>
        <w:tc>
          <w:tcPr>
            <w:tcW w:w="1060" w:type="dxa"/>
            <w:tcBorders>
              <w:top w:val="nil"/>
              <w:left w:val="nil"/>
              <w:bottom w:val="nil"/>
              <w:right w:val="nil"/>
            </w:tcBorders>
            <w:shd w:val="clear" w:color="auto" w:fill="auto"/>
            <w:noWrap/>
            <w:vAlign w:val="bottom"/>
            <w:hideMark/>
          </w:tcPr>
          <w:p w14:paraId="4AFEBCA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656 (83.9%)</w:t>
            </w:r>
          </w:p>
        </w:tc>
        <w:tc>
          <w:tcPr>
            <w:tcW w:w="1291" w:type="dxa"/>
            <w:tcBorders>
              <w:top w:val="nil"/>
              <w:left w:val="nil"/>
              <w:bottom w:val="nil"/>
              <w:right w:val="nil"/>
            </w:tcBorders>
            <w:shd w:val="clear" w:color="auto" w:fill="auto"/>
            <w:noWrap/>
            <w:vAlign w:val="bottom"/>
            <w:hideMark/>
          </w:tcPr>
          <w:p w14:paraId="299907A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203 (82.9%)</w:t>
            </w:r>
          </w:p>
        </w:tc>
        <w:tc>
          <w:tcPr>
            <w:tcW w:w="1060" w:type="dxa"/>
            <w:tcBorders>
              <w:top w:val="nil"/>
              <w:left w:val="nil"/>
              <w:bottom w:val="nil"/>
              <w:right w:val="nil"/>
            </w:tcBorders>
            <w:shd w:val="clear" w:color="auto" w:fill="auto"/>
            <w:noWrap/>
            <w:vAlign w:val="bottom"/>
            <w:hideMark/>
          </w:tcPr>
          <w:p w14:paraId="6EC82E9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115 (86.5%)</w:t>
            </w:r>
          </w:p>
        </w:tc>
        <w:tc>
          <w:tcPr>
            <w:tcW w:w="1060" w:type="dxa"/>
            <w:tcBorders>
              <w:top w:val="nil"/>
              <w:left w:val="nil"/>
              <w:bottom w:val="nil"/>
              <w:right w:val="nil"/>
            </w:tcBorders>
            <w:shd w:val="clear" w:color="auto" w:fill="auto"/>
            <w:noWrap/>
            <w:vAlign w:val="bottom"/>
            <w:hideMark/>
          </w:tcPr>
          <w:p w14:paraId="10B15B2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320 (84.2%)</w:t>
            </w:r>
          </w:p>
        </w:tc>
        <w:tc>
          <w:tcPr>
            <w:tcW w:w="1060" w:type="dxa"/>
            <w:tcBorders>
              <w:top w:val="nil"/>
              <w:left w:val="nil"/>
              <w:bottom w:val="nil"/>
              <w:right w:val="nil"/>
            </w:tcBorders>
            <w:shd w:val="clear" w:color="auto" w:fill="auto"/>
            <w:noWrap/>
            <w:vAlign w:val="bottom"/>
            <w:hideMark/>
          </w:tcPr>
          <w:p w14:paraId="7F020B6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1049 (68.8%)</w:t>
            </w:r>
          </w:p>
        </w:tc>
        <w:tc>
          <w:tcPr>
            <w:tcW w:w="1060" w:type="dxa"/>
            <w:tcBorders>
              <w:top w:val="nil"/>
              <w:left w:val="nil"/>
              <w:bottom w:val="nil"/>
              <w:right w:val="nil"/>
            </w:tcBorders>
            <w:shd w:val="clear" w:color="auto" w:fill="auto"/>
            <w:noWrap/>
            <w:vAlign w:val="bottom"/>
            <w:hideMark/>
          </w:tcPr>
          <w:p w14:paraId="0C7B74E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305 (66.6%)</w:t>
            </w:r>
          </w:p>
        </w:tc>
        <w:tc>
          <w:tcPr>
            <w:tcW w:w="1060" w:type="dxa"/>
            <w:tcBorders>
              <w:top w:val="nil"/>
              <w:left w:val="nil"/>
              <w:bottom w:val="nil"/>
              <w:right w:val="nil"/>
            </w:tcBorders>
            <w:shd w:val="clear" w:color="auto" w:fill="auto"/>
            <w:noWrap/>
            <w:vAlign w:val="bottom"/>
            <w:hideMark/>
          </w:tcPr>
          <w:p w14:paraId="773FEAA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134 (72.4%)</w:t>
            </w:r>
          </w:p>
        </w:tc>
      </w:tr>
      <w:tr w:rsidR="00E30D79" w:rsidRPr="00A23275" w14:paraId="51409D7A"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58113CD1"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Sex</w:t>
            </w:r>
            <w:proofErr w:type="spellEnd"/>
            <w:r w:rsidRPr="00A23275">
              <w:rPr>
                <w:rFonts w:ascii="Calibri" w:eastAsia="Times New Roman" w:hAnsi="Calibri"/>
                <w:b/>
                <w:bCs/>
                <w:color w:val="000000"/>
                <w:sz w:val="14"/>
                <w:szCs w:val="14"/>
              </w:rPr>
              <w:t xml:space="preserve"> (Male)</w:t>
            </w:r>
          </w:p>
        </w:tc>
        <w:tc>
          <w:tcPr>
            <w:tcW w:w="1060" w:type="dxa"/>
            <w:gridSpan w:val="2"/>
            <w:tcBorders>
              <w:top w:val="nil"/>
              <w:left w:val="nil"/>
              <w:bottom w:val="nil"/>
              <w:right w:val="nil"/>
            </w:tcBorders>
            <w:shd w:val="clear" w:color="000000" w:fill="D9D9D9"/>
            <w:noWrap/>
            <w:vAlign w:val="bottom"/>
            <w:hideMark/>
          </w:tcPr>
          <w:p w14:paraId="2856F6C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5271 (77.7%)</w:t>
            </w:r>
          </w:p>
        </w:tc>
        <w:tc>
          <w:tcPr>
            <w:tcW w:w="1060" w:type="dxa"/>
            <w:gridSpan w:val="3"/>
            <w:tcBorders>
              <w:top w:val="nil"/>
              <w:left w:val="nil"/>
              <w:bottom w:val="nil"/>
              <w:right w:val="nil"/>
            </w:tcBorders>
            <w:shd w:val="clear" w:color="000000" w:fill="D9D9D9"/>
            <w:noWrap/>
            <w:vAlign w:val="bottom"/>
            <w:hideMark/>
          </w:tcPr>
          <w:p w14:paraId="2B468D8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376 (74.9%)</w:t>
            </w:r>
          </w:p>
        </w:tc>
        <w:tc>
          <w:tcPr>
            <w:tcW w:w="1060" w:type="dxa"/>
            <w:tcBorders>
              <w:top w:val="nil"/>
              <w:left w:val="nil"/>
              <w:bottom w:val="nil"/>
              <w:right w:val="nil"/>
            </w:tcBorders>
            <w:shd w:val="clear" w:color="000000" w:fill="D9D9D9"/>
            <w:noWrap/>
            <w:vAlign w:val="bottom"/>
            <w:hideMark/>
          </w:tcPr>
          <w:p w14:paraId="4CB1692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615 (78.6%)</w:t>
            </w:r>
          </w:p>
        </w:tc>
        <w:tc>
          <w:tcPr>
            <w:tcW w:w="1291" w:type="dxa"/>
            <w:tcBorders>
              <w:top w:val="nil"/>
              <w:left w:val="nil"/>
              <w:bottom w:val="nil"/>
              <w:right w:val="nil"/>
            </w:tcBorders>
            <w:shd w:val="clear" w:color="000000" w:fill="D9D9D9"/>
            <w:noWrap/>
            <w:vAlign w:val="bottom"/>
            <w:hideMark/>
          </w:tcPr>
          <w:p w14:paraId="4D1D1FC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192 (78.4%)</w:t>
            </w:r>
          </w:p>
        </w:tc>
        <w:tc>
          <w:tcPr>
            <w:tcW w:w="1060" w:type="dxa"/>
            <w:tcBorders>
              <w:top w:val="nil"/>
              <w:left w:val="nil"/>
              <w:bottom w:val="nil"/>
              <w:right w:val="nil"/>
            </w:tcBorders>
            <w:shd w:val="clear" w:color="000000" w:fill="D9D9D9"/>
            <w:noWrap/>
            <w:vAlign w:val="bottom"/>
            <w:hideMark/>
          </w:tcPr>
          <w:p w14:paraId="715981E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101 (75.9%)</w:t>
            </w:r>
          </w:p>
        </w:tc>
        <w:tc>
          <w:tcPr>
            <w:tcW w:w="1060" w:type="dxa"/>
            <w:tcBorders>
              <w:top w:val="nil"/>
              <w:left w:val="nil"/>
              <w:bottom w:val="nil"/>
              <w:right w:val="nil"/>
            </w:tcBorders>
            <w:shd w:val="clear" w:color="000000" w:fill="D9D9D9"/>
            <w:noWrap/>
            <w:vAlign w:val="bottom"/>
            <w:hideMark/>
          </w:tcPr>
          <w:p w14:paraId="11D9DFA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290 (76.3%)</w:t>
            </w:r>
          </w:p>
        </w:tc>
        <w:tc>
          <w:tcPr>
            <w:tcW w:w="1060" w:type="dxa"/>
            <w:tcBorders>
              <w:top w:val="nil"/>
              <w:left w:val="nil"/>
              <w:bottom w:val="nil"/>
              <w:right w:val="nil"/>
            </w:tcBorders>
            <w:shd w:val="clear" w:color="000000" w:fill="D9D9D9"/>
            <w:noWrap/>
            <w:vAlign w:val="bottom"/>
            <w:hideMark/>
          </w:tcPr>
          <w:p w14:paraId="6E66B87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1188 (78%)</w:t>
            </w:r>
          </w:p>
        </w:tc>
        <w:tc>
          <w:tcPr>
            <w:tcW w:w="1060" w:type="dxa"/>
            <w:tcBorders>
              <w:top w:val="nil"/>
              <w:left w:val="nil"/>
              <w:bottom w:val="nil"/>
              <w:right w:val="nil"/>
            </w:tcBorders>
            <w:shd w:val="clear" w:color="000000" w:fill="D9D9D9"/>
            <w:noWrap/>
            <w:vAlign w:val="bottom"/>
            <w:hideMark/>
          </w:tcPr>
          <w:p w14:paraId="75BF145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366 (79.9%)</w:t>
            </w:r>
          </w:p>
        </w:tc>
        <w:tc>
          <w:tcPr>
            <w:tcW w:w="1060" w:type="dxa"/>
            <w:tcBorders>
              <w:top w:val="nil"/>
              <w:left w:val="nil"/>
              <w:bottom w:val="nil"/>
              <w:right w:val="nil"/>
            </w:tcBorders>
            <w:shd w:val="clear" w:color="000000" w:fill="D9D9D9"/>
            <w:noWrap/>
            <w:vAlign w:val="bottom"/>
            <w:hideMark/>
          </w:tcPr>
          <w:p w14:paraId="3E7CB53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151 (81.6%)</w:t>
            </w:r>
          </w:p>
        </w:tc>
      </w:tr>
      <w:tr w:rsidR="00E30D79" w:rsidRPr="00A23275" w14:paraId="50D33796"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36E62863"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Age (</w:t>
            </w:r>
            <w:proofErr w:type="spellStart"/>
            <w:r w:rsidRPr="00A23275">
              <w:rPr>
                <w:rFonts w:ascii="Calibri" w:eastAsia="Times New Roman" w:hAnsi="Calibri"/>
                <w:b/>
                <w:bCs/>
                <w:color w:val="000000"/>
                <w:sz w:val="14"/>
                <w:szCs w:val="14"/>
              </w:rPr>
              <w:t>years</w:t>
            </w:r>
            <w:proofErr w:type="spellEnd"/>
            <w:r w:rsidRPr="00A23275">
              <w:rPr>
                <w:rFonts w:ascii="Calibri" w:eastAsia="Times New Roman" w:hAnsi="Calibri"/>
                <w:b/>
                <w:bCs/>
                <w:color w:val="000000"/>
                <w:sz w:val="14"/>
                <w:szCs w:val="14"/>
              </w:rPr>
              <w:t>)</w:t>
            </w:r>
          </w:p>
        </w:tc>
        <w:tc>
          <w:tcPr>
            <w:tcW w:w="1060" w:type="dxa"/>
            <w:gridSpan w:val="2"/>
            <w:tcBorders>
              <w:top w:val="nil"/>
              <w:left w:val="nil"/>
              <w:bottom w:val="nil"/>
              <w:right w:val="nil"/>
            </w:tcBorders>
            <w:shd w:val="clear" w:color="auto" w:fill="auto"/>
            <w:noWrap/>
            <w:vAlign w:val="bottom"/>
            <w:hideMark/>
          </w:tcPr>
          <w:p w14:paraId="36A83A5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62.6 (13.16)</w:t>
            </w:r>
          </w:p>
        </w:tc>
        <w:tc>
          <w:tcPr>
            <w:tcW w:w="1060" w:type="dxa"/>
            <w:gridSpan w:val="3"/>
            <w:tcBorders>
              <w:top w:val="nil"/>
              <w:left w:val="nil"/>
              <w:bottom w:val="nil"/>
              <w:right w:val="nil"/>
            </w:tcBorders>
            <w:shd w:val="clear" w:color="auto" w:fill="auto"/>
            <w:noWrap/>
            <w:vAlign w:val="bottom"/>
            <w:hideMark/>
          </w:tcPr>
          <w:p w14:paraId="6ED3671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63.9 (13.13)</w:t>
            </w:r>
          </w:p>
        </w:tc>
        <w:tc>
          <w:tcPr>
            <w:tcW w:w="1060" w:type="dxa"/>
            <w:tcBorders>
              <w:top w:val="nil"/>
              <w:left w:val="nil"/>
              <w:bottom w:val="nil"/>
              <w:right w:val="nil"/>
            </w:tcBorders>
            <w:shd w:val="clear" w:color="auto" w:fill="auto"/>
            <w:noWrap/>
            <w:vAlign w:val="bottom"/>
            <w:hideMark/>
          </w:tcPr>
          <w:p w14:paraId="3F2783E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63.9 (13.49)</w:t>
            </w:r>
          </w:p>
        </w:tc>
        <w:tc>
          <w:tcPr>
            <w:tcW w:w="1291" w:type="dxa"/>
            <w:tcBorders>
              <w:top w:val="nil"/>
              <w:left w:val="nil"/>
              <w:bottom w:val="nil"/>
              <w:right w:val="nil"/>
            </w:tcBorders>
            <w:shd w:val="clear" w:color="auto" w:fill="auto"/>
            <w:noWrap/>
            <w:vAlign w:val="bottom"/>
            <w:hideMark/>
          </w:tcPr>
          <w:p w14:paraId="69FBE99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61.3 (14.37)</w:t>
            </w:r>
          </w:p>
        </w:tc>
        <w:tc>
          <w:tcPr>
            <w:tcW w:w="1060" w:type="dxa"/>
            <w:tcBorders>
              <w:top w:val="nil"/>
              <w:left w:val="nil"/>
              <w:bottom w:val="nil"/>
              <w:right w:val="nil"/>
            </w:tcBorders>
            <w:shd w:val="clear" w:color="auto" w:fill="auto"/>
            <w:noWrap/>
            <w:vAlign w:val="bottom"/>
            <w:hideMark/>
          </w:tcPr>
          <w:p w14:paraId="003D3A4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60.4 (13.85)</w:t>
            </w:r>
          </w:p>
        </w:tc>
        <w:tc>
          <w:tcPr>
            <w:tcW w:w="1060" w:type="dxa"/>
            <w:tcBorders>
              <w:top w:val="nil"/>
              <w:left w:val="nil"/>
              <w:bottom w:val="nil"/>
              <w:right w:val="nil"/>
            </w:tcBorders>
            <w:shd w:val="clear" w:color="auto" w:fill="auto"/>
            <w:noWrap/>
            <w:vAlign w:val="bottom"/>
            <w:hideMark/>
          </w:tcPr>
          <w:p w14:paraId="47F2336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63.4 (13.85)</w:t>
            </w:r>
          </w:p>
        </w:tc>
        <w:tc>
          <w:tcPr>
            <w:tcW w:w="1060" w:type="dxa"/>
            <w:tcBorders>
              <w:top w:val="nil"/>
              <w:left w:val="nil"/>
              <w:bottom w:val="nil"/>
              <w:right w:val="nil"/>
            </w:tcBorders>
            <w:shd w:val="clear" w:color="auto" w:fill="auto"/>
            <w:noWrap/>
            <w:vAlign w:val="bottom"/>
            <w:hideMark/>
          </w:tcPr>
          <w:p w14:paraId="31ABB0D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62.1 (12.95)</w:t>
            </w:r>
          </w:p>
        </w:tc>
        <w:tc>
          <w:tcPr>
            <w:tcW w:w="1060" w:type="dxa"/>
            <w:tcBorders>
              <w:top w:val="nil"/>
              <w:left w:val="nil"/>
              <w:bottom w:val="nil"/>
              <w:right w:val="nil"/>
            </w:tcBorders>
            <w:shd w:val="clear" w:color="auto" w:fill="auto"/>
            <w:noWrap/>
            <w:vAlign w:val="bottom"/>
            <w:hideMark/>
          </w:tcPr>
          <w:p w14:paraId="22AB307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62.3 (12.59)</w:t>
            </w:r>
          </w:p>
        </w:tc>
        <w:tc>
          <w:tcPr>
            <w:tcW w:w="1060" w:type="dxa"/>
            <w:tcBorders>
              <w:top w:val="nil"/>
              <w:left w:val="nil"/>
              <w:bottom w:val="nil"/>
              <w:right w:val="nil"/>
            </w:tcBorders>
            <w:shd w:val="clear" w:color="auto" w:fill="auto"/>
            <w:noWrap/>
            <w:vAlign w:val="bottom"/>
            <w:hideMark/>
          </w:tcPr>
          <w:p w14:paraId="1C6E5C2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61.5 (12.49)</w:t>
            </w:r>
          </w:p>
        </w:tc>
      </w:tr>
      <w:tr w:rsidR="00E30D79" w:rsidRPr="00A23275" w14:paraId="0A2265F0"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52085E64"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Former</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smoker</w:t>
            </w:r>
            <w:proofErr w:type="spellEnd"/>
          </w:p>
        </w:tc>
        <w:tc>
          <w:tcPr>
            <w:tcW w:w="1060" w:type="dxa"/>
            <w:gridSpan w:val="2"/>
            <w:tcBorders>
              <w:top w:val="nil"/>
              <w:left w:val="nil"/>
              <w:bottom w:val="nil"/>
              <w:right w:val="nil"/>
            </w:tcBorders>
            <w:shd w:val="clear" w:color="000000" w:fill="D9D9D9"/>
            <w:noWrap/>
            <w:vAlign w:val="bottom"/>
            <w:hideMark/>
          </w:tcPr>
          <w:p w14:paraId="261A078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2504 (36.9%)</w:t>
            </w:r>
          </w:p>
        </w:tc>
        <w:tc>
          <w:tcPr>
            <w:tcW w:w="1060" w:type="dxa"/>
            <w:gridSpan w:val="3"/>
            <w:tcBorders>
              <w:top w:val="nil"/>
              <w:left w:val="nil"/>
              <w:bottom w:val="nil"/>
              <w:right w:val="nil"/>
            </w:tcBorders>
            <w:shd w:val="clear" w:color="000000" w:fill="D9D9D9"/>
            <w:noWrap/>
            <w:vAlign w:val="bottom"/>
            <w:hideMark/>
          </w:tcPr>
          <w:p w14:paraId="4FA0BBA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146 (29.1%)</w:t>
            </w:r>
          </w:p>
        </w:tc>
        <w:tc>
          <w:tcPr>
            <w:tcW w:w="1060" w:type="dxa"/>
            <w:tcBorders>
              <w:top w:val="nil"/>
              <w:left w:val="nil"/>
              <w:bottom w:val="nil"/>
              <w:right w:val="nil"/>
            </w:tcBorders>
            <w:shd w:val="clear" w:color="000000" w:fill="D9D9D9"/>
            <w:noWrap/>
            <w:vAlign w:val="bottom"/>
            <w:hideMark/>
          </w:tcPr>
          <w:p w14:paraId="644B290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265 (33.9%)</w:t>
            </w:r>
          </w:p>
        </w:tc>
        <w:tc>
          <w:tcPr>
            <w:tcW w:w="1291" w:type="dxa"/>
            <w:tcBorders>
              <w:top w:val="nil"/>
              <w:left w:val="nil"/>
              <w:bottom w:val="nil"/>
              <w:right w:val="nil"/>
            </w:tcBorders>
            <w:shd w:val="clear" w:color="000000" w:fill="D9D9D9"/>
            <w:noWrap/>
            <w:vAlign w:val="bottom"/>
            <w:hideMark/>
          </w:tcPr>
          <w:p w14:paraId="32715F4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101 (41.2%)</w:t>
            </w:r>
          </w:p>
        </w:tc>
        <w:tc>
          <w:tcPr>
            <w:tcW w:w="1060" w:type="dxa"/>
            <w:tcBorders>
              <w:top w:val="nil"/>
              <w:left w:val="nil"/>
              <w:bottom w:val="nil"/>
              <w:right w:val="nil"/>
            </w:tcBorders>
            <w:shd w:val="clear" w:color="000000" w:fill="D9D9D9"/>
            <w:noWrap/>
            <w:vAlign w:val="bottom"/>
            <w:hideMark/>
          </w:tcPr>
          <w:p w14:paraId="42605AE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53 (39.8%)</w:t>
            </w:r>
          </w:p>
        </w:tc>
        <w:tc>
          <w:tcPr>
            <w:tcW w:w="1060" w:type="dxa"/>
            <w:tcBorders>
              <w:top w:val="nil"/>
              <w:left w:val="nil"/>
              <w:bottom w:val="nil"/>
              <w:right w:val="nil"/>
            </w:tcBorders>
            <w:shd w:val="clear" w:color="000000" w:fill="D9D9D9"/>
            <w:noWrap/>
            <w:vAlign w:val="bottom"/>
            <w:hideMark/>
          </w:tcPr>
          <w:p w14:paraId="058BB69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131 (34.5%)</w:t>
            </w:r>
          </w:p>
        </w:tc>
        <w:tc>
          <w:tcPr>
            <w:tcW w:w="1060" w:type="dxa"/>
            <w:tcBorders>
              <w:top w:val="nil"/>
              <w:left w:val="nil"/>
              <w:bottom w:val="nil"/>
              <w:right w:val="nil"/>
            </w:tcBorders>
            <w:shd w:val="clear" w:color="000000" w:fill="D9D9D9"/>
            <w:noWrap/>
            <w:vAlign w:val="bottom"/>
            <w:hideMark/>
          </w:tcPr>
          <w:p w14:paraId="5BE8AFE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567 (37.2%)</w:t>
            </w:r>
          </w:p>
        </w:tc>
        <w:tc>
          <w:tcPr>
            <w:tcW w:w="1060" w:type="dxa"/>
            <w:tcBorders>
              <w:top w:val="nil"/>
              <w:left w:val="nil"/>
              <w:bottom w:val="nil"/>
              <w:right w:val="nil"/>
            </w:tcBorders>
            <w:shd w:val="clear" w:color="000000" w:fill="D9D9D9"/>
            <w:noWrap/>
            <w:vAlign w:val="bottom"/>
            <w:hideMark/>
          </w:tcPr>
          <w:p w14:paraId="08B1CE4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156 (34.1%)</w:t>
            </w:r>
          </w:p>
        </w:tc>
        <w:tc>
          <w:tcPr>
            <w:tcW w:w="1060" w:type="dxa"/>
            <w:tcBorders>
              <w:top w:val="nil"/>
              <w:left w:val="nil"/>
              <w:bottom w:val="nil"/>
              <w:right w:val="nil"/>
            </w:tcBorders>
            <w:shd w:val="clear" w:color="000000" w:fill="D9D9D9"/>
            <w:noWrap/>
            <w:vAlign w:val="bottom"/>
            <w:hideMark/>
          </w:tcPr>
          <w:p w14:paraId="284214B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86 (46.5%)</w:t>
            </w:r>
          </w:p>
        </w:tc>
      </w:tr>
      <w:tr w:rsidR="00E30D79" w:rsidRPr="00A23275" w14:paraId="39298EC4"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64AD6268"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Current</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smoker</w:t>
            </w:r>
            <w:proofErr w:type="spellEnd"/>
          </w:p>
        </w:tc>
        <w:tc>
          <w:tcPr>
            <w:tcW w:w="1060" w:type="dxa"/>
            <w:gridSpan w:val="2"/>
            <w:tcBorders>
              <w:top w:val="nil"/>
              <w:left w:val="nil"/>
              <w:bottom w:val="nil"/>
              <w:right w:val="nil"/>
            </w:tcBorders>
            <w:shd w:val="clear" w:color="auto" w:fill="auto"/>
            <w:noWrap/>
            <w:vAlign w:val="bottom"/>
            <w:hideMark/>
          </w:tcPr>
          <w:p w14:paraId="6AA50EC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913 (13.5%)</w:t>
            </w:r>
          </w:p>
        </w:tc>
        <w:tc>
          <w:tcPr>
            <w:tcW w:w="1060" w:type="dxa"/>
            <w:gridSpan w:val="3"/>
            <w:tcBorders>
              <w:top w:val="nil"/>
              <w:left w:val="nil"/>
              <w:bottom w:val="nil"/>
              <w:right w:val="nil"/>
            </w:tcBorders>
            <w:shd w:val="clear" w:color="auto" w:fill="auto"/>
            <w:noWrap/>
            <w:vAlign w:val="bottom"/>
            <w:hideMark/>
          </w:tcPr>
          <w:p w14:paraId="5935418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44 (8.8%)</w:t>
            </w:r>
          </w:p>
        </w:tc>
        <w:tc>
          <w:tcPr>
            <w:tcW w:w="1060" w:type="dxa"/>
            <w:tcBorders>
              <w:top w:val="nil"/>
              <w:left w:val="nil"/>
              <w:bottom w:val="nil"/>
              <w:right w:val="nil"/>
            </w:tcBorders>
            <w:shd w:val="clear" w:color="auto" w:fill="auto"/>
            <w:noWrap/>
            <w:vAlign w:val="bottom"/>
            <w:hideMark/>
          </w:tcPr>
          <w:p w14:paraId="6B1F082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103 (13.2%)</w:t>
            </w:r>
          </w:p>
        </w:tc>
        <w:tc>
          <w:tcPr>
            <w:tcW w:w="1291" w:type="dxa"/>
            <w:tcBorders>
              <w:top w:val="nil"/>
              <w:left w:val="nil"/>
              <w:bottom w:val="nil"/>
              <w:right w:val="nil"/>
            </w:tcBorders>
            <w:shd w:val="clear" w:color="auto" w:fill="auto"/>
            <w:noWrap/>
            <w:vAlign w:val="bottom"/>
            <w:hideMark/>
          </w:tcPr>
          <w:p w14:paraId="208941B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21 (8.6%)</w:t>
            </w:r>
          </w:p>
        </w:tc>
        <w:tc>
          <w:tcPr>
            <w:tcW w:w="1060" w:type="dxa"/>
            <w:tcBorders>
              <w:top w:val="nil"/>
              <w:left w:val="nil"/>
              <w:bottom w:val="nil"/>
              <w:right w:val="nil"/>
            </w:tcBorders>
            <w:shd w:val="clear" w:color="auto" w:fill="auto"/>
            <w:noWrap/>
            <w:vAlign w:val="bottom"/>
            <w:hideMark/>
          </w:tcPr>
          <w:p w14:paraId="4CAA2F0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 (12.8%)</w:t>
            </w:r>
          </w:p>
        </w:tc>
        <w:tc>
          <w:tcPr>
            <w:tcW w:w="1060" w:type="dxa"/>
            <w:tcBorders>
              <w:top w:val="nil"/>
              <w:left w:val="nil"/>
              <w:bottom w:val="nil"/>
              <w:right w:val="nil"/>
            </w:tcBorders>
            <w:shd w:val="clear" w:color="auto" w:fill="auto"/>
            <w:noWrap/>
            <w:vAlign w:val="bottom"/>
            <w:hideMark/>
          </w:tcPr>
          <w:p w14:paraId="37DB899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42 (11.1%)</w:t>
            </w:r>
          </w:p>
        </w:tc>
        <w:tc>
          <w:tcPr>
            <w:tcW w:w="1060" w:type="dxa"/>
            <w:tcBorders>
              <w:top w:val="nil"/>
              <w:left w:val="nil"/>
              <w:bottom w:val="nil"/>
              <w:right w:val="nil"/>
            </w:tcBorders>
            <w:shd w:val="clear" w:color="auto" w:fill="auto"/>
            <w:noWrap/>
            <w:vAlign w:val="bottom"/>
            <w:hideMark/>
          </w:tcPr>
          <w:p w14:paraId="7C3B5D5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257 (16.9%)</w:t>
            </w:r>
          </w:p>
        </w:tc>
        <w:tc>
          <w:tcPr>
            <w:tcW w:w="1060" w:type="dxa"/>
            <w:tcBorders>
              <w:top w:val="nil"/>
              <w:left w:val="nil"/>
              <w:bottom w:val="nil"/>
              <w:right w:val="nil"/>
            </w:tcBorders>
            <w:shd w:val="clear" w:color="auto" w:fill="auto"/>
            <w:noWrap/>
            <w:vAlign w:val="bottom"/>
            <w:hideMark/>
          </w:tcPr>
          <w:p w14:paraId="0C77F45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71 (15.5%)</w:t>
            </w:r>
          </w:p>
        </w:tc>
        <w:tc>
          <w:tcPr>
            <w:tcW w:w="1060" w:type="dxa"/>
            <w:tcBorders>
              <w:top w:val="nil"/>
              <w:left w:val="nil"/>
              <w:bottom w:val="nil"/>
              <w:right w:val="nil"/>
            </w:tcBorders>
            <w:shd w:val="clear" w:color="auto" w:fill="auto"/>
            <w:noWrap/>
            <w:vAlign w:val="bottom"/>
            <w:hideMark/>
          </w:tcPr>
          <w:p w14:paraId="70E5C0F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23 (12.4%)</w:t>
            </w:r>
          </w:p>
        </w:tc>
      </w:tr>
      <w:tr w:rsidR="00E30D79" w:rsidRPr="00A23275" w14:paraId="7C2741C0"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0A56BB90" w14:textId="77777777" w:rsidR="00E30D79" w:rsidRPr="00A23275" w:rsidRDefault="00E30D79" w:rsidP="00C26C4B">
            <w:pPr>
              <w:rPr>
                <w:rFonts w:ascii="Calibri" w:eastAsia="Times New Roman" w:hAnsi="Calibri"/>
                <w:b/>
                <w:bCs/>
                <w:color w:val="000000"/>
                <w:sz w:val="14"/>
                <w:szCs w:val="14"/>
              </w:rPr>
            </w:pPr>
            <w:proofErr w:type="spellStart"/>
            <w:r w:rsidRPr="00F65951">
              <w:rPr>
                <w:rFonts w:ascii="Calibri" w:eastAsia="Times New Roman" w:hAnsi="Calibri"/>
                <w:b/>
                <w:bCs/>
                <w:color w:val="000000"/>
                <w:sz w:val="14"/>
                <w:szCs w:val="14"/>
              </w:rPr>
              <w:t>Chronic</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obstructive</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pulmonary</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disease</w:t>
            </w:r>
            <w:proofErr w:type="spellEnd"/>
          </w:p>
        </w:tc>
        <w:tc>
          <w:tcPr>
            <w:tcW w:w="1060" w:type="dxa"/>
            <w:gridSpan w:val="2"/>
            <w:tcBorders>
              <w:top w:val="nil"/>
              <w:left w:val="nil"/>
              <w:bottom w:val="nil"/>
              <w:right w:val="nil"/>
            </w:tcBorders>
            <w:shd w:val="clear" w:color="000000" w:fill="D9D9D9"/>
            <w:noWrap/>
            <w:vAlign w:val="bottom"/>
            <w:hideMark/>
          </w:tcPr>
          <w:p w14:paraId="3C664C4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726 (10.7%)</w:t>
            </w:r>
          </w:p>
        </w:tc>
        <w:tc>
          <w:tcPr>
            <w:tcW w:w="1060" w:type="dxa"/>
            <w:gridSpan w:val="3"/>
            <w:tcBorders>
              <w:top w:val="nil"/>
              <w:left w:val="nil"/>
              <w:bottom w:val="nil"/>
              <w:right w:val="nil"/>
            </w:tcBorders>
            <w:shd w:val="clear" w:color="000000" w:fill="D9D9D9"/>
            <w:noWrap/>
            <w:vAlign w:val="bottom"/>
            <w:hideMark/>
          </w:tcPr>
          <w:p w14:paraId="3B89AFF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68 (13.7%)</w:t>
            </w:r>
          </w:p>
        </w:tc>
        <w:tc>
          <w:tcPr>
            <w:tcW w:w="1060" w:type="dxa"/>
            <w:tcBorders>
              <w:top w:val="nil"/>
              <w:left w:val="nil"/>
              <w:bottom w:val="nil"/>
              <w:right w:val="nil"/>
            </w:tcBorders>
            <w:shd w:val="clear" w:color="000000" w:fill="D9D9D9"/>
            <w:noWrap/>
            <w:vAlign w:val="bottom"/>
            <w:hideMark/>
          </w:tcPr>
          <w:p w14:paraId="2C2F6A1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81 (10.4%)</w:t>
            </w:r>
          </w:p>
        </w:tc>
        <w:tc>
          <w:tcPr>
            <w:tcW w:w="1291" w:type="dxa"/>
            <w:tcBorders>
              <w:top w:val="nil"/>
              <w:left w:val="nil"/>
              <w:bottom w:val="nil"/>
              <w:right w:val="nil"/>
            </w:tcBorders>
            <w:shd w:val="clear" w:color="000000" w:fill="D9D9D9"/>
            <w:noWrap/>
            <w:vAlign w:val="bottom"/>
            <w:hideMark/>
          </w:tcPr>
          <w:p w14:paraId="320607B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 (11%)</w:t>
            </w:r>
          </w:p>
        </w:tc>
        <w:tc>
          <w:tcPr>
            <w:tcW w:w="1060" w:type="dxa"/>
            <w:tcBorders>
              <w:top w:val="nil"/>
              <w:left w:val="nil"/>
              <w:bottom w:val="nil"/>
              <w:right w:val="nil"/>
            </w:tcBorders>
            <w:shd w:val="clear" w:color="000000" w:fill="D9D9D9"/>
            <w:noWrap/>
            <w:vAlign w:val="bottom"/>
            <w:hideMark/>
          </w:tcPr>
          <w:p w14:paraId="2C63C28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 (9%)</w:t>
            </w:r>
          </w:p>
        </w:tc>
        <w:tc>
          <w:tcPr>
            <w:tcW w:w="1060" w:type="dxa"/>
            <w:tcBorders>
              <w:top w:val="nil"/>
              <w:left w:val="nil"/>
              <w:bottom w:val="nil"/>
              <w:right w:val="nil"/>
            </w:tcBorders>
            <w:shd w:val="clear" w:color="000000" w:fill="D9D9D9"/>
            <w:noWrap/>
            <w:vAlign w:val="bottom"/>
            <w:hideMark/>
          </w:tcPr>
          <w:p w14:paraId="0A2A082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52 (13.7%)</w:t>
            </w:r>
          </w:p>
        </w:tc>
        <w:tc>
          <w:tcPr>
            <w:tcW w:w="1060" w:type="dxa"/>
            <w:tcBorders>
              <w:top w:val="nil"/>
              <w:left w:val="nil"/>
              <w:bottom w:val="nil"/>
              <w:right w:val="nil"/>
            </w:tcBorders>
            <w:shd w:val="clear" w:color="000000" w:fill="D9D9D9"/>
            <w:noWrap/>
            <w:vAlign w:val="bottom"/>
            <w:hideMark/>
          </w:tcPr>
          <w:p w14:paraId="0987EE4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154 (10.1%)</w:t>
            </w:r>
          </w:p>
        </w:tc>
        <w:tc>
          <w:tcPr>
            <w:tcW w:w="1060" w:type="dxa"/>
            <w:tcBorders>
              <w:top w:val="nil"/>
              <w:left w:val="nil"/>
              <w:bottom w:val="nil"/>
              <w:right w:val="nil"/>
            </w:tcBorders>
            <w:shd w:val="clear" w:color="000000" w:fill="D9D9D9"/>
            <w:noWrap/>
            <w:vAlign w:val="bottom"/>
            <w:hideMark/>
          </w:tcPr>
          <w:p w14:paraId="3ECDDEE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47 (10.3%)</w:t>
            </w:r>
          </w:p>
        </w:tc>
        <w:tc>
          <w:tcPr>
            <w:tcW w:w="1060" w:type="dxa"/>
            <w:tcBorders>
              <w:top w:val="nil"/>
              <w:left w:val="nil"/>
              <w:bottom w:val="nil"/>
              <w:right w:val="nil"/>
            </w:tcBorders>
            <w:shd w:val="clear" w:color="000000" w:fill="D9D9D9"/>
            <w:noWrap/>
            <w:vAlign w:val="bottom"/>
            <w:hideMark/>
          </w:tcPr>
          <w:p w14:paraId="7AED497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 (7%)</w:t>
            </w:r>
          </w:p>
        </w:tc>
      </w:tr>
      <w:tr w:rsidR="00E30D79" w:rsidRPr="00A23275" w14:paraId="6E73F163"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09124A88" w14:textId="77777777" w:rsidR="00E30D79" w:rsidRPr="00A23275" w:rsidRDefault="00E30D79" w:rsidP="00C26C4B">
            <w:pPr>
              <w:rPr>
                <w:rFonts w:ascii="Calibri" w:eastAsia="Times New Roman" w:hAnsi="Calibri"/>
                <w:b/>
                <w:bCs/>
                <w:color w:val="000000"/>
                <w:sz w:val="14"/>
                <w:szCs w:val="14"/>
              </w:rPr>
            </w:pPr>
            <w:proofErr w:type="spellStart"/>
            <w:r w:rsidRPr="00F65951">
              <w:rPr>
                <w:rFonts w:ascii="Calibri" w:eastAsia="Times New Roman" w:hAnsi="Calibri"/>
                <w:b/>
                <w:bCs/>
                <w:color w:val="000000"/>
                <w:sz w:val="14"/>
                <w:szCs w:val="14"/>
              </w:rPr>
              <w:t>Myocardial</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infarction</w:t>
            </w:r>
            <w:proofErr w:type="spellEnd"/>
          </w:p>
        </w:tc>
        <w:tc>
          <w:tcPr>
            <w:tcW w:w="1060" w:type="dxa"/>
            <w:gridSpan w:val="2"/>
            <w:tcBorders>
              <w:top w:val="nil"/>
              <w:left w:val="nil"/>
              <w:bottom w:val="nil"/>
              <w:right w:val="nil"/>
            </w:tcBorders>
            <w:shd w:val="clear" w:color="auto" w:fill="auto"/>
            <w:noWrap/>
            <w:vAlign w:val="bottom"/>
            <w:hideMark/>
          </w:tcPr>
          <w:p w14:paraId="1DC1E68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2211 (48.1%)</w:t>
            </w:r>
          </w:p>
        </w:tc>
        <w:tc>
          <w:tcPr>
            <w:tcW w:w="1060" w:type="dxa"/>
            <w:gridSpan w:val="3"/>
            <w:tcBorders>
              <w:top w:val="nil"/>
              <w:left w:val="nil"/>
              <w:bottom w:val="nil"/>
              <w:right w:val="nil"/>
            </w:tcBorders>
            <w:shd w:val="clear" w:color="auto" w:fill="auto"/>
            <w:noWrap/>
            <w:vAlign w:val="bottom"/>
            <w:hideMark/>
          </w:tcPr>
          <w:p w14:paraId="32B669F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151 (53.9%)</w:t>
            </w:r>
          </w:p>
        </w:tc>
        <w:tc>
          <w:tcPr>
            <w:tcW w:w="1060" w:type="dxa"/>
            <w:tcBorders>
              <w:top w:val="nil"/>
              <w:left w:val="nil"/>
              <w:bottom w:val="nil"/>
              <w:right w:val="nil"/>
            </w:tcBorders>
            <w:shd w:val="clear" w:color="auto" w:fill="auto"/>
            <w:noWrap/>
            <w:vAlign w:val="bottom"/>
            <w:hideMark/>
          </w:tcPr>
          <w:p w14:paraId="1B0C122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275 (54.3%)</w:t>
            </w:r>
          </w:p>
        </w:tc>
        <w:tc>
          <w:tcPr>
            <w:tcW w:w="1291" w:type="dxa"/>
            <w:tcBorders>
              <w:top w:val="nil"/>
              <w:left w:val="nil"/>
              <w:bottom w:val="nil"/>
              <w:right w:val="nil"/>
            </w:tcBorders>
            <w:shd w:val="clear" w:color="auto" w:fill="auto"/>
            <w:noWrap/>
            <w:vAlign w:val="bottom"/>
            <w:hideMark/>
          </w:tcPr>
          <w:p w14:paraId="392151D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82 (56.6%)</w:t>
            </w:r>
          </w:p>
        </w:tc>
        <w:tc>
          <w:tcPr>
            <w:tcW w:w="1060" w:type="dxa"/>
            <w:tcBorders>
              <w:top w:val="nil"/>
              <w:left w:val="nil"/>
              <w:bottom w:val="nil"/>
              <w:right w:val="nil"/>
            </w:tcBorders>
            <w:shd w:val="clear" w:color="auto" w:fill="auto"/>
            <w:noWrap/>
            <w:vAlign w:val="bottom"/>
            <w:hideMark/>
          </w:tcPr>
          <w:p w14:paraId="4E4C64C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50 (59.5%)</w:t>
            </w:r>
          </w:p>
        </w:tc>
        <w:tc>
          <w:tcPr>
            <w:tcW w:w="1060" w:type="dxa"/>
            <w:tcBorders>
              <w:top w:val="nil"/>
              <w:left w:val="nil"/>
              <w:bottom w:val="nil"/>
              <w:right w:val="nil"/>
            </w:tcBorders>
            <w:shd w:val="clear" w:color="auto" w:fill="auto"/>
            <w:noWrap/>
            <w:vAlign w:val="bottom"/>
            <w:hideMark/>
          </w:tcPr>
          <w:p w14:paraId="63C282A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123 (53%)</w:t>
            </w:r>
          </w:p>
        </w:tc>
        <w:tc>
          <w:tcPr>
            <w:tcW w:w="1060" w:type="dxa"/>
            <w:tcBorders>
              <w:top w:val="nil"/>
              <w:left w:val="nil"/>
              <w:bottom w:val="nil"/>
              <w:right w:val="nil"/>
            </w:tcBorders>
            <w:shd w:val="clear" w:color="auto" w:fill="auto"/>
            <w:noWrap/>
            <w:vAlign w:val="bottom"/>
            <w:hideMark/>
          </w:tcPr>
          <w:p w14:paraId="381A22A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492 (46.9%)</w:t>
            </w:r>
          </w:p>
        </w:tc>
        <w:tc>
          <w:tcPr>
            <w:tcW w:w="1060" w:type="dxa"/>
            <w:tcBorders>
              <w:top w:val="nil"/>
              <w:left w:val="nil"/>
              <w:bottom w:val="nil"/>
              <w:right w:val="nil"/>
            </w:tcBorders>
            <w:shd w:val="clear" w:color="auto" w:fill="auto"/>
            <w:noWrap/>
            <w:vAlign w:val="bottom"/>
            <w:hideMark/>
          </w:tcPr>
          <w:p w14:paraId="5DAFEAB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139 (45.3%)</w:t>
            </w:r>
          </w:p>
        </w:tc>
        <w:tc>
          <w:tcPr>
            <w:tcW w:w="1060" w:type="dxa"/>
            <w:tcBorders>
              <w:top w:val="nil"/>
              <w:left w:val="nil"/>
              <w:bottom w:val="nil"/>
              <w:right w:val="nil"/>
            </w:tcBorders>
            <w:shd w:val="clear" w:color="auto" w:fill="auto"/>
            <w:noWrap/>
            <w:vAlign w:val="bottom"/>
            <w:hideMark/>
          </w:tcPr>
          <w:p w14:paraId="40CC08A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 (47.3%)</w:t>
            </w:r>
          </w:p>
        </w:tc>
      </w:tr>
      <w:tr w:rsidR="00E30D79" w:rsidRPr="00A23275" w14:paraId="4E7C3068"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71004831"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Isch</w:t>
            </w:r>
            <w:r>
              <w:rPr>
                <w:rFonts w:ascii="Calibri" w:eastAsia="Times New Roman" w:hAnsi="Calibri"/>
                <w:b/>
                <w:bCs/>
                <w:color w:val="000000"/>
                <w:sz w:val="14"/>
                <w:szCs w:val="14"/>
              </w:rPr>
              <w:t>a</w:t>
            </w:r>
            <w:r w:rsidRPr="00A23275">
              <w:rPr>
                <w:rFonts w:ascii="Calibri" w:eastAsia="Times New Roman" w:hAnsi="Calibri"/>
                <w:b/>
                <w:bCs/>
                <w:color w:val="000000"/>
                <w:sz w:val="14"/>
                <w:szCs w:val="14"/>
              </w:rPr>
              <w:t>emic</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aetiology</w:t>
            </w:r>
            <w:proofErr w:type="spellEnd"/>
          </w:p>
        </w:tc>
        <w:tc>
          <w:tcPr>
            <w:tcW w:w="1060" w:type="dxa"/>
            <w:gridSpan w:val="2"/>
            <w:tcBorders>
              <w:top w:val="nil"/>
              <w:left w:val="nil"/>
              <w:bottom w:val="nil"/>
              <w:right w:val="nil"/>
            </w:tcBorders>
            <w:shd w:val="clear" w:color="000000" w:fill="D9D9D9"/>
            <w:noWrap/>
            <w:vAlign w:val="bottom"/>
            <w:hideMark/>
          </w:tcPr>
          <w:p w14:paraId="32DE68E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3343 (51.4%)</w:t>
            </w:r>
          </w:p>
        </w:tc>
        <w:tc>
          <w:tcPr>
            <w:tcW w:w="1060" w:type="dxa"/>
            <w:gridSpan w:val="3"/>
            <w:tcBorders>
              <w:top w:val="nil"/>
              <w:left w:val="nil"/>
              <w:bottom w:val="nil"/>
              <w:right w:val="nil"/>
            </w:tcBorders>
            <w:shd w:val="clear" w:color="000000" w:fill="D9D9D9"/>
            <w:noWrap/>
            <w:vAlign w:val="bottom"/>
            <w:hideMark/>
          </w:tcPr>
          <w:p w14:paraId="196C1FF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226 (50.1%)</w:t>
            </w:r>
          </w:p>
        </w:tc>
        <w:tc>
          <w:tcPr>
            <w:tcW w:w="1060" w:type="dxa"/>
            <w:tcBorders>
              <w:top w:val="nil"/>
              <w:left w:val="nil"/>
              <w:bottom w:val="nil"/>
              <w:right w:val="nil"/>
            </w:tcBorders>
            <w:shd w:val="clear" w:color="000000" w:fill="D9D9D9"/>
            <w:noWrap/>
            <w:vAlign w:val="bottom"/>
            <w:hideMark/>
          </w:tcPr>
          <w:p w14:paraId="6412443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417 (56.3%)</w:t>
            </w:r>
          </w:p>
        </w:tc>
        <w:tc>
          <w:tcPr>
            <w:tcW w:w="1291" w:type="dxa"/>
            <w:tcBorders>
              <w:top w:val="nil"/>
              <w:left w:val="nil"/>
              <w:bottom w:val="nil"/>
              <w:right w:val="nil"/>
            </w:tcBorders>
            <w:shd w:val="clear" w:color="000000" w:fill="D9D9D9"/>
            <w:noWrap/>
            <w:vAlign w:val="bottom"/>
            <w:hideMark/>
          </w:tcPr>
          <w:p w14:paraId="2BCF6F0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115 (50%)</w:t>
            </w:r>
          </w:p>
        </w:tc>
        <w:tc>
          <w:tcPr>
            <w:tcW w:w="1060" w:type="dxa"/>
            <w:tcBorders>
              <w:top w:val="nil"/>
              <w:left w:val="nil"/>
              <w:bottom w:val="nil"/>
              <w:right w:val="nil"/>
            </w:tcBorders>
            <w:shd w:val="clear" w:color="000000" w:fill="D9D9D9"/>
            <w:noWrap/>
            <w:vAlign w:val="bottom"/>
            <w:hideMark/>
          </w:tcPr>
          <w:p w14:paraId="4FE4691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69 (56.1%)</w:t>
            </w:r>
          </w:p>
        </w:tc>
        <w:tc>
          <w:tcPr>
            <w:tcW w:w="1060" w:type="dxa"/>
            <w:tcBorders>
              <w:top w:val="nil"/>
              <w:left w:val="nil"/>
              <w:bottom w:val="nil"/>
              <w:right w:val="nil"/>
            </w:tcBorders>
            <w:shd w:val="clear" w:color="000000" w:fill="D9D9D9"/>
            <w:noWrap/>
            <w:vAlign w:val="bottom"/>
            <w:hideMark/>
          </w:tcPr>
          <w:p w14:paraId="089F8A1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199 (55.6%)</w:t>
            </w:r>
          </w:p>
        </w:tc>
        <w:tc>
          <w:tcPr>
            <w:tcW w:w="1060" w:type="dxa"/>
            <w:tcBorders>
              <w:top w:val="nil"/>
              <w:left w:val="nil"/>
              <w:bottom w:val="nil"/>
              <w:right w:val="nil"/>
            </w:tcBorders>
            <w:shd w:val="clear" w:color="000000" w:fill="D9D9D9"/>
            <w:noWrap/>
            <w:vAlign w:val="bottom"/>
            <w:hideMark/>
          </w:tcPr>
          <w:p w14:paraId="6B826BA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740 (50.4%)</w:t>
            </w:r>
          </w:p>
        </w:tc>
        <w:tc>
          <w:tcPr>
            <w:tcW w:w="1060" w:type="dxa"/>
            <w:tcBorders>
              <w:top w:val="nil"/>
              <w:left w:val="nil"/>
              <w:bottom w:val="nil"/>
              <w:right w:val="nil"/>
            </w:tcBorders>
            <w:shd w:val="clear" w:color="000000" w:fill="D9D9D9"/>
            <w:noWrap/>
            <w:vAlign w:val="bottom"/>
            <w:hideMark/>
          </w:tcPr>
          <w:p w14:paraId="0569B05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219 (49.5%)</w:t>
            </w:r>
          </w:p>
        </w:tc>
        <w:tc>
          <w:tcPr>
            <w:tcW w:w="1060" w:type="dxa"/>
            <w:tcBorders>
              <w:top w:val="nil"/>
              <w:left w:val="nil"/>
              <w:bottom w:val="nil"/>
              <w:right w:val="nil"/>
            </w:tcBorders>
            <w:shd w:val="clear" w:color="000000" w:fill="D9D9D9"/>
            <w:noWrap/>
            <w:vAlign w:val="bottom"/>
            <w:hideMark/>
          </w:tcPr>
          <w:p w14:paraId="429E505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93 (52.8%)</w:t>
            </w:r>
          </w:p>
        </w:tc>
      </w:tr>
      <w:tr w:rsidR="00E30D79" w:rsidRPr="00A23275" w14:paraId="072A06E3"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0D59DEB9"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NYHA Class III/IV</w:t>
            </w:r>
          </w:p>
        </w:tc>
        <w:tc>
          <w:tcPr>
            <w:tcW w:w="1060" w:type="dxa"/>
            <w:gridSpan w:val="2"/>
            <w:tcBorders>
              <w:top w:val="nil"/>
              <w:left w:val="nil"/>
              <w:bottom w:val="nil"/>
              <w:right w:val="nil"/>
            </w:tcBorders>
            <w:shd w:val="clear" w:color="auto" w:fill="auto"/>
            <w:noWrap/>
            <w:vAlign w:val="bottom"/>
            <w:hideMark/>
          </w:tcPr>
          <w:p w14:paraId="4BC229F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2691 (42.7%)</w:t>
            </w:r>
          </w:p>
        </w:tc>
        <w:tc>
          <w:tcPr>
            <w:tcW w:w="1060" w:type="dxa"/>
            <w:gridSpan w:val="3"/>
            <w:tcBorders>
              <w:top w:val="nil"/>
              <w:left w:val="nil"/>
              <w:bottom w:val="nil"/>
              <w:right w:val="nil"/>
            </w:tcBorders>
            <w:shd w:val="clear" w:color="auto" w:fill="auto"/>
            <w:noWrap/>
            <w:vAlign w:val="bottom"/>
            <w:hideMark/>
          </w:tcPr>
          <w:p w14:paraId="72D18D0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193 (50%)</w:t>
            </w:r>
          </w:p>
        </w:tc>
        <w:tc>
          <w:tcPr>
            <w:tcW w:w="1060" w:type="dxa"/>
            <w:tcBorders>
              <w:top w:val="nil"/>
              <w:left w:val="nil"/>
              <w:bottom w:val="nil"/>
              <w:right w:val="nil"/>
            </w:tcBorders>
            <w:shd w:val="clear" w:color="auto" w:fill="auto"/>
            <w:noWrap/>
            <w:vAlign w:val="bottom"/>
            <w:hideMark/>
          </w:tcPr>
          <w:p w14:paraId="6C1C0F4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352 (50.1%)</w:t>
            </w:r>
          </w:p>
        </w:tc>
        <w:tc>
          <w:tcPr>
            <w:tcW w:w="1291" w:type="dxa"/>
            <w:tcBorders>
              <w:top w:val="nil"/>
              <w:left w:val="nil"/>
              <w:bottom w:val="nil"/>
              <w:right w:val="nil"/>
            </w:tcBorders>
            <w:shd w:val="clear" w:color="auto" w:fill="auto"/>
            <w:noWrap/>
            <w:vAlign w:val="bottom"/>
            <w:hideMark/>
          </w:tcPr>
          <w:p w14:paraId="0B82C01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106 (45.7%)</w:t>
            </w:r>
          </w:p>
        </w:tc>
        <w:tc>
          <w:tcPr>
            <w:tcW w:w="1060" w:type="dxa"/>
            <w:tcBorders>
              <w:top w:val="nil"/>
              <w:left w:val="nil"/>
              <w:bottom w:val="nil"/>
              <w:right w:val="nil"/>
            </w:tcBorders>
            <w:shd w:val="clear" w:color="auto" w:fill="auto"/>
            <w:noWrap/>
            <w:vAlign w:val="bottom"/>
            <w:hideMark/>
          </w:tcPr>
          <w:p w14:paraId="320F9C6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50 (41%)</w:t>
            </w:r>
          </w:p>
        </w:tc>
        <w:tc>
          <w:tcPr>
            <w:tcW w:w="1060" w:type="dxa"/>
            <w:tcBorders>
              <w:top w:val="nil"/>
              <w:left w:val="nil"/>
              <w:bottom w:val="nil"/>
              <w:right w:val="nil"/>
            </w:tcBorders>
            <w:shd w:val="clear" w:color="auto" w:fill="auto"/>
            <w:noWrap/>
            <w:vAlign w:val="bottom"/>
            <w:hideMark/>
          </w:tcPr>
          <w:p w14:paraId="1BEFECC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158 (45.9%)</w:t>
            </w:r>
          </w:p>
        </w:tc>
        <w:tc>
          <w:tcPr>
            <w:tcW w:w="1060" w:type="dxa"/>
            <w:tcBorders>
              <w:top w:val="nil"/>
              <w:left w:val="nil"/>
              <w:bottom w:val="nil"/>
              <w:right w:val="nil"/>
            </w:tcBorders>
            <w:shd w:val="clear" w:color="auto" w:fill="auto"/>
            <w:noWrap/>
            <w:vAlign w:val="bottom"/>
            <w:hideMark/>
          </w:tcPr>
          <w:p w14:paraId="5E5BE54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571 (40.2%)</w:t>
            </w:r>
          </w:p>
        </w:tc>
        <w:tc>
          <w:tcPr>
            <w:tcW w:w="1060" w:type="dxa"/>
            <w:tcBorders>
              <w:top w:val="nil"/>
              <w:left w:val="nil"/>
              <w:bottom w:val="nil"/>
              <w:right w:val="nil"/>
            </w:tcBorders>
            <w:shd w:val="clear" w:color="auto" w:fill="auto"/>
            <w:noWrap/>
            <w:vAlign w:val="bottom"/>
            <w:hideMark/>
          </w:tcPr>
          <w:p w14:paraId="06771A0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157 (36%)</w:t>
            </w:r>
          </w:p>
        </w:tc>
        <w:tc>
          <w:tcPr>
            <w:tcW w:w="1060" w:type="dxa"/>
            <w:tcBorders>
              <w:top w:val="nil"/>
              <w:left w:val="nil"/>
              <w:bottom w:val="nil"/>
              <w:right w:val="nil"/>
            </w:tcBorders>
            <w:shd w:val="clear" w:color="auto" w:fill="auto"/>
            <w:noWrap/>
            <w:vAlign w:val="bottom"/>
            <w:hideMark/>
          </w:tcPr>
          <w:p w14:paraId="222F2EF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53 (29.8%)</w:t>
            </w:r>
          </w:p>
        </w:tc>
      </w:tr>
      <w:tr w:rsidR="00E30D79" w:rsidRPr="00A23275" w14:paraId="5D22BBB5"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7256F2AD" w14:textId="77777777" w:rsidR="00E30D79" w:rsidRPr="00A23275" w:rsidRDefault="00E30D79" w:rsidP="00C26C4B">
            <w:pPr>
              <w:rPr>
                <w:rFonts w:ascii="Calibri" w:eastAsia="Times New Roman" w:hAnsi="Calibri"/>
                <w:b/>
                <w:bCs/>
                <w:color w:val="000000"/>
                <w:sz w:val="14"/>
                <w:szCs w:val="14"/>
              </w:rPr>
            </w:pPr>
            <w:proofErr w:type="spellStart"/>
            <w:r>
              <w:rPr>
                <w:rFonts w:ascii="Calibri" w:eastAsia="Times New Roman" w:hAnsi="Calibri"/>
                <w:b/>
                <w:bCs/>
                <w:color w:val="000000"/>
                <w:sz w:val="14"/>
                <w:szCs w:val="14"/>
              </w:rPr>
              <w:t>P</w:t>
            </w:r>
            <w:r w:rsidRPr="00A23275">
              <w:rPr>
                <w:rFonts w:ascii="Calibri" w:eastAsia="Times New Roman" w:hAnsi="Calibri"/>
                <w:b/>
                <w:bCs/>
                <w:color w:val="000000"/>
                <w:sz w:val="14"/>
                <w:szCs w:val="14"/>
              </w:rPr>
              <w:t>eripheral</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oedema</w:t>
            </w:r>
            <w:proofErr w:type="spellEnd"/>
          </w:p>
        </w:tc>
        <w:tc>
          <w:tcPr>
            <w:tcW w:w="1060" w:type="dxa"/>
            <w:gridSpan w:val="2"/>
            <w:tcBorders>
              <w:top w:val="nil"/>
              <w:left w:val="nil"/>
              <w:bottom w:val="nil"/>
              <w:right w:val="nil"/>
            </w:tcBorders>
            <w:shd w:val="clear" w:color="000000" w:fill="D9D9D9"/>
            <w:noWrap/>
            <w:vAlign w:val="bottom"/>
            <w:hideMark/>
          </w:tcPr>
          <w:p w14:paraId="0CA8CA3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2058 (30.4%)</w:t>
            </w:r>
          </w:p>
        </w:tc>
        <w:tc>
          <w:tcPr>
            <w:tcW w:w="1060" w:type="dxa"/>
            <w:gridSpan w:val="3"/>
            <w:tcBorders>
              <w:top w:val="nil"/>
              <w:left w:val="nil"/>
              <w:bottom w:val="nil"/>
              <w:right w:val="nil"/>
            </w:tcBorders>
            <w:shd w:val="clear" w:color="000000" w:fill="D9D9D9"/>
            <w:noWrap/>
            <w:vAlign w:val="bottom"/>
            <w:hideMark/>
          </w:tcPr>
          <w:p w14:paraId="4263558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122 (24.6%)</w:t>
            </w:r>
          </w:p>
        </w:tc>
        <w:tc>
          <w:tcPr>
            <w:tcW w:w="1060" w:type="dxa"/>
            <w:tcBorders>
              <w:top w:val="nil"/>
              <w:left w:val="nil"/>
              <w:bottom w:val="nil"/>
              <w:right w:val="nil"/>
            </w:tcBorders>
            <w:shd w:val="clear" w:color="000000" w:fill="D9D9D9"/>
            <w:noWrap/>
            <w:vAlign w:val="bottom"/>
            <w:hideMark/>
          </w:tcPr>
          <w:p w14:paraId="77D443C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216 (27.6%)</w:t>
            </w:r>
          </w:p>
        </w:tc>
        <w:tc>
          <w:tcPr>
            <w:tcW w:w="1291" w:type="dxa"/>
            <w:tcBorders>
              <w:top w:val="nil"/>
              <w:left w:val="nil"/>
              <w:bottom w:val="nil"/>
              <w:right w:val="nil"/>
            </w:tcBorders>
            <w:shd w:val="clear" w:color="000000" w:fill="D9D9D9"/>
            <w:noWrap/>
            <w:vAlign w:val="bottom"/>
            <w:hideMark/>
          </w:tcPr>
          <w:p w14:paraId="2539042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68 (27.8%)</w:t>
            </w:r>
          </w:p>
        </w:tc>
        <w:tc>
          <w:tcPr>
            <w:tcW w:w="1060" w:type="dxa"/>
            <w:tcBorders>
              <w:top w:val="nil"/>
              <w:left w:val="nil"/>
              <w:bottom w:val="nil"/>
              <w:right w:val="nil"/>
            </w:tcBorders>
            <w:shd w:val="clear" w:color="000000" w:fill="D9D9D9"/>
            <w:noWrap/>
            <w:vAlign w:val="bottom"/>
            <w:hideMark/>
          </w:tcPr>
          <w:p w14:paraId="17623F4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37 (27.8%)</w:t>
            </w:r>
          </w:p>
        </w:tc>
        <w:tc>
          <w:tcPr>
            <w:tcW w:w="1060" w:type="dxa"/>
            <w:tcBorders>
              <w:top w:val="nil"/>
              <w:left w:val="nil"/>
              <w:bottom w:val="nil"/>
              <w:right w:val="nil"/>
            </w:tcBorders>
            <w:shd w:val="clear" w:color="000000" w:fill="D9D9D9"/>
            <w:noWrap/>
            <w:vAlign w:val="bottom"/>
            <w:hideMark/>
          </w:tcPr>
          <w:p w14:paraId="2F22C6E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128 (33.7%)</w:t>
            </w:r>
          </w:p>
        </w:tc>
        <w:tc>
          <w:tcPr>
            <w:tcW w:w="1060" w:type="dxa"/>
            <w:tcBorders>
              <w:top w:val="nil"/>
              <w:left w:val="nil"/>
              <w:bottom w:val="nil"/>
              <w:right w:val="nil"/>
            </w:tcBorders>
            <w:shd w:val="clear" w:color="000000" w:fill="D9D9D9"/>
            <w:noWrap/>
            <w:vAlign w:val="bottom"/>
            <w:hideMark/>
          </w:tcPr>
          <w:p w14:paraId="6435A7F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463 (30.4%)</w:t>
            </w:r>
          </w:p>
        </w:tc>
        <w:tc>
          <w:tcPr>
            <w:tcW w:w="1060" w:type="dxa"/>
            <w:tcBorders>
              <w:top w:val="nil"/>
              <w:left w:val="nil"/>
              <w:bottom w:val="nil"/>
              <w:right w:val="nil"/>
            </w:tcBorders>
            <w:shd w:val="clear" w:color="000000" w:fill="D9D9D9"/>
            <w:noWrap/>
            <w:vAlign w:val="bottom"/>
            <w:hideMark/>
          </w:tcPr>
          <w:p w14:paraId="797AA2D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135 (29.5%)</w:t>
            </w:r>
          </w:p>
        </w:tc>
        <w:tc>
          <w:tcPr>
            <w:tcW w:w="1060" w:type="dxa"/>
            <w:tcBorders>
              <w:top w:val="nil"/>
              <w:left w:val="nil"/>
              <w:bottom w:val="nil"/>
              <w:right w:val="nil"/>
            </w:tcBorders>
            <w:shd w:val="clear" w:color="000000" w:fill="D9D9D9"/>
            <w:noWrap/>
            <w:vAlign w:val="bottom"/>
            <w:hideMark/>
          </w:tcPr>
          <w:p w14:paraId="70C5538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58 (31.4%)</w:t>
            </w:r>
          </w:p>
        </w:tc>
      </w:tr>
      <w:tr w:rsidR="00E30D79" w:rsidRPr="00A23275" w14:paraId="0F02E149"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18880239"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Orthopnea</w:t>
            </w:r>
            <w:proofErr w:type="spellEnd"/>
          </w:p>
        </w:tc>
        <w:tc>
          <w:tcPr>
            <w:tcW w:w="1060" w:type="dxa"/>
            <w:gridSpan w:val="2"/>
            <w:tcBorders>
              <w:top w:val="nil"/>
              <w:left w:val="nil"/>
              <w:bottom w:val="nil"/>
              <w:right w:val="nil"/>
            </w:tcBorders>
            <w:shd w:val="clear" w:color="auto" w:fill="auto"/>
            <w:noWrap/>
            <w:vAlign w:val="bottom"/>
            <w:hideMark/>
          </w:tcPr>
          <w:p w14:paraId="34C9F4A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1664 (24.5%)</w:t>
            </w:r>
          </w:p>
        </w:tc>
        <w:tc>
          <w:tcPr>
            <w:tcW w:w="1060" w:type="dxa"/>
            <w:gridSpan w:val="3"/>
            <w:tcBorders>
              <w:top w:val="nil"/>
              <w:left w:val="nil"/>
              <w:bottom w:val="nil"/>
              <w:right w:val="nil"/>
            </w:tcBorders>
            <w:shd w:val="clear" w:color="auto" w:fill="auto"/>
            <w:noWrap/>
            <w:vAlign w:val="bottom"/>
            <w:hideMark/>
          </w:tcPr>
          <w:p w14:paraId="42BBDAD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140 (28.1%)</w:t>
            </w:r>
          </w:p>
        </w:tc>
        <w:tc>
          <w:tcPr>
            <w:tcW w:w="1060" w:type="dxa"/>
            <w:tcBorders>
              <w:top w:val="nil"/>
              <w:left w:val="nil"/>
              <w:bottom w:val="nil"/>
              <w:right w:val="nil"/>
            </w:tcBorders>
            <w:shd w:val="clear" w:color="auto" w:fill="auto"/>
            <w:noWrap/>
            <w:vAlign w:val="bottom"/>
            <w:hideMark/>
          </w:tcPr>
          <w:p w14:paraId="3BC6ABE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210 (26.9%)</w:t>
            </w:r>
          </w:p>
        </w:tc>
        <w:tc>
          <w:tcPr>
            <w:tcW w:w="1291" w:type="dxa"/>
            <w:tcBorders>
              <w:top w:val="nil"/>
              <w:left w:val="nil"/>
              <w:bottom w:val="nil"/>
              <w:right w:val="nil"/>
            </w:tcBorders>
            <w:shd w:val="clear" w:color="auto" w:fill="auto"/>
            <w:noWrap/>
            <w:vAlign w:val="bottom"/>
            <w:hideMark/>
          </w:tcPr>
          <w:p w14:paraId="4FBE12F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56 (22.9%)</w:t>
            </w:r>
          </w:p>
        </w:tc>
        <w:tc>
          <w:tcPr>
            <w:tcW w:w="1060" w:type="dxa"/>
            <w:tcBorders>
              <w:top w:val="nil"/>
              <w:left w:val="nil"/>
              <w:bottom w:val="nil"/>
              <w:right w:val="nil"/>
            </w:tcBorders>
            <w:shd w:val="clear" w:color="auto" w:fill="auto"/>
            <w:noWrap/>
            <w:vAlign w:val="bottom"/>
            <w:hideMark/>
          </w:tcPr>
          <w:p w14:paraId="49EB4BB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37 (27.8%)</w:t>
            </w:r>
          </w:p>
        </w:tc>
        <w:tc>
          <w:tcPr>
            <w:tcW w:w="1060" w:type="dxa"/>
            <w:tcBorders>
              <w:top w:val="nil"/>
              <w:left w:val="nil"/>
              <w:bottom w:val="nil"/>
              <w:right w:val="nil"/>
            </w:tcBorders>
            <w:shd w:val="clear" w:color="auto" w:fill="auto"/>
            <w:noWrap/>
            <w:vAlign w:val="bottom"/>
            <w:hideMark/>
          </w:tcPr>
          <w:p w14:paraId="62C4F3E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102 (26.8%)</w:t>
            </w:r>
          </w:p>
        </w:tc>
        <w:tc>
          <w:tcPr>
            <w:tcW w:w="1060" w:type="dxa"/>
            <w:tcBorders>
              <w:top w:val="nil"/>
              <w:left w:val="nil"/>
              <w:bottom w:val="nil"/>
              <w:right w:val="nil"/>
            </w:tcBorders>
            <w:shd w:val="clear" w:color="auto" w:fill="auto"/>
            <w:noWrap/>
            <w:vAlign w:val="bottom"/>
            <w:hideMark/>
          </w:tcPr>
          <w:p w14:paraId="38CE2D9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348 (22.9%)</w:t>
            </w:r>
          </w:p>
        </w:tc>
        <w:tc>
          <w:tcPr>
            <w:tcW w:w="1060" w:type="dxa"/>
            <w:tcBorders>
              <w:top w:val="nil"/>
              <w:left w:val="nil"/>
              <w:bottom w:val="nil"/>
              <w:right w:val="nil"/>
            </w:tcBorders>
            <w:shd w:val="clear" w:color="auto" w:fill="auto"/>
            <w:noWrap/>
            <w:vAlign w:val="bottom"/>
            <w:hideMark/>
          </w:tcPr>
          <w:p w14:paraId="58B74AE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101 (22.1%)</w:t>
            </w:r>
          </w:p>
        </w:tc>
        <w:tc>
          <w:tcPr>
            <w:tcW w:w="1060" w:type="dxa"/>
            <w:tcBorders>
              <w:top w:val="nil"/>
              <w:left w:val="nil"/>
              <w:bottom w:val="nil"/>
              <w:right w:val="nil"/>
            </w:tcBorders>
            <w:shd w:val="clear" w:color="auto" w:fill="auto"/>
            <w:noWrap/>
            <w:vAlign w:val="bottom"/>
            <w:hideMark/>
          </w:tcPr>
          <w:p w14:paraId="0AC0517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42 (22.7%)</w:t>
            </w:r>
          </w:p>
        </w:tc>
      </w:tr>
      <w:tr w:rsidR="00E30D79" w:rsidRPr="00A23275" w14:paraId="3FFC08CD"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7C895BD2" w14:textId="77777777" w:rsidR="00E30D79" w:rsidRPr="00A23275" w:rsidRDefault="00E30D79" w:rsidP="00C26C4B">
            <w:pPr>
              <w:rPr>
                <w:rFonts w:ascii="Calibri" w:eastAsia="Times New Roman" w:hAnsi="Calibri"/>
                <w:b/>
                <w:bCs/>
                <w:color w:val="000000"/>
                <w:sz w:val="14"/>
                <w:szCs w:val="14"/>
              </w:rPr>
            </w:pPr>
            <w:proofErr w:type="spellStart"/>
            <w:r>
              <w:rPr>
                <w:rFonts w:ascii="Calibri" w:eastAsia="Times New Roman" w:hAnsi="Calibri"/>
                <w:b/>
                <w:bCs/>
                <w:color w:val="000000"/>
                <w:sz w:val="14"/>
                <w:szCs w:val="14"/>
              </w:rPr>
              <w:t>P</w:t>
            </w:r>
            <w:r w:rsidRPr="00A23275">
              <w:rPr>
                <w:rFonts w:ascii="Calibri" w:eastAsia="Times New Roman" w:hAnsi="Calibri"/>
                <w:b/>
                <w:bCs/>
                <w:color w:val="000000"/>
                <w:sz w:val="14"/>
                <w:szCs w:val="14"/>
              </w:rPr>
              <w:t>ulmonary</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rales</w:t>
            </w:r>
            <w:proofErr w:type="spellEnd"/>
          </w:p>
        </w:tc>
        <w:tc>
          <w:tcPr>
            <w:tcW w:w="1060" w:type="dxa"/>
            <w:gridSpan w:val="2"/>
            <w:tcBorders>
              <w:top w:val="nil"/>
              <w:left w:val="nil"/>
              <w:bottom w:val="nil"/>
              <w:right w:val="nil"/>
            </w:tcBorders>
            <w:shd w:val="clear" w:color="000000" w:fill="D9D9D9"/>
            <w:noWrap/>
            <w:vAlign w:val="bottom"/>
            <w:hideMark/>
          </w:tcPr>
          <w:p w14:paraId="3C94913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951 (16.7%)</w:t>
            </w:r>
          </w:p>
        </w:tc>
        <w:tc>
          <w:tcPr>
            <w:tcW w:w="1060" w:type="dxa"/>
            <w:gridSpan w:val="3"/>
            <w:tcBorders>
              <w:top w:val="nil"/>
              <w:left w:val="nil"/>
              <w:bottom w:val="nil"/>
              <w:right w:val="nil"/>
            </w:tcBorders>
            <w:shd w:val="clear" w:color="000000" w:fill="D9D9D9"/>
            <w:noWrap/>
            <w:vAlign w:val="bottom"/>
            <w:hideMark/>
          </w:tcPr>
          <w:p w14:paraId="2A946DB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76 (15.5%)</w:t>
            </w:r>
          </w:p>
        </w:tc>
        <w:tc>
          <w:tcPr>
            <w:tcW w:w="1060" w:type="dxa"/>
            <w:tcBorders>
              <w:top w:val="nil"/>
              <w:left w:val="nil"/>
              <w:bottom w:val="nil"/>
              <w:right w:val="nil"/>
            </w:tcBorders>
            <w:shd w:val="clear" w:color="000000" w:fill="D9D9D9"/>
            <w:noWrap/>
            <w:vAlign w:val="bottom"/>
            <w:hideMark/>
          </w:tcPr>
          <w:p w14:paraId="1B419A7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116 (15.9%)</w:t>
            </w:r>
          </w:p>
        </w:tc>
        <w:tc>
          <w:tcPr>
            <w:tcW w:w="1291" w:type="dxa"/>
            <w:tcBorders>
              <w:top w:val="nil"/>
              <w:left w:val="nil"/>
              <w:bottom w:val="nil"/>
              <w:right w:val="nil"/>
            </w:tcBorders>
            <w:shd w:val="clear" w:color="000000" w:fill="D9D9D9"/>
            <w:noWrap/>
            <w:vAlign w:val="bottom"/>
            <w:hideMark/>
          </w:tcPr>
          <w:p w14:paraId="3ECF755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35 (15.2%)</w:t>
            </w:r>
          </w:p>
        </w:tc>
        <w:tc>
          <w:tcPr>
            <w:tcW w:w="1060" w:type="dxa"/>
            <w:tcBorders>
              <w:top w:val="nil"/>
              <w:left w:val="nil"/>
              <w:bottom w:val="nil"/>
              <w:right w:val="nil"/>
            </w:tcBorders>
            <w:shd w:val="clear" w:color="000000" w:fill="D9D9D9"/>
            <w:noWrap/>
            <w:vAlign w:val="bottom"/>
            <w:hideMark/>
          </w:tcPr>
          <w:p w14:paraId="37D44CB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20 (15.9%)</w:t>
            </w:r>
          </w:p>
        </w:tc>
        <w:tc>
          <w:tcPr>
            <w:tcW w:w="1060" w:type="dxa"/>
            <w:tcBorders>
              <w:top w:val="nil"/>
              <w:left w:val="nil"/>
              <w:bottom w:val="nil"/>
              <w:right w:val="nil"/>
            </w:tcBorders>
            <w:shd w:val="clear" w:color="000000" w:fill="D9D9D9"/>
            <w:noWrap/>
            <w:vAlign w:val="bottom"/>
            <w:hideMark/>
          </w:tcPr>
          <w:p w14:paraId="6690BDD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79 (21.9%)</w:t>
            </w:r>
          </w:p>
        </w:tc>
        <w:tc>
          <w:tcPr>
            <w:tcW w:w="1060" w:type="dxa"/>
            <w:tcBorders>
              <w:top w:val="nil"/>
              <w:left w:val="nil"/>
              <w:bottom w:val="nil"/>
              <w:right w:val="nil"/>
            </w:tcBorders>
            <w:shd w:val="clear" w:color="000000" w:fill="D9D9D9"/>
            <w:noWrap/>
            <w:vAlign w:val="bottom"/>
            <w:hideMark/>
          </w:tcPr>
          <w:p w14:paraId="59D07A8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222 (17.1%)</w:t>
            </w:r>
          </w:p>
        </w:tc>
        <w:tc>
          <w:tcPr>
            <w:tcW w:w="1060" w:type="dxa"/>
            <w:tcBorders>
              <w:top w:val="nil"/>
              <w:left w:val="nil"/>
              <w:bottom w:val="nil"/>
              <w:right w:val="nil"/>
            </w:tcBorders>
            <w:shd w:val="clear" w:color="000000" w:fill="D9D9D9"/>
            <w:noWrap/>
            <w:vAlign w:val="bottom"/>
            <w:hideMark/>
          </w:tcPr>
          <w:p w14:paraId="2DF9BCE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51 (13.5%)</w:t>
            </w:r>
          </w:p>
        </w:tc>
        <w:tc>
          <w:tcPr>
            <w:tcW w:w="1060" w:type="dxa"/>
            <w:tcBorders>
              <w:top w:val="nil"/>
              <w:left w:val="nil"/>
              <w:bottom w:val="nil"/>
              <w:right w:val="nil"/>
            </w:tcBorders>
            <w:shd w:val="clear" w:color="000000" w:fill="D9D9D9"/>
            <w:noWrap/>
            <w:vAlign w:val="bottom"/>
            <w:hideMark/>
          </w:tcPr>
          <w:p w14:paraId="60D0A94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 (11%)</w:t>
            </w:r>
          </w:p>
        </w:tc>
      </w:tr>
      <w:tr w:rsidR="00E30D79" w:rsidRPr="00A23275" w14:paraId="6C427840"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42EA76CA" w14:textId="77777777" w:rsidR="00E30D79" w:rsidRPr="00A23275" w:rsidRDefault="00E30D79" w:rsidP="00C26C4B">
            <w:pPr>
              <w:rPr>
                <w:rFonts w:ascii="Calibri" w:eastAsia="Times New Roman" w:hAnsi="Calibri"/>
                <w:b/>
                <w:bCs/>
                <w:color w:val="000000"/>
                <w:sz w:val="14"/>
                <w:szCs w:val="14"/>
                <w:lang w:val="en-US"/>
              </w:rPr>
            </w:pPr>
            <w:r w:rsidRPr="00A23275">
              <w:rPr>
                <w:rFonts w:ascii="Calibri" w:eastAsia="Times New Roman" w:hAnsi="Calibri"/>
                <w:b/>
                <w:bCs/>
                <w:color w:val="000000"/>
                <w:sz w:val="14"/>
                <w:szCs w:val="14"/>
                <w:lang w:val="en-US"/>
              </w:rPr>
              <w:t>Previous HF-hospitalization in past year</w:t>
            </w:r>
          </w:p>
        </w:tc>
        <w:tc>
          <w:tcPr>
            <w:tcW w:w="1060" w:type="dxa"/>
            <w:gridSpan w:val="2"/>
            <w:tcBorders>
              <w:top w:val="nil"/>
              <w:left w:val="nil"/>
              <w:bottom w:val="nil"/>
              <w:right w:val="nil"/>
            </w:tcBorders>
            <w:shd w:val="clear" w:color="auto" w:fill="auto"/>
            <w:noWrap/>
            <w:vAlign w:val="bottom"/>
            <w:hideMark/>
          </w:tcPr>
          <w:p w14:paraId="37DC06D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2247 (48.8%)</w:t>
            </w:r>
          </w:p>
        </w:tc>
        <w:tc>
          <w:tcPr>
            <w:tcW w:w="1060" w:type="dxa"/>
            <w:gridSpan w:val="3"/>
            <w:tcBorders>
              <w:top w:val="nil"/>
              <w:left w:val="nil"/>
              <w:bottom w:val="nil"/>
              <w:right w:val="nil"/>
            </w:tcBorders>
            <w:shd w:val="clear" w:color="auto" w:fill="auto"/>
            <w:noWrap/>
            <w:vAlign w:val="bottom"/>
            <w:hideMark/>
          </w:tcPr>
          <w:p w14:paraId="0EFE34D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184 (66.4%)</w:t>
            </w:r>
          </w:p>
        </w:tc>
        <w:tc>
          <w:tcPr>
            <w:tcW w:w="1060" w:type="dxa"/>
            <w:tcBorders>
              <w:top w:val="nil"/>
              <w:left w:val="nil"/>
              <w:bottom w:val="nil"/>
              <w:right w:val="nil"/>
            </w:tcBorders>
            <w:shd w:val="clear" w:color="auto" w:fill="auto"/>
            <w:noWrap/>
            <w:vAlign w:val="bottom"/>
            <w:hideMark/>
          </w:tcPr>
          <w:p w14:paraId="493D65A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327 (60.2%)</w:t>
            </w:r>
          </w:p>
        </w:tc>
        <w:tc>
          <w:tcPr>
            <w:tcW w:w="1291" w:type="dxa"/>
            <w:tcBorders>
              <w:top w:val="nil"/>
              <w:left w:val="nil"/>
              <w:bottom w:val="nil"/>
              <w:right w:val="nil"/>
            </w:tcBorders>
            <w:shd w:val="clear" w:color="auto" w:fill="auto"/>
            <w:noWrap/>
            <w:vAlign w:val="bottom"/>
            <w:hideMark/>
          </w:tcPr>
          <w:p w14:paraId="5370CFA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99 (57.6%)</w:t>
            </w:r>
          </w:p>
        </w:tc>
        <w:tc>
          <w:tcPr>
            <w:tcW w:w="1060" w:type="dxa"/>
            <w:tcBorders>
              <w:top w:val="nil"/>
              <w:left w:val="nil"/>
              <w:bottom w:val="nil"/>
              <w:right w:val="nil"/>
            </w:tcBorders>
            <w:shd w:val="clear" w:color="auto" w:fill="auto"/>
            <w:noWrap/>
            <w:vAlign w:val="bottom"/>
            <w:hideMark/>
          </w:tcPr>
          <w:p w14:paraId="29DBA87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57 (60.6%)</w:t>
            </w:r>
          </w:p>
        </w:tc>
        <w:tc>
          <w:tcPr>
            <w:tcW w:w="1060" w:type="dxa"/>
            <w:tcBorders>
              <w:top w:val="nil"/>
              <w:left w:val="nil"/>
              <w:bottom w:val="nil"/>
              <w:right w:val="nil"/>
            </w:tcBorders>
            <w:shd w:val="clear" w:color="auto" w:fill="auto"/>
            <w:noWrap/>
            <w:vAlign w:val="bottom"/>
            <w:hideMark/>
          </w:tcPr>
          <w:p w14:paraId="6ADAB2C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131 (60.4%)</w:t>
            </w:r>
          </w:p>
        </w:tc>
        <w:tc>
          <w:tcPr>
            <w:tcW w:w="1060" w:type="dxa"/>
            <w:tcBorders>
              <w:top w:val="nil"/>
              <w:left w:val="nil"/>
              <w:bottom w:val="nil"/>
              <w:right w:val="nil"/>
            </w:tcBorders>
            <w:shd w:val="clear" w:color="auto" w:fill="auto"/>
            <w:noWrap/>
            <w:vAlign w:val="bottom"/>
            <w:hideMark/>
          </w:tcPr>
          <w:p w14:paraId="630A269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470 (49%)</w:t>
            </w:r>
          </w:p>
        </w:tc>
        <w:tc>
          <w:tcPr>
            <w:tcW w:w="1060" w:type="dxa"/>
            <w:tcBorders>
              <w:top w:val="nil"/>
              <w:left w:val="nil"/>
              <w:bottom w:val="nil"/>
              <w:right w:val="nil"/>
            </w:tcBorders>
            <w:shd w:val="clear" w:color="auto" w:fill="auto"/>
            <w:noWrap/>
            <w:vAlign w:val="bottom"/>
            <w:hideMark/>
          </w:tcPr>
          <w:p w14:paraId="1777005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141 (45.2%)</w:t>
            </w:r>
          </w:p>
        </w:tc>
        <w:tc>
          <w:tcPr>
            <w:tcW w:w="1060" w:type="dxa"/>
            <w:tcBorders>
              <w:top w:val="nil"/>
              <w:left w:val="nil"/>
              <w:bottom w:val="nil"/>
              <w:right w:val="nil"/>
            </w:tcBorders>
            <w:shd w:val="clear" w:color="auto" w:fill="auto"/>
            <w:noWrap/>
            <w:vAlign w:val="bottom"/>
            <w:hideMark/>
          </w:tcPr>
          <w:p w14:paraId="4B53E34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73 (55.3%)</w:t>
            </w:r>
          </w:p>
        </w:tc>
      </w:tr>
      <w:tr w:rsidR="00E30D79" w:rsidRPr="00A23275" w14:paraId="1BEDCCF1"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4D0C1334"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Atrial</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Fibri</w:t>
            </w:r>
            <w:r>
              <w:rPr>
                <w:rFonts w:ascii="Calibri" w:eastAsia="Times New Roman" w:hAnsi="Calibri"/>
                <w:b/>
                <w:bCs/>
                <w:color w:val="000000"/>
                <w:sz w:val="14"/>
                <w:szCs w:val="14"/>
              </w:rPr>
              <w:t>l</w:t>
            </w:r>
            <w:r w:rsidRPr="00A23275">
              <w:rPr>
                <w:rFonts w:ascii="Calibri" w:eastAsia="Times New Roman" w:hAnsi="Calibri"/>
                <w:b/>
                <w:bCs/>
                <w:color w:val="000000"/>
                <w:sz w:val="14"/>
                <w:szCs w:val="14"/>
              </w:rPr>
              <w:t>lation</w:t>
            </w:r>
            <w:proofErr w:type="spellEnd"/>
          </w:p>
        </w:tc>
        <w:tc>
          <w:tcPr>
            <w:tcW w:w="1060" w:type="dxa"/>
            <w:gridSpan w:val="2"/>
            <w:tcBorders>
              <w:top w:val="nil"/>
              <w:left w:val="nil"/>
              <w:bottom w:val="nil"/>
              <w:right w:val="nil"/>
            </w:tcBorders>
            <w:shd w:val="clear" w:color="000000" w:fill="D9D9D9"/>
            <w:noWrap/>
            <w:vAlign w:val="bottom"/>
            <w:hideMark/>
          </w:tcPr>
          <w:p w14:paraId="634997B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1765 (26%)</w:t>
            </w:r>
          </w:p>
        </w:tc>
        <w:tc>
          <w:tcPr>
            <w:tcW w:w="1060" w:type="dxa"/>
            <w:gridSpan w:val="3"/>
            <w:tcBorders>
              <w:top w:val="nil"/>
              <w:left w:val="nil"/>
              <w:bottom w:val="nil"/>
              <w:right w:val="nil"/>
            </w:tcBorders>
            <w:shd w:val="clear" w:color="000000" w:fill="D9D9D9"/>
            <w:noWrap/>
            <w:vAlign w:val="bottom"/>
            <w:hideMark/>
          </w:tcPr>
          <w:p w14:paraId="194E41E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102 (20.5%)</w:t>
            </w:r>
          </w:p>
        </w:tc>
        <w:tc>
          <w:tcPr>
            <w:tcW w:w="1060" w:type="dxa"/>
            <w:tcBorders>
              <w:top w:val="nil"/>
              <w:left w:val="nil"/>
              <w:bottom w:val="nil"/>
              <w:right w:val="nil"/>
            </w:tcBorders>
            <w:shd w:val="clear" w:color="000000" w:fill="D9D9D9"/>
            <w:noWrap/>
            <w:vAlign w:val="bottom"/>
            <w:hideMark/>
          </w:tcPr>
          <w:p w14:paraId="6A43803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197 (25.2%)</w:t>
            </w:r>
          </w:p>
        </w:tc>
        <w:tc>
          <w:tcPr>
            <w:tcW w:w="1291" w:type="dxa"/>
            <w:tcBorders>
              <w:top w:val="nil"/>
              <w:left w:val="nil"/>
              <w:bottom w:val="nil"/>
              <w:right w:val="nil"/>
            </w:tcBorders>
            <w:shd w:val="clear" w:color="000000" w:fill="D9D9D9"/>
            <w:noWrap/>
            <w:vAlign w:val="bottom"/>
            <w:hideMark/>
          </w:tcPr>
          <w:p w14:paraId="3A9A2EB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80 (32.7%)</w:t>
            </w:r>
          </w:p>
        </w:tc>
        <w:tc>
          <w:tcPr>
            <w:tcW w:w="1060" w:type="dxa"/>
            <w:tcBorders>
              <w:top w:val="nil"/>
              <w:left w:val="nil"/>
              <w:bottom w:val="nil"/>
              <w:right w:val="nil"/>
            </w:tcBorders>
            <w:shd w:val="clear" w:color="000000" w:fill="D9D9D9"/>
            <w:noWrap/>
            <w:vAlign w:val="bottom"/>
            <w:hideMark/>
          </w:tcPr>
          <w:p w14:paraId="47FE3A6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33 (24.8%)</w:t>
            </w:r>
          </w:p>
        </w:tc>
        <w:tc>
          <w:tcPr>
            <w:tcW w:w="1060" w:type="dxa"/>
            <w:tcBorders>
              <w:top w:val="nil"/>
              <w:left w:val="nil"/>
              <w:bottom w:val="nil"/>
              <w:right w:val="nil"/>
            </w:tcBorders>
            <w:shd w:val="clear" w:color="000000" w:fill="D9D9D9"/>
            <w:noWrap/>
            <w:vAlign w:val="bottom"/>
            <w:hideMark/>
          </w:tcPr>
          <w:p w14:paraId="7F13762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87 (22.9%)</w:t>
            </w:r>
          </w:p>
        </w:tc>
        <w:tc>
          <w:tcPr>
            <w:tcW w:w="1060" w:type="dxa"/>
            <w:tcBorders>
              <w:top w:val="nil"/>
              <w:left w:val="nil"/>
              <w:bottom w:val="nil"/>
              <w:right w:val="nil"/>
            </w:tcBorders>
            <w:shd w:val="clear" w:color="000000" w:fill="D9D9D9"/>
            <w:noWrap/>
            <w:vAlign w:val="bottom"/>
            <w:hideMark/>
          </w:tcPr>
          <w:p w14:paraId="28A8B63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403 (26.5%)</w:t>
            </w:r>
          </w:p>
        </w:tc>
        <w:tc>
          <w:tcPr>
            <w:tcW w:w="1060" w:type="dxa"/>
            <w:tcBorders>
              <w:top w:val="nil"/>
              <w:left w:val="nil"/>
              <w:bottom w:val="nil"/>
              <w:right w:val="nil"/>
            </w:tcBorders>
            <w:shd w:val="clear" w:color="000000" w:fill="D9D9D9"/>
            <w:noWrap/>
            <w:vAlign w:val="bottom"/>
            <w:hideMark/>
          </w:tcPr>
          <w:p w14:paraId="6B636C8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148 (32.3%)</w:t>
            </w:r>
          </w:p>
        </w:tc>
        <w:tc>
          <w:tcPr>
            <w:tcW w:w="1060" w:type="dxa"/>
            <w:tcBorders>
              <w:top w:val="nil"/>
              <w:left w:val="nil"/>
              <w:bottom w:val="nil"/>
              <w:right w:val="nil"/>
            </w:tcBorders>
            <w:shd w:val="clear" w:color="000000" w:fill="D9D9D9"/>
            <w:noWrap/>
            <w:vAlign w:val="bottom"/>
            <w:hideMark/>
          </w:tcPr>
          <w:p w14:paraId="6046EC8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74 (40%)</w:t>
            </w:r>
          </w:p>
        </w:tc>
      </w:tr>
      <w:tr w:rsidR="00E30D79" w:rsidRPr="00A23275" w14:paraId="62ECD954"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0CDC0CBA" w14:textId="77777777" w:rsidR="00E30D79" w:rsidRPr="00A23275" w:rsidRDefault="00E30D79" w:rsidP="00C26C4B">
            <w:pPr>
              <w:rPr>
                <w:rFonts w:ascii="Calibri" w:eastAsia="Times New Roman" w:hAnsi="Calibri"/>
                <w:b/>
                <w:bCs/>
                <w:color w:val="000000"/>
                <w:sz w:val="14"/>
                <w:szCs w:val="14"/>
              </w:rPr>
            </w:pPr>
            <w:r>
              <w:rPr>
                <w:rFonts w:ascii="Calibri" w:eastAsia="Times New Roman" w:hAnsi="Calibri"/>
                <w:b/>
                <w:bCs/>
                <w:color w:val="000000"/>
                <w:sz w:val="14"/>
                <w:szCs w:val="14"/>
              </w:rPr>
              <w:t>Diabetes mellitus</w:t>
            </w:r>
          </w:p>
        </w:tc>
        <w:tc>
          <w:tcPr>
            <w:tcW w:w="1060" w:type="dxa"/>
            <w:gridSpan w:val="2"/>
            <w:tcBorders>
              <w:top w:val="nil"/>
              <w:left w:val="nil"/>
              <w:bottom w:val="nil"/>
              <w:right w:val="nil"/>
            </w:tcBorders>
            <w:shd w:val="clear" w:color="auto" w:fill="auto"/>
            <w:noWrap/>
            <w:vAlign w:val="bottom"/>
            <w:hideMark/>
          </w:tcPr>
          <w:p w14:paraId="70E0E08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2607 (38.4%)</w:t>
            </w:r>
          </w:p>
        </w:tc>
        <w:tc>
          <w:tcPr>
            <w:tcW w:w="1060" w:type="dxa"/>
            <w:gridSpan w:val="3"/>
            <w:tcBorders>
              <w:top w:val="nil"/>
              <w:left w:val="nil"/>
              <w:bottom w:val="nil"/>
              <w:right w:val="nil"/>
            </w:tcBorders>
            <w:shd w:val="clear" w:color="auto" w:fill="auto"/>
            <w:noWrap/>
            <w:vAlign w:val="bottom"/>
            <w:hideMark/>
          </w:tcPr>
          <w:p w14:paraId="7E11CA1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199 (40%)</w:t>
            </w:r>
          </w:p>
        </w:tc>
        <w:tc>
          <w:tcPr>
            <w:tcW w:w="1060" w:type="dxa"/>
            <w:tcBorders>
              <w:top w:val="nil"/>
              <w:left w:val="nil"/>
              <w:bottom w:val="nil"/>
              <w:right w:val="nil"/>
            </w:tcBorders>
            <w:shd w:val="clear" w:color="auto" w:fill="auto"/>
            <w:noWrap/>
            <w:vAlign w:val="bottom"/>
            <w:hideMark/>
          </w:tcPr>
          <w:p w14:paraId="0B83DA8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339 (43.4%)</w:t>
            </w:r>
          </w:p>
        </w:tc>
        <w:tc>
          <w:tcPr>
            <w:tcW w:w="1291" w:type="dxa"/>
            <w:tcBorders>
              <w:top w:val="nil"/>
              <w:left w:val="nil"/>
              <w:bottom w:val="nil"/>
              <w:right w:val="nil"/>
            </w:tcBorders>
            <w:shd w:val="clear" w:color="auto" w:fill="auto"/>
            <w:noWrap/>
            <w:vAlign w:val="bottom"/>
            <w:hideMark/>
          </w:tcPr>
          <w:p w14:paraId="5C627F9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94 (38.4%)</w:t>
            </w:r>
          </w:p>
        </w:tc>
        <w:tc>
          <w:tcPr>
            <w:tcW w:w="1060" w:type="dxa"/>
            <w:tcBorders>
              <w:top w:val="nil"/>
              <w:left w:val="nil"/>
              <w:bottom w:val="nil"/>
              <w:right w:val="nil"/>
            </w:tcBorders>
            <w:shd w:val="clear" w:color="auto" w:fill="auto"/>
            <w:noWrap/>
            <w:vAlign w:val="bottom"/>
            <w:hideMark/>
          </w:tcPr>
          <w:p w14:paraId="49C4F5C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67 (50.4%)</w:t>
            </w:r>
          </w:p>
        </w:tc>
        <w:tc>
          <w:tcPr>
            <w:tcW w:w="1060" w:type="dxa"/>
            <w:tcBorders>
              <w:top w:val="nil"/>
              <w:left w:val="nil"/>
              <w:bottom w:val="nil"/>
              <w:right w:val="nil"/>
            </w:tcBorders>
            <w:shd w:val="clear" w:color="auto" w:fill="auto"/>
            <w:noWrap/>
            <w:vAlign w:val="bottom"/>
            <w:hideMark/>
          </w:tcPr>
          <w:p w14:paraId="2415C92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149 (39.2%)</w:t>
            </w:r>
          </w:p>
        </w:tc>
        <w:tc>
          <w:tcPr>
            <w:tcW w:w="1060" w:type="dxa"/>
            <w:tcBorders>
              <w:top w:val="nil"/>
              <w:left w:val="nil"/>
              <w:bottom w:val="nil"/>
              <w:right w:val="nil"/>
            </w:tcBorders>
            <w:shd w:val="clear" w:color="auto" w:fill="auto"/>
            <w:noWrap/>
            <w:vAlign w:val="bottom"/>
            <w:hideMark/>
          </w:tcPr>
          <w:p w14:paraId="72D2D2A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539 (35.4%)</w:t>
            </w:r>
          </w:p>
        </w:tc>
        <w:tc>
          <w:tcPr>
            <w:tcW w:w="1060" w:type="dxa"/>
            <w:tcBorders>
              <w:top w:val="nil"/>
              <w:left w:val="nil"/>
              <w:bottom w:val="nil"/>
              <w:right w:val="nil"/>
            </w:tcBorders>
            <w:shd w:val="clear" w:color="auto" w:fill="auto"/>
            <w:noWrap/>
            <w:vAlign w:val="bottom"/>
            <w:hideMark/>
          </w:tcPr>
          <w:p w14:paraId="1CE849A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177 (38.6%)</w:t>
            </w:r>
          </w:p>
        </w:tc>
        <w:tc>
          <w:tcPr>
            <w:tcW w:w="1060" w:type="dxa"/>
            <w:tcBorders>
              <w:top w:val="nil"/>
              <w:left w:val="nil"/>
              <w:bottom w:val="nil"/>
              <w:right w:val="nil"/>
            </w:tcBorders>
            <w:shd w:val="clear" w:color="auto" w:fill="auto"/>
            <w:noWrap/>
            <w:vAlign w:val="bottom"/>
            <w:hideMark/>
          </w:tcPr>
          <w:p w14:paraId="165F592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82 (44.3%)</w:t>
            </w:r>
          </w:p>
        </w:tc>
      </w:tr>
      <w:tr w:rsidR="00E30D79" w:rsidRPr="00A23275" w14:paraId="7C853E35"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335A5E62"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Hypertension</w:t>
            </w:r>
            <w:proofErr w:type="spellEnd"/>
          </w:p>
        </w:tc>
        <w:tc>
          <w:tcPr>
            <w:tcW w:w="1060" w:type="dxa"/>
            <w:gridSpan w:val="2"/>
            <w:tcBorders>
              <w:top w:val="nil"/>
              <w:left w:val="nil"/>
              <w:bottom w:val="nil"/>
              <w:right w:val="nil"/>
            </w:tcBorders>
            <w:shd w:val="clear" w:color="000000" w:fill="D9D9D9"/>
            <w:noWrap/>
            <w:vAlign w:val="bottom"/>
            <w:hideMark/>
          </w:tcPr>
          <w:p w14:paraId="2CE39A8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3708 (54.7%)</w:t>
            </w:r>
          </w:p>
        </w:tc>
        <w:tc>
          <w:tcPr>
            <w:tcW w:w="1060" w:type="dxa"/>
            <w:gridSpan w:val="3"/>
            <w:tcBorders>
              <w:top w:val="nil"/>
              <w:left w:val="nil"/>
              <w:bottom w:val="nil"/>
              <w:right w:val="nil"/>
            </w:tcBorders>
            <w:shd w:val="clear" w:color="000000" w:fill="D9D9D9"/>
            <w:noWrap/>
            <w:vAlign w:val="bottom"/>
            <w:hideMark/>
          </w:tcPr>
          <w:p w14:paraId="32AC57C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273 (54.8%)</w:t>
            </w:r>
          </w:p>
        </w:tc>
        <w:tc>
          <w:tcPr>
            <w:tcW w:w="1060" w:type="dxa"/>
            <w:tcBorders>
              <w:top w:val="nil"/>
              <w:left w:val="nil"/>
              <w:bottom w:val="nil"/>
              <w:right w:val="nil"/>
            </w:tcBorders>
            <w:shd w:val="clear" w:color="000000" w:fill="D9D9D9"/>
            <w:noWrap/>
            <w:vAlign w:val="bottom"/>
            <w:hideMark/>
          </w:tcPr>
          <w:p w14:paraId="18B1521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429 (54.9%)</w:t>
            </w:r>
          </w:p>
        </w:tc>
        <w:tc>
          <w:tcPr>
            <w:tcW w:w="1291" w:type="dxa"/>
            <w:tcBorders>
              <w:top w:val="nil"/>
              <w:left w:val="nil"/>
              <w:bottom w:val="nil"/>
              <w:right w:val="nil"/>
            </w:tcBorders>
            <w:shd w:val="clear" w:color="000000" w:fill="D9D9D9"/>
            <w:noWrap/>
            <w:vAlign w:val="bottom"/>
            <w:hideMark/>
          </w:tcPr>
          <w:p w14:paraId="65A7883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145 (59.2%)</w:t>
            </w:r>
          </w:p>
        </w:tc>
        <w:tc>
          <w:tcPr>
            <w:tcW w:w="1060" w:type="dxa"/>
            <w:tcBorders>
              <w:top w:val="nil"/>
              <w:left w:val="nil"/>
              <w:bottom w:val="nil"/>
              <w:right w:val="nil"/>
            </w:tcBorders>
            <w:shd w:val="clear" w:color="000000" w:fill="D9D9D9"/>
            <w:noWrap/>
            <w:vAlign w:val="bottom"/>
            <w:hideMark/>
          </w:tcPr>
          <w:p w14:paraId="6722490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80 (60.2%)</w:t>
            </w:r>
          </w:p>
        </w:tc>
        <w:tc>
          <w:tcPr>
            <w:tcW w:w="1060" w:type="dxa"/>
            <w:tcBorders>
              <w:top w:val="nil"/>
              <w:left w:val="nil"/>
              <w:bottom w:val="nil"/>
              <w:right w:val="nil"/>
            </w:tcBorders>
            <w:shd w:val="clear" w:color="000000" w:fill="D9D9D9"/>
            <w:noWrap/>
            <w:vAlign w:val="bottom"/>
            <w:hideMark/>
          </w:tcPr>
          <w:p w14:paraId="295771B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163 (42.9%)</w:t>
            </w:r>
          </w:p>
        </w:tc>
        <w:tc>
          <w:tcPr>
            <w:tcW w:w="1060" w:type="dxa"/>
            <w:tcBorders>
              <w:top w:val="nil"/>
              <w:left w:val="nil"/>
              <w:bottom w:val="nil"/>
              <w:right w:val="nil"/>
            </w:tcBorders>
            <w:shd w:val="clear" w:color="000000" w:fill="D9D9D9"/>
            <w:noWrap/>
            <w:vAlign w:val="bottom"/>
            <w:hideMark/>
          </w:tcPr>
          <w:p w14:paraId="1AB28F3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740 (48.6%)</w:t>
            </w:r>
          </w:p>
        </w:tc>
        <w:tc>
          <w:tcPr>
            <w:tcW w:w="1060" w:type="dxa"/>
            <w:tcBorders>
              <w:top w:val="nil"/>
              <w:left w:val="nil"/>
              <w:bottom w:val="nil"/>
              <w:right w:val="nil"/>
            </w:tcBorders>
            <w:shd w:val="clear" w:color="000000" w:fill="D9D9D9"/>
            <w:noWrap/>
            <w:vAlign w:val="bottom"/>
            <w:hideMark/>
          </w:tcPr>
          <w:p w14:paraId="4F2BFB2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239 (52.2%)</w:t>
            </w:r>
          </w:p>
        </w:tc>
        <w:tc>
          <w:tcPr>
            <w:tcW w:w="1060" w:type="dxa"/>
            <w:tcBorders>
              <w:top w:val="nil"/>
              <w:left w:val="nil"/>
              <w:bottom w:val="nil"/>
              <w:right w:val="nil"/>
            </w:tcBorders>
            <w:shd w:val="clear" w:color="000000" w:fill="D9D9D9"/>
            <w:noWrap/>
            <w:vAlign w:val="bottom"/>
            <w:hideMark/>
          </w:tcPr>
          <w:p w14:paraId="654E00E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112 (60.5%)</w:t>
            </w:r>
          </w:p>
        </w:tc>
      </w:tr>
      <w:tr w:rsidR="00E30D79" w:rsidRPr="00A23275" w14:paraId="28AE6A97"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1EB08279" w14:textId="77777777" w:rsidR="00E30D79" w:rsidRPr="00A23275" w:rsidRDefault="00E30D79" w:rsidP="00C26C4B">
            <w:pPr>
              <w:rPr>
                <w:rFonts w:ascii="Calibri" w:eastAsia="Times New Roman" w:hAnsi="Calibri"/>
                <w:b/>
                <w:bCs/>
                <w:color w:val="000000"/>
                <w:sz w:val="14"/>
                <w:szCs w:val="14"/>
                <w:lang w:val="en-US"/>
              </w:rPr>
            </w:pPr>
            <w:r w:rsidRPr="00A23275">
              <w:rPr>
                <w:rFonts w:ascii="Calibri" w:eastAsia="Times New Roman" w:hAnsi="Calibri"/>
                <w:b/>
                <w:bCs/>
                <w:color w:val="000000"/>
                <w:sz w:val="14"/>
                <w:szCs w:val="14"/>
                <w:lang w:val="en-US"/>
              </w:rPr>
              <w:t>Body mass index (kg/m^2)</w:t>
            </w:r>
          </w:p>
        </w:tc>
        <w:tc>
          <w:tcPr>
            <w:tcW w:w="1060" w:type="dxa"/>
            <w:gridSpan w:val="2"/>
            <w:tcBorders>
              <w:top w:val="nil"/>
              <w:left w:val="nil"/>
              <w:bottom w:val="nil"/>
              <w:right w:val="nil"/>
            </w:tcBorders>
            <w:shd w:val="clear" w:color="auto" w:fill="auto"/>
            <w:noWrap/>
            <w:vAlign w:val="bottom"/>
            <w:hideMark/>
          </w:tcPr>
          <w:p w14:paraId="748A225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25.9 (5.4)</w:t>
            </w:r>
          </w:p>
        </w:tc>
        <w:tc>
          <w:tcPr>
            <w:tcW w:w="1060" w:type="dxa"/>
            <w:gridSpan w:val="3"/>
            <w:tcBorders>
              <w:top w:val="nil"/>
              <w:left w:val="nil"/>
              <w:bottom w:val="nil"/>
              <w:right w:val="nil"/>
            </w:tcBorders>
            <w:shd w:val="clear" w:color="auto" w:fill="auto"/>
            <w:noWrap/>
            <w:vAlign w:val="bottom"/>
            <w:hideMark/>
          </w:tcPr>
          <w:p w14:paraId="7253466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24.3 (4.73)</w:t>
            </w:r>
          </w:p>
        </w:tc>
        <w:tc>
          <w:tcPr>
            <w:tcW w:w="1060" w:type="dxa"/>
            <w:tcBorders>
              <w:top w:val="nil"/>
              <w:left w:val="nil"/>
              <w:bottom w:val="nil"/>
              <w:right w:val="nil"/>
            </w:tcBorders>
            <w:shd w:val="clear" w:color="auto" w:fill="auto"/>
            <w:noWrap/>
            <w:vAlign w:val="bottom"/>
            <w:hideMark/>
          </w:tcPr>
          <w:p w14:paraId="7FC0DA9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24.6 (4.96)</w:t>
            </w:r>
          </w:p>
        </w:tc>
        <w:tc>
          <w:tcPr>
            <w:tcW w:w="1291" w:type="dxa"/>
            <w:tcBorders>
              <w:top w:val="nil"/>
              <w:left w:val="nil"/>
              <w:bottom w:val="nil"/>
              <w:right w:val="nil"/>
            </w:tcBorders>
            <w:shd w:val="clear" w:color="auto" w:fill="auto"/>
            <w:noWrap/>
            <w:vAlign w:val="bottom"/>
            <w:hideMark/>
          </w:tcPr>
          <w:p w14:paraId="248FF3A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25.8 (5.33)</w:t>
            </w:r>
          </w:p>
        </w:tc>
        <w:tc>
          <w:tcPr>
            <w:tcW w:w="1060" w:type="dxa"/>
            <w:tcBorders>
              <w:top w:val="nil"/>
              <w:left w:val="nil"/>
              <w:bottom w:val="nil"/>
              <w:right w:val="nil"/>
            </w:tcBorders>
            <w:shd w:val="clear" w:color="auto" w:fill="auto"/>
            <w:noWrap/>
            <w:vAlign w:val="bottom"/>
            <w:hideMark/>
          </w:tcPr>
          <w:p w14:paraId="4184460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25.2 (4.97)</w:t>
            </w:r>
          </w:p>
        </w:tc>
        <w:tc>
          <w:tcPr>
            <w:tcW w:w="1060" w:type="dxa"/>
            <w:tcBorders>
              <w:top w:val="nil"/>
              <w:left w:val="nil"/>
              <w:bottom w:val="nil"/>
              <w:right w:val="nil"/>
            </w:tcBorders>
            <w:shd w:val="clear" w:color="auto" w:fill="auto"/>
            <w:noWrap/>
            <w:vAlign w:val="bottom"/>
            <w:hideMark/>
          </w:tcPr>
          <w:p w14:paraId="0A7F895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24.5 (4.92)</w:t>
            </w:r>
          </w:p>
        </w:tc>
        <w:tc>
          <w:tcPr>
            <w:tcW w:w="1060" w:type="dxa"/>
            <w:tcBorders>
              <w:top w:val="nil"/>
              <w:left w:val="nil"/>
              <w:bottom w:val="nil"/>
              <w:right w:val="nil"/>
            </w:tcBorders>
            <w:shd w:val="clear" w:color="auto" w:fill="auto"/>
            <w:noWrap/>
            <w:vAlign w:val="bottom"/>
            <w:hideMark/>
          </w:tcPr>
          <w:p w14:paraId="59C549D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25.3 (5.02)</w:t>
            </w:r>
          </w:p>
        </w:tc>
        <w:tc>
          <w:tcPr>
            <w:tcW w:w="1060" w:type="dxa"/>
            <w:tcBorders>
              <w:top w:val="nil"/>
              <w:left w:val="nil"/>
              <w:bottom w:val="nil"/>
              <w:right w:val="nil"/>
            </w:tcBorders>
            <w:shd w:val="clear" w:color="auto" w:fill="auto"/>
            <w:noWrap/>
            <w:vAlign w:val="bottom"/>
            <w:hideMark/>
          </w:tcPr>
          <w:p w14:paraId="00AE988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25.9 (4.91)</w:t>
            </w:r>
          </w:p>
        </w:tc>
        <w:tc>
          <w:tcPr>
            <w:tcW w:w="1060" w:type="dxa"/>
            <w:tcBorders>
              <w:top w:val="nil"/>
              <w:left w:val="nil"/>
              <w:bottom w:val="nil"/>
              <w:right w:val="nil"/>
            </w:tcBorders>
            <w:shd w:val="clear" w:color="auto" w:fill="auto"/>
            <w:noWrap/>
            <w:vAlign w:val="bottom"/>
            <w:hideMark/>
          </w:tcPr>
          <w:p w14:paraId="451DF0D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26.4 (5.34)</w:t>
            </w:r>
          </w:p>
        </w:tc>
      </w:tr>
      <w:tr w:rsidR="00E30D79" w:rsidRPr="00A23275" w14:paraId="1353AE6C"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463BDE0C" w14:textId="77777777" w:rsidR="00E30D79" w:rsidRPr="003B1EE6" w:rsidRDefault="00E30D79" w:rsidP="00C26C4B">
            <w:pPr>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Heart</w:t>
            </w:r>
            <w:proofErr w:type="spellEnd"/>
            <w:r w:rsidRPr="003B1EE6">
              <w:rPr>
                <w:rFonts w:ascii="Calibri" w:eastAsia="Times New Roman" w:hAnsi="Calibri" w:cs="Calibri"/>
                <w:b/>
                <w:bCs/>
                <w:color w:val="000000"/>
                <w:sz w:val="14"/>
                <w:szCs w:val="14"/>
              </w:rPr>
              <w:t xml:space="preserve"> </w:t>
            </w:r>
            <w:proofErr w:type="spellStart"/>
            <w:r w:rsidRPr="003B1EE6">
              <w:rPr>
                <w:rFonts w:ascii="Calibri" w:eastAsia="Times New Roman" w:hAnsi="Calibri" w:cs="Calibri"/>
                <w:b/>
                <w:bCs/>
                <w:color w:val="000000"/>
                <w:sz w:val="14"/>
                <w:szCs w:val="14"/>
              </w:rPr>
              <w:t>rate</w:t>
            </w:r>
            <w:proofErr w:type="spellEnd"/>
            <w:r w:rsidRPr="003B1EE6">
              <w:rPr>
                <w:rFonts w:ascii="Calibri" w:eastAsia="Times New Roman" w:hAnsi="Calibri" w:cs="Calibri"/>
                <w:b/>
                <w:bCs/>
                <w:color w:val="000000"/>
                <w:sz w:val="14"/>
                <w:szCs w:val="14"/>
              </w:rPr>
              <w:t xml:space="preserve"> (beats/min)</w:t>
            </w:r>
          </w:p>
        </w:tc>
        <w:tc>
          <w:tcPr>
            <w:tcW w:w="1060" w:type="dxa"/>
            <w:gridSpan w:val="2"/>
            <w:tcBorders>
              <w:top w:val="nil"/>
              <w:left w:val="nil"/>
              <w:bottom w:val="nil"/>
              <w:right w:val="nil"/>
            </w:tcBorders>
            <w:shd w:val="clear" w:color="000000" w:fill="D9D9D9"/>
            <w:noWrap/>
            <w:vAlign w:val="bottom"/>
            <w:hideMark/>
          </w:tcPr>
          <w:p w14:paraId="01C25F3C"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79.6 (17.26)</w:t>
            </w:r>
          </w:p>
        </w:tc>
        <w:tc>
          <w:tcPr>
            <w:tcW w:w="1060" w:type="dxa"/>
            <w:gridSpan w:val="3"/>
            <w:tcBorders>
              <w:top w:val="nil"/>
              <w:left w:val="nil"/>
              <w:bottom w:val="nil"/>
              <w:right w:val="nil"/>
            </w:tcBorders>
            <w:shd w:val="clear" w:color="000000" w:fill="D9D9D9"/>
            <w:noWrap/>
            <w:vAlign w:val="bottom"/>
            <w:hideMark/>
          </w:tcPr>
          <w:p w14:paraId="18CC315A"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82.8 (18.17)</w:t>
            </w:r>
          </w:p>
        </w:tc>
        <w:tc>
          <w:tcPr>
            <w:tcW w:w="1060" w:type="dxa"/>
            <w:tcBorders>
              <w:top w:val="nil"/>
              <w:left w:val="nil"/>
              <w:bottom w:val="nil"/>
              <w:right w:val="nil"/>
            </w:tcBorders>
            <w:shd w:val="clear" w:color="000000" w:fill="D9D9D9"/>
            <w:noWrap/>
            <w:vAlign w:val="bottom"/>
            <w:hideMark/>
          </w:tcPr>
          <w:p w14:paraId="6C8E1825"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78.5 (16.72)</w:t>
            </w:r>
          </w:p>
        </w:tc>
        <w:tc>
          <w:tcPr>
            <w:tcW w:w="1291" w:type="dxa"/>
            <w:tcBorders>
              <w:top w:val="nil"/>
              <w:left w:val="nil"/>
              <w:bottom w:val="nil"/>
              <w:right w:val="nil"/>
            </w:tcBorders>
            <w:shd w:val="clear" w:color="000000" w:fill="D9D9D9"/>
            <w:noWrap/>
            <w:vAlign w:val="bottom"/>
            <w:hideMark/>
          </w:tcPr>
          <w:p w14:paraId="22413B1B"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78.3 (16.01)</w:t>
            </w:r>
          </w:p>
        </w:tc>
        <w:tc>
          <w:tcPr>
            <w:tcW w:w="1060" w:type="dxa"/>
            <w:tcBorders>
              <w:top w:val="nil"/>
              <w:left w:val="nil"/>
              <w:bottom w:val="nil"/>
              <w:right w:val="nil"/>
            </w:tcBorders>
            <w:shd w:val="clear" w:color="000000" w:fill="D9D9D9"/>
            <w:noWrap/>
            <w:vAlign w:val="bottom"/>
            <w:hideMark/>
          </w:tcPr>
          <w:p w14:paraId="3B85316F"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80 (17.28)</w:t>
            </w:r>
          </w:p>
        </w:tc>
        <w:tc>
          <w:tcPr>
            <w:tcW w:w="1060" w:type="dxa"/>
            <w:tcBorders>
              <w:top w:val="nil"/>
              <w:left w:val="nil"/>
              <w:bottom w:val="nil"/>
              <w:right w:val="nil"/>
            </w:tcBorders>
            <w:shd w:val="clear" w:color="000000" w:fill="D9D9D9"/>
            <w:noWrap/>
            <w:vAlign w:val="bottom"/>
            <w:hideMark/>
          </w:tcPr>
          <w:p w14:paraId="7FC632C2"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82 (18.46)</w:t>
            </w:r>
          </w:p>
        </w:tc>
        <w:tc>
          <w:tcPr>
            <w:tcW w:w="1060" w:type="dxa"/>
            <w:tcBorders>
              <w:top w:val="nil"/>
              <w:left w:val="nil"/>
              <w:bottom w:val="nil"/>
              <w:right w:val="nil"/>
            </w:tcBorders>
            <w:shd w:val="clear" w:color="000000" w:fill="D9D9D9"/>
            <w:noWrap/>
            <w:vAlign w:val="bottom"/>
            <w:hideMark/>
          </w:tcPr>
          <w:p w14:paraId="71962898"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78.5 (16.51)</w:t>
            </w:r>
          </w:p>
        </w:tc>
        <w:tc>
          <w:tcPr>
            <w:tcW w:w="1060" w:type="dxa"/>
            <w:tcBorders>
              <w:top w:val="nil"/>
              <w:left w:val="nil"/>
              <w:bottom w:val="nil"/>
              <w:right w:val="nil"/>
            </w:tcBorders>
            <w:shd w:val="clear" w:color="000000" w:fill="D9D9D9"/>
            <w:noWrap/>
            <w:vAlign w:val="bottom"/>
            <w:hideMark/>
          </w:tcPr>
          <w:p w14:paraId="28A0539E"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78.8 (15.9)</w:t>
            </w:r>
          </w:p>
        </w:tc>
        <w:tc>
          <w:tcPr>
            <w:tcW w:w="1060" w:type="dxa"/>
            <w:tcBorders>
              <w:top w:val="nil"/>
              <w:left w:val="nil"/>
              <w:bottom w:val="nil"/>
              <w:right w:val="nil"/>
            </w:tcBorders>
            <w:shd w:val="clear" w:color="000000" w:fill="D9D9D9"/>
            <w:noWrap/>
            <w:vAlign w:val="bottom"/>
            <w:hideMark/>
          </w:tcPr>
          <w:p w14:paraId="29B4ACBE"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80.9 (18.27)</w:t>
            </w:r>
          </w:p>
        </w:tc>
      </w:tr>
      <w:tr w:rsidR="00E30D79" w:rsidRPr="00A23275" w14:paraId="557B4921"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0C571DF5" w14:textId="77777777" w:rsidR="00E30D79" w:rsidRPr="003B1EE6" w:rsidRDefault="00E30D79" w:rsidP="00C26C4B">
            <w:pPr>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Systolic</w:t>
            </w:r>
            <w:proofErr w:type="spellEnd"/>
            <w:r w:rsidRPr="003B1EE6">
              <w:rPr>
                <w:rFonts w:ascii="Calibri" w:eastAsia="Times New Roman" w:hAnsi="Calibri" w:cs="Calibri"/>
                <w:b/>
                <w:bCs/>
                <w:color w:val="000000"/>
                <w:sz w:val="14"/>
                <w:szCs w:val="14"/>
              </w:rPr>
              <w:t xml:space="preserve"> </w:t>
            </w:r>
            <w:proofErr w:type="spellStart"/>
            <w:r w:rsidRPr="003B1EE6">
              <w:rPr>
                <w:rFonts w:ascii="Calibri" w:eastAsia="Times New Roman" w:hAnsi="Calibri" w:cs="Calibri"/>
                <w:b/>
                <w:bCs/>
                <w:color w:val="000000"/>
                <w:sz w:val="14"/>
                <w:szCs w:val="14"/>
              </w:rPr>
              <w:t>blood</w:t>
            </w:r>
            <w:proofErr w:type="spellEnd"/>
            <w:r w:rsidRPr="003B1EE6">
              <w:rPr>
                <w:rFonts w:ascii="Calibri" w:eastAsia="Times New Roman" w:hAnsi="Calibri" w:cs="Calibri"/>
                <w:b/>
                <w:bCs/>
                <w:color w:val="000000"/>
                <w:sz w:val="14"/>
                <w:szCs w:val="14"/>
              </w:rPr>
              <w:t xml:space="preserve"> </w:t>
            </w:r>
            <w:proofErr w:type="spellStart"/>
            <w:r w:rsidRPr="003B1EE6">
              <w:rPr>
                <w:rFonts w:ascii="Calibri" w:eastAsia="Times New Roman" w:hAnsi="Calibri" w:cs="Calibri"/>
                <w:b/>
                <w:bCs/>
                <w:color w:val="000000"/>
                <w:sz w:val="14"/>
                <w:szCs w:val="14"/>
              </w:rPr>
              <w:t>pressure</w:t>
            </w:r>
            <w:proofErr w:type="spellEnd"/>
            <w:r w:rsidRPr="003B1EE6">
              <w:rPr>
                <w:rFonts w:ascii="Calibri" w:eastAsia="Times New Roman" w:hAnsi="Calibri" w:cs="Calibri"/>
                <w:b/>
                <w:bCs/>
                <w:color w:val="000000"/>
                <w:sz w:val="14"/>
                <w:szCs w:val="14"/>
              </w:rPr>
              <w:t xml:space="preserve"> (mmHg)</w:t>
            </w:r>
          </w:p>
        </w:tc>
        <w:tc>
          <w:tcPr>
            <w:tcW w:w="1060" w:type="dxa"/>
            <w:gridSpan w:val="2"/>
            <w:tcBorders>
              <w:top w:val="nil"/>
              <w:left w:val="nil"/>
              <w:bottom w:val="nil"/>
              <w:right w:val="nil"/>
            </w:tcBorders>
            <w:shd w:val="clear" w:color="auto" w:fill="auto"/>
            <w:noWrap/>
            <w:vAlign w:val="bottom"/>
            <w:hideMark/>
          </w:tcPr>
          <w:p w14:paraId="052506B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120 (20.58)</w:t>
            </w:r>
          </w:p>
        </w:tc>
        <w:tc>
          <w:tcPr>
            <w:tcW w:w="1060" w:type="dxa"/>
            <w:gridSpan w:val="3"/>
            <w:tcBorders>
              <w:top w:val="nil"/>
              <w:left w:val="nil"/>
              <w:bottom w:val="nil"/>
              <w:right w:val="nil"/>
            </w:tcBorders>
            <w:shd w:val="clear" w:color="auto" w:fill="auto"/>
            <w:noWrap/>
            <w:vAlign w:val="bottom"/>
            <w:hideMark/>
          </w:tcPr>
          <w:p w14:paraId="7880461E"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118.1 (21.1)</w:t>
            </w:r>
          </w:p>
        </w:tc>
        <w:tc>
          <w:tcPr>
            <w:tcW w:w="1060" w:type="dxa"/>
            <w:tcBorders>
              <w:top w:val="nil"/>
              <w:left w:val="nil"/>
              <w:bottom w:val="nil"/>
              <w:right w:val="nil"/>
            </w:tcBorders>
            <w:shd w:val="clear" w:color="auto" w:fill="auto"/>
            <w:noWrap/>
            <w:vAlign w:val="bottom"/>
            <w:hideMark/>
          </w:tcPr>
          <w:p w14:paraId="6C0ED559"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116.4 (18.45)</w:t>
            </w:r>
          </w:p>
        </w:tc>
        <w:tc>
          <w:tcPr>
            <w:tcW w:w="1291" w:type="dxa"/>
            <w:tcBorders>
              <w:top w:val="nil"/>
              <w:left w:val="nil"/>
              <w:bottom w:val="nil"/>
              <w:right w:val="nil"/>
            </w:tcBorders>
            <w:shd w:val="clear" w:color="auto" w:fill="auto"/>
            <w:noWrap/>
            <w:vAlign w:val="bottom"/>
            <w:hideMark/>
          </w:tcPr>
          <w:p w14:paraId="101B9944"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120.9 (21.3)</w:t>
            </w:r>
          </w:p>
        </w:tc>
        <w:tc>
          <w:tcPr>
            <w:tcW w:w="1060" w:type="dxa"/>
            <w:tcBorders>
              <w:top w:val="nil"/>
              <w:left w:val="nil"/>
              <w:bottom w:val="nil"/>
              <w:right w:val="nil"/>
            </w:tcBorders>
            <w:shd w:val="clear" w:color="auto" w:fill="auto"/>
            <w:noWrap/>
            <w:vAlign w:val="bottom"/>
            <w:hideMark/>
          </w:tcPr>
          <w:p w14:paraId="0DD388C4"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121.4 (21.38)</w:t>
            </w:r>
          </w:p>
        </w:tc>
        <w:tc>
          <w:tcPr>
            <w:tcW w:w="1060" w:type="dxa"/>
            <w:tcBorders>
              <w:top w:val="nil"/>
              <w:left w:val="nil"/>
              <w:bottom w:val="nil"/>
              <w:right w:val="nil"/>
            </w:tcBorders>
            <w:shd w:val="clear" w:color="auto" w:fill="auto"/>
            <w:noWrap/>
            <w:vAlign w:val="bottom"/>
            <w:hideMark/>
          </w:tcPr>
          <w:p w14:paraId="0732907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115.4 (19.46)</w:t>
            </w:r>
          </w:p>
        </w:tc>
        <w:tc>
          <w:tcPr>
            <w:tcW w:w="1060" w:type="dxa"/>
            <w:tcBorders>
              <w:top w:val="nil"/>
              <w:left w:val="nil"/>
              <w:bottom w:val="nil"/>
              <w:right w:val="nil"/>
            </w:tcBorders>
            <w:shd w:val="clear" w:color="auto" w:fill="auto"/>
            <w:noWrap/>
            <w:vAlign w:val="bottom"/>
            <w:hideMark/>
          </w:tcPr>
          <w:p w14:paraId="39DDB140"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115.8 (18.71)</w:t>
            </w:r>
          </w:p>
        </w:tc>
        <w:tc>
          <w:tcPr>
            <w:tcW w:w="1060" w:type="dxa"/>
            <w:tcBorders>
              <w:top w:val="nil"/>
              <w:left w:val="nil"/>
              <w:bottom w:val="nil"/>
              <w:right w:val="nil"/>
            </w:tcBorders>
            <w:shd w:val="clear" w:color="auto" w:fill="auto"/>
            <w:noWrap/>
            <w:vAlign w:val="bottom"/>
            <w:hideMark/>
          </w:tcPr>
          <w:p w14:paraId="08E5B3A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118.3 (20.28)</w:t>
            </w:r>
          </w:p>
        </w:tc>
        <w:tc>
          <w:tcPr>
            <w:tcW w:w="1060" w:type="dxa"/>
            <w:tcBorders>
              <w:top w:val="nil"/>
              <w:left w:val="nil"/>
              <w:bottom w:val="nil"/>
              <w:right w:val="nil"/>
            </w:tcBorders>
            <w:shd w:val="clear" w:color="auto" w:fill="auto"/>
            <w:noWrap/>
            <w:vAlign w:val="bottom"/>
            <w:hideMark/>
          </w:tcPr>
          <w:p w14:paraId="6F2ABC00"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119.8 (19.2)</w:t>
            </w:r>
          </w:p>
        </w:tc>
      </w:tr>
      <w:tr w:rsidR="00E30D79" w:rsidRPr="00A23275" w14:paraId="6863ED5F"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000000" w:fill="D9D9D9"/>
            <w:noWrap/>
            <w:vAlign w:val="bottom"/>
            <w:hideMark/>
          </w:tcPr>
          <w:p w14:paraId="75B15E03" w14:textId="77777777" w:rsidR="00E30D79" w:rsidRPr="003B1EE6" w:rsidRDefault="00E30D79" w:rsidP="00C26C4B">
            <w:pPr>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Diastolic</w:t>
            </w:r>
            <w:proofErr w:type="spellEnd"/>
            <w:r w:rsidRPr="003B1EE6">
              <w:rPr>
                <w:rFonts w:ascii="Calibri" w:eastAsia="Times New Roman" w:hAnsi="Calibri" w:cs="Calibri"/>
                <w:b/>
                <w:bCs/>
                <w:color w:val="000000"/>
                <w:sz w:val="14"/>
                <w:szCs w:val="14"/>
              </w:rPr>
              <w:t xml:space="preserve"> </w:t>
            </w:r>
            <w:proofErr w:type="spellStart"/>
            <w:r w:rsidRPr="003B1EE6">
              <w:rPr>
                <w:rFonts w:ascii="Calibri" w:eastAsia="Times New Roman" w:hAnsi="Calibri" w:cs="Calibri"/>
                <w:b/>
                <w:bCs/>
                <w:color w:val="000000"/>
                <w:sz w:val="14"/>
                <w:szCs w:val="14"/>
              </w:rPr>
              <w:t>blood</w:t>
            </w:r>
            <w:proofErr w:type="spellEnd"/>
            <w:r w:rsidRPr="003B1EE6">
              <w:rPr>
                <w:rFonts w:ascii="Calibri" w:eastAsia="Times New Roman" w:hAnsi="Calibri" w:cs="Calibri"/>
                <w:b/>
                <w:bCs/>
                <w:color w:val="000000"/>
                <w:sz w:val="14"/>
                <w:szCs w:val="14"/>
              </w:rPr>
              <w:t xml:space="preserve"> </w:t>
            </w:r>
            <w:proofErr w:type="spellStart"/>
            <w:r w:rsidRPr="003B1EE6">
              <w:rPr>
                <w:rFonts w:ascii="Calibri" w:eastAsia="Times New Roman" w:hAnsi="Calibri" w:cs="Calibri"/>
                <w:b/>
                <w:bCs/>
                <w:color w:val="000000"/>
                <w:sz w:val="14"/>
                <w:szCs w:val="14"/>
              </w:rPr>
              <w:t>pressure</w:t>
            </w:r>
            <w:proofErr w:type="spellEnd"/>
            <w:r w:rsidRPr="003B1EE6">
              <w:rPr>
                <w:rFonts w:ascii="Calibri" w:eastAsia="Times New Roman" w:hAnsi="Calibri" w:cs="Calibri"/>
                <w:b/>
                <w:bCs/>
                <w:color w:val="000000"/>
                <w:sz w:val="14"/>
                <w:szCs w:val="14"/>
              </w:rPr>
              <w:t xml:space="preserve"> (mmHg)</w:t>
            </w:r>
          </w:p>
        </w:tc>
        <w:tc>
          <w:tcPr>
            <w:tcW w:w="1060" w:type="dxa"/>
            <w:gridSpan w:val="2"/>
            <w:tcBorders>
              <w:top w:val="nil"/>
              <w:left w:val="nil"/>
              <w:bottom w:val="nil"/>
              <w:right w:val="nil"/>
            </w:tcBorders>
            <w:shd w:val="clear" w:color="000000" w:fill="D9D9D9"/>
            <w:noWrap/>
            <w:vAlign w:val="bottom"/>
            <w:hideMark/>
          </w:tcPr>
          <w:p w14:paraId="30708FE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73.1 (12.74)</w:t>
            </w:r>
          </w:p>
        </w:tc>
        <w:tc>
          <w:tcPr>
            <w:tcW w:w="1060" w:type="dxa"/>
            <w:gridSpan w:val="3"/>
            <w:tcBorders>
              <w:top w:val="nil"/>
              <w:left w:val="nil"/>
              <w:bottom w:val="nil"/>
              <w:right w:val="nil"/>
            </w:tcBorders>
            <w:shd w:val="clear" w:color="000000" w:fill="D9D9D9"/>
            <w:noWrap/>
            <w:vAlign w:val="bottom"/>
            <w:hideMark/>
          </w:tcPr>
          <w:p w14:paraId="694E543B"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72.5 (12.72)</w:t>
            </w:r>
          </w:p>
        </w:tc>
        <w:tc>
          <w:tcPr>
            <w:tcW w:w="1060" w:type="dxa"/>
            <w:tcBorders>
              <w:top w:val="nil"/>
              <w:left w:val="nil"/>
              <w:bottom w:val="nil"/>
              <w:right w:val="nil"/>
            </w:tcBorders>
            <w:shd w:val="clear" w:color="000000" w:fill="D9D9D9"/>
            <w:noWrap/>
            <w:vAlign w:val="bottom"/>
            <w:hideMark/>
          </w:tcPr>
          <w:p w14:paraId="7D02532A"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70.5 (11.7)</w:t>
            </w:r>
          </w:p>
        </w:tc>
        <w:tc>
          <w:tcPr>
            <w:tcW w:w="1291" w:type="dxa"/>
            <w:tcBorders>
              <w:top w:val="nil"/>
              <w:left w:val="nil"/>
              <w:bottom w:val="nil"/>
              <w:right w:val="nil"/>
            </w:tcBorders>
            <w:shd w:val="clear" w:color="000000" w:fill="D9D9D9"/>
            <w:noWrap/>
            <w:vAlign w:val="bottom"/>
            <w:hideMark/>
          </w:tcPr>
          <w:p w14:paraId="5D3D7C80"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73.3 (12.15)</w:t>
            </w:r>
          </w:p>
        </w:tc>
        <w:tc>
          <w:tcPr>
            <w:tcW w:w="1060" w:type="dxa"/>
            <w:tcBorders>
              <w:top w:val="nil"/>
              <w:left w:val="nil"/>
              <w:bottom w:val="nil"/>
              <w:right w:val="nil"/>
            </w:tcBorders>
            <w:shd w:val="clear" w:color="000000" w:fill="D9D9D9"/>
            <w:noWrap/>
            <w:vAlign w:val="bottom"/>
            <w:hideMark/>
          </w:tcPr>
          <w:p w14:paraId="1ADE1949"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73.8 (13.44)</w:t>
            </w:r>
          </w:p>
        </w:tc>
        <w:tc>
          <w:tcPr>
            <w:tcW w:w="1060" w:type="dxa"/>
            <w:tcBorders>
              <w:top w:val="nil"/>
              <w:left w:val="nil"/>
              <w:bottom w:val="nil"/>
              <w:right w:val="nil"/>
            </w:tcBorders>
            <w:shd w:val="clear" w:color="000000" w:fill="D9D9D9"/>
            <w:noWrap/>
            <w:vAlign w:val="bottom"/>
            <w:hideMark/>
          </w:tcPr>
          <w:p w14:paraId="557CD6BE"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70.2 (12.01)</w:t>
            </w:r>
          </w:p>
        </w:tc>
        <w:tc>
          <w:tcPr>
            <w:tcW w:w="1060" w:type="dxa"/>
            <w:tcBorders>
              <w:top w:val="nil"/>
              <w:left w:val="nil"/>
              <w:bottom w:val="nil"/>
              <w:right w:val="nil"/>
            </w:tcBorders>
            <w:shd w:val="clear" w:color="000000" w:fill="D9D9D9"/>
            <w:noWrap/>
            <w:vAlign w:val="bottom"/>
            <w:hideMark/>
          </w:tcPr>
          <w:p w14:paraId="31470CF8"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70.5 (11.95)</w:t>
            </w:r>
          </w:p>
        </w:tc>
        <w:tc>
          <w:tcPr>
            <w:tcW w:w="1060" w:type="dxa"/>
            <w:tcBorders>
              <w:top w:val="nil"/>
              <w:left w:val="nil"/>
              <w:bottom w:val="nil"/>
              <w:right w:val="nil"/>
            </w:tcBorders>
            <w:shd w:val="clear" w:color="000000" w:fill="D9D9D9"/>
            <w:noWrap/>
            <w:vAlign w:val="bottom"/>
            <w:hideMark/>
          </w:tcPr>
          <w:p w14:paraId="0DC946AF"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72.6 (12.78)</w:t>
            </w:r>
          </w:p>
        </w:tc>
        <w:tc>
          <w:tcPr>
            <w:tcW w:w="1060" w:type="dxa"/>
            <w:tcBorders>
              <w:top w:val="nil"/>
              <w:left w:val="nil"/>
              <w:bottom w:val="nil"/>
              <w:right w:val="nil"/>
            </w:tcBorders>
            <w:shd w:val="clear" w:color="000000" w:fill="D9D9D9"/>
            <w:noWrap/>
            <w:vAlign w:val="bottom"/>
            <w:hideMark/>
          </w:tcPr>
          <w:p w14:paraId="7DA97113"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71.7 (12.83)</w:t>
            </w:r>
          </w:p>
        </w:tc>
      </w:tr>
      <w:tr w:rsidR="00E30D79" w:rsidRPr="00A23275" w14:paraId="32577607" w14:textId="77777777" w:rsidTr="00C26C4B">
        <w:trPr>
          <w:gridAfter w:val="4"/>
          <w:wAfter w:w="499" w:type="dxa"/>
          <w:trHeight w:val="200"/>
        </w:trPr>
        <w:tc>
          <w:tcPr>
            <w:tcW w:w="2328" w:type="dxa"/>
            <w:gridSpan w:val="3"/>
            <w:tcBorders>
              <w:top w:val="nil"/>
              <w:left w:val="single" w:sz="4" w:space="0" w:color="auto"/>
              <w:bottom w:val="nil"/>
              <w:right w:val="single" w:sz="4" w:space="0" w:color="auto"/>
            </w:tcBorders>
            <w:shd w:val="clear" w:color="auto" w:fill="auto"/>
            <w:noWrap/>
            <w:vAlign w:val="bottom"/>
            <w:hideMark/>
          </w:tcPr>
          <w:p w14:paraId="5C963EEF" w14:textId="77777777" w:rsidR="00E30D79" w:rsidRPr="003B1EE6" w:rsidRDefault="00E30D79" w:rsidP="00C26C4B">
            <w:pPr>
              <w:rPr>
                <w:rFonts w:ascii="Calibri" w:eastAsia="Times New Roman" w:hAnsi="Calibri" w:cs="Calibri"/>
                <w:b/>
                <w:bCs/>
                <w:color w:val="000000"/>
                <w:sz w:val="14"/>
                <w:szCs w:val="14"/>
              </w:rPr>
            </w:pPr>
            <w:r w:rsidRPr="003B1EE6">
              <w:rPr>
                <w:rFonts w:ascii="Calibri" w:eastAsia="Times New Roman" w:hAnsi="Calibri" w:cs="Calibri"/>
                <w:b/>
                <w:bCs/>
                <w:color w:val="000000"/>
                <w:sz w:val="14"/>
                <w:szCs w:val="14"/>
              </w:rPr>
              <w:t>LVEF (%)</w:t>
            </w:r>
          </w:p>
        </w:tc>
        <w:tc>
          <w:tcPr>
            <w:tcW w:w="1060" w:type="dxa"/>
            <w:gridSpan w:val="2"/>
            <w:tcBorders>
              <w:top w:val="nil"/>
              <w:left w:val="nil"/>
              <w:bottom w:val="nil"/>
              <w:right w:val="nil"/>
            </w:tcBorders>
            <w:shd w:val="clear" w:color="auto" w:fill="auto"/>
            <w:noWrap/>
            <w:vAlign w:val="bottom"/>
            <w:hideMark/>
          </w:tcPr>
          <w:p w14:paraId="0AF94679"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27.7 (7.21)</w:t>
            </w:r>
          </w:p>
        </w:tc>
        <w:tc>
          <w:tcPr>
            <w:tcW w:w="1060" w:type="dxa"/>
            <w:gridSpan w:val="3"/>
            <w:tcBorders>
              <w:top w:val="nil"/>
              <w:left w:val="nil"/>
              <w:bottom w:val="nil"/>
              <w:right w:val="nil"/>
            </w:tcBorders>
            <w:shd w:val="clear" w:color="auto" w:fill="auto"/>
            <w:noWrap/>
            <w:vAlign w:val="bottom"/>
            <w:hideMark/>
          </w:tcPr>
          <w:p w14:paraId="181135CC"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28.2 (7.02)</w:t>
            </w:r>
          </w:p>
        </w:tc>
        <w:tc>
          <w:tcPr>
            <w:tcW w:w="1060" w:type="dxa"/>
            <w:tcBorders>
              <w:top w:val="nil"/>
              <w:left w:val="nil"/>
              <w:bottom w:val="nil"/>
              <w:right w:val="nil"/>
            </w:tcBorders>
            <w:shd w:val="clear" w:color="auto" w:fill="auto"/>
            <w:noWrap/>
            <w:vAlign w:val="bottom"/>
            <w:hideMark/>
          </w:tcPr>
          <w:p w14:paraId="6749A288"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27.9 (7.14)</w:t>
            </w:r>
          </w:p>
        </w:tc>
        <w:tc>
          <w:tcPr>
            <w:tcW w:w="1291" w:type="dxa"/>
            <w:tcBorders>
              <w:top w:val="nil"/>
              <w:left w:val="nil"/>
              <w:bottom w:val="nil"/>
              <w:right w:val="nil"/>
            </w:tcBorders>
            <w:shd w:val="clear" w:color="auto" w:fill="auto"/>
            <w:noWrap/>
            <w:vAlign w:val="bottom"/>
            <w:hideMark/>
          </w:tcPr>
          <w:p w14:paraId="0EED29EE"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28 (6.93)</w:t>
            </w:r>
          </w:p>
        </w:tc>
        <w:tc>
          <w:tcPr>
            <w:tcW w:w="1060" w:type="dxa"/>
            <w:tcBorders>
              <w:top w:val="nil"/>
              <w:left w:val="nil"/>
              <w:bottom w:val="nil"/>
              <w:right w:val="nil"/>
            </w:tcBorders>
            <w:shd w:val="clear" w:color="auto" w:fill="auto"/>
            <w:noWrap/>
            <w:vAlign w:val="bottom"/>
            <w:hideMark/>
          </w:tcPr>
          <w:p w14:paraId="3B6E3FD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28.5 (6.9)</w:t>
            </w:r>
          </w:p>
        </w:tc>
        <w:tc>
          <w:tcPr>
            <w:tcW w:w="1060" w:type="dxa"/>
            <w:tcBorders>
              <w:top w:val="nil"/>
              <w:left w:val="nil"/>
              <w:bottom w:val="nil"/>
              <w:right w:val="nil"/>
            </w:tcBorders>
            <w:shd w:val="clear" w:color="auto" w:fill="auto"/>
            <w:noWrap/>
            <w:vAlign w:val="bottom"/>
            <w:hideMark/>
          </w:tcPr>
          <w:p w14:paraId="0F94E82A"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27.4 (7.04)</w:t>
            </w:r>
          </w:p>
        </w:tc>
        <w:tc>
          <w:tcPr>
            <w:tcW w:w="1060" w:type="dxa"/>
            <w:tcBorders>
              <w:top w:val="nil"/>
              <w:left w:val="nil"/>
              <w:bottom w:val="nil"/>
              <w:right w:val="nil"/>
            </w:tcBorders>
            <w:shd w:val="clear" w:color="auto" w:fill="auto"/>
            <w:noWrap/>
            <w:vAlign w:val="bottom"/>
            <w:hideMark/>
          </w:tcPr>
          <w:p w14:paraId="5E9B55CB"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26.6 (7.37)</w:t>
            </w:r>
          </w:p>
        </w:tc>
        <w:tc>
          <w:tcPr>
            <w:tcW w:w="1060" w:type="dxa"/>
            <w:tcBorders>
              <w:top w:val="nil"/>
              <w:left w:val="nil"/>
              <w:bottom w:val="nil"/>
              <w:right w:val="nil"/>
            </w:tcBorders>
            <w:shd w:val="clear" w:color="auto" w:fill="auto"/>
            <w:noWrap/>
            <w:vAlign w:val="bottom"/>
            <w:hideMark/>
          </w:tcPr>
          <w:p w14:paraId="083731FA"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27.2 (7.36)</w:t>
            </w:r>
          </w:p>
        </w:tc>
        <w:tc>
          <w:tcPr>
            <w:tcW w:w="1060" w:type="dxa"/>
            <w:tcBorders>
              <w:top w:val="nil"/>
              <w:left w:val="nil"/>
              <w:bottom w:val="nil"/>
              <w:right w:val="nil"/>
            </w:tcBorders>
            <w:shd w:val="clear" w:color="auto" w:fill="auto"/>
            <w:noWrap/>
            <w:vAlign w:val="bottom"/>
            <w:hideMark/>
          </w:tcPr>
          <w:p w14:paraId="48850682"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27.6 (7.25)</w:t>
            </w:r>
          </w:p>
        </w:tc>
      </w:tr>
      <w:tr w:rsidR="00E30D79" w:rsidRPr="00A23275" w14:paraId="1C86E9EC" w14:textId="77777777" w:rsidTr="00C26C4B">
        <w:trPr>
          <w:gridAfter w:val="4"/>
          <w:wAfter w:w="499" w:type="dxa"/>
          <w:trHeight w:val="200"/>
        </w:trPr>
        <w:tc>
          <w:tcPr>
            <w:tcW w:w="2328" w:type="dxa"/>
            <w:gridSpan w:val="3"/>
            <w:tcBorders>
              <w:top w:val="nil"/>
              <w:left w:val="single" w:sz="4" w:space="0" w:color="auto"/>
              <w:right w:val="single" w:sz="4" w:space="0" w:color="auto"/>
            </w:tcBorders>
            <w:shd w:val="clear" w:color="000000" w:fill="D9D9D9"/>
            <w:noWrap/>
            <w:vAlign w:val="bottom"/>
            <w:hideMark/>
          </w:tcPr>
          <w:p w14:paraId="6057CB59" w14:textId="77777777" w:rsidR="00E30D79" w:rsidRPr="003B1EE6" w:rsidRDefault="00E30D79" w:rsidP="00C26C4B">
            <w:pPr>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NT-proBNP</w:t>
            </w:r>
            <w:proofErr w:type="spellEnd"/>
            <w:r w:rsidRPr="003B1EE6">
              <w:rPr>
                <w:rFonts w:ascii="Calibri" w:eastAsia="Times New Roman" w:hAnsi="Calibri" w:cs="Calibri"/>
                <w:b/>
                <w:bCs/>
                <w:color w:val="000000"/>
                <w:sz w:val="14"/>
                <w:szCs w:val="14"/>
              </w:rPr>
              <w:t xml:space="preserve"> (</w:t>
            </w:r>
            <w:proofErr w:type="spellStart"/>
            <w:r w:rsidRPr="003B1EE6">
              <w:rPr>
                <w:rFonts w:ascii="Calibri" w:eastAsia="Times New Roman" w:hAnsi="Calibri" w:cs="Calibri"/>
                <w:b/>
                <w:bCs/>
                <w:color w:val="000000"/>
                <w:sz w:val="14"/>
                <w:szCs w:val="14"/>
              </w:rPr>
              <w:t>ng</w:t>
            </w:r>
            <w:proofErr w:type="spellEnd"/>
            <w:r w:rsidRPr="003B1EE6">
              <w:rPr>
                <w:rFonts w:ascii="Calibri" w:eastAsia="Times New Roman" w:hAnsi="Calibri" w:cs="Calibri"/>
                <w:b/>
                <w:bCs/>
                <w:color w:val="000000"/>
                <w:sz w:val="14"/>
                <w:szCs w:val="14"/>
              </w:rPr>
              <w:t>/L)</w:t>
            </w:r>
          </w:p>
        </w:tc>
        <w:tc>
          <w:tcPr>
            <w:tcW w:w="1060" w:type="dxa"/>
            <w:gridSpan w:val="2"/>
            <w:tcBorders>
              <w:top w:val="nil"/>
              <w:left w:val="nil"/>
              <w:right w:val="nil"/>
            </w:tcBorders>
            <w:shd w:val="clear" w:color="000000" w:fill="D9D9D9"/>
            <w:noWrap/>
            <w:vAlign w:val="bottom"/>
            <w:hideMark/>
          </w:tcPr>
          <w:p w14:paraId="23210940"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3641 (1720-8103)</w:t>
            </w:r>
          </w:p>
        </w:tc>
        <w:tc>
          <w:tcPr>
            <w:tcW w:w="1060" w:type="dxa"/>
            <w:gridSpan w:val="3"/>
            <w:tcBorders>
              <w:top w:val="nil"/>
              <w:left w:val="nil"/>
              <w:right w:val="nil"/>
            </w:tcBorders>
            <w:shd w:val="clear" w:color="000000" w:fill="D9D9D9"/>
            <w:noWrap/>
            <w:vAlign w:val="bottom"/>
            <w:hideMark/>
          </w:tcPr>
          <w:p w14:paraId="456C8FA7"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5410 (2178-11721)</w:t>
            </w:r>
          </w:p>
        </w:tc>
        <w:tc>
          <w:tcPr>
            <w:tcW w:w="1060" w:type="dxa"/>
            <w:tcBorders>
              <w:top w:val="nil"/>
              <w:left w:val="nil"/>
              <w:right w:val="nil"/>
            </w:tcBorders>
            <w:shd w:val="clear" w:color="000000" w:fill="D9D9D9"/>
            <w:noWrap/>
            <w:vAlign w:val="bottom"/>
            <w:hideMark/>
          </w:tcPr>
          <w:p w14:paraId="70CFC45E"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5300 (2008-16530)</w:t>
            </w:r>
          </w:p>
        </w:tc>
        <w:tc>
          <w:tcPr>
            <w:tcW w:w="1291" w:type="dxa"/>
            <w:tcBorders>
              <w:top w:val="nil"/>
              <w:left w:val="nil"/>
              <w:right w:val="nil"/>
            </w:tcBorders>
            <w:shd w:val="clear" w:color="000000" w:fill="D9D9D9"/>
            <w:noWrap/>
            <w:vAlign w:val="bottom"/>
            <w:hideMark/>
          </w:tcPr>
          <w:p w14:paraId="6DAD4E05"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4295 (1806-10279)</w:t>
            </w:r>
          </w:p>
        </w:tc>
        <w:tc>
          <w:tcPr>
            <w:tcW w:w="1060" w:type="dxa"/>
            <w:tcBorders>
              <w:top w:val="nil"/>
              <w:left w:val="nil"/>
              <w:right w:val="nil"/>
            </w:tcBorders>
            <w:shd w:val="clear" w:color="000000" w:fill="D9D9D9"/>
            <w:noWrap/>
            <w:vAlign w:val="bottom"/>
            <w:hideMark/>
          </w:tcPr>
          <w:p w14:paraId="2C970A08"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4664 (1947-11059)</w:t>
            </w:r>
          </w:p>
        </w:tc>
        <w:tc>
          <w:tcPr>
            <w:tcW w:w="1060" w:type="dxa"/>
            <w:tcBorders>
              <w:top w:val="nil"/>
              <w:left w:val="nil"/>
              <w:right w:val="nil"/>
            </w:tcBorders>
            <w:shd w:val="clear" w:color="000000" w:fill="D9D9D9"/>
            <w:noWrap/>
            <w:vAlign w:val="bottom"/>
            <w:hideMark/>
          </w:tcPr>
          <w:p w14:paraId="3968A442"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3278 (1987-6980)</w:t>
            </w:r>
          </w:p>
        </w:tc>
        <w:tc>
          <w:tcPr>
            <w:tcW w:w="1060" w:type="dxa"/>
            <w:tcBorders>
              <w:top w:val="nil"/>
              <w:left w:val="nil"/>
              <w:right w:val="nil"/>
            </w:tcBorders>
            <w:shd w:val="clear" w:color="000000" w:fill="D9D9D9"/>
            <w:noWrap/>
            <w:vAlign w:val="bottom"/>
            <w:hideMark/>
          </w:tcPr>
          <w:p w14:paraId="7E723929"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3236 (1480-7114)</w:t>
            </w:r>
          </w:p>
        </w:tc>
        <w:tc>
          <w:tcPr>
            <w:tcW w:w="1060" w:type="dxa"/>
            <w:tcBorders>
              <w:top w:val="nil"/>
              <w:left w:val="nil"/>
              <w:right w:val="nil"/>
            </w:tcBorders>
            <w:shd w:val="clear" w:color="000000" w:fill="D9D9D9"/>
            <w:noWrap/>
            <w:vAlign w:val="bottom"/>
            <w:hideMark/>
          </w:tcPr>
          <w:p w14:paraId="7F07DB24"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3009 (1598-7083)</w:t>
            </w:r>
          </w:p>
        </w:tc>
        <w:tc>
          <w:tcPr>
            <w:tcW w:w="1060" w:type="dxa"/>
            <w:tcBorders>
              <w:top w:val="nil"/>
              <w:left w:val="nil"/>
              <w:right w:val="nil"/>
            </w:tcBorders>
            <w:shd w:val="clear" w:color="000000" w:fill="D9D9D9"/>
            <w:noWrap/>
            <w:vAlign w:val="bottom"/>
            <w:hideMark/>
          </w:tcPr>
          <w:p w14:paraId="6B6F0104" w14:textId="77777777" w:rsidR="00E30D79" w:rsidRPr="003B1EE6" w:rsidRDefault="00E30D79" w:rsidP="00C26C4B">
            <w:pPr>
              <w:rPr>
                <w:rFonts w:ascii="Calibri" w:hAnsi="Calibri" w:cs="Calibri"/>
                <w:color w:val="000000"/>
                <w:sz w:val="14"/>
                <w:szCs w:val="14"/>
              </w:rPr>
            </w:pPr>
            <w:r w:rsidRPr="003B1EE6">
              <w:rPr>
                <w:rFonts w:ascii="Calibri" w:hAnsi="Calibri" w:cs="Calibri"/>
                <w:color w:val="000000"/>
                <w:sz w:val="14"/>
                <w:szCs w:val="14"/>
              </w:rPr>
              <w:t>3510 (2271-7616)</w:t>
            </w:r>
          </w:p>
        </w:tc>
      </w:tr>
      <w:tr w:rsidR="00E30D79" w:rsidRPr="00A23275" w14:paraId="6BD6B75D" w14:textId="77777777" w:rsidTr="00C26C4B">
        <w:trPr>
          <w:gridAfter w:val="4"/>
          <w:wAfter w:w="499" w:type="dxa"/>
          <w:trHeight w:val="200"/>
        </w:trPr>
        <w:tc>
          <w:tcPr>
            <w:tcW w:w="2328" w:type="dxa"/>
            <w:gridSpan w:val="3"/>
            <w:tcBorders>
              <w:top w:val="nil"/>
              <w:left w:val="single" w:sz="4" w:space="0" w:color="auto"/>
              <w:right w:val="single" w:sz="4" w:space="0" w:color="auto"/>
            </w:tcBorders>
            <w:shd w:val="clear" w:color="auto" w:fill="auto"/>
            <w:noWrap/>
            <w:vAlign w:val="bottom"/>
            <w:hideMark/>
          </w:tcPr>
          <w:p w14:paraId="7EC8B2C3" w14:textId="77777777" w:rsidR="00E30D79" w:rsidRPr="003B1EE6" w:rsidRDefault="00E30D79" w:rsidP="00C26C4B">
            <w:pPr>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eGFR</w:t>
            </w:r>
            <w:proofErr w:type="spellEnd"/>
            <w:r w:rsidRPr="003B1EE6">
              <w:rPr>
                <w:rFonts w:ascii="Calibri" w:eastAsia="Times New Roman" w:hAnsi="Calibri" w:cs="Calibri"/>
                <w:b/>
                <w:bCs/>
                <w:color w:val="000000"/>
                <w:sz w:val="14"/>
                <w:szCs w:val="14"/>
              </w:rPr>
              <w:t xml:space="preserve"> (ml/min/1.73m^2)</w:t>
            </w:r>
          </w:p>
        </w:tc>
        <w:tc>
          <w:tcPr>
            <w:tcW w:w="1060" w:type="dxa"/>
            <w:gridSpan w:val="2"/>
            <w:tcBorders>
              <w:top w:val="nil"/>
              <w:left w:val="nil"/>
              <w:right w:val="nil"/>
            </w:tcBorders>
            <w:shd w:val="clear" w:color="auto" w:fill="auto"/>
            <w:noWrap/>
            <w:vAlign w:val="bottom"/>
            <w:hideMark/>
          </w:tcPr>
          <w:p w14:paraId="747ECD3C"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68.2 (28.64)</w:t>
            </w:r>
          </w:p>
        </w:tc>
        <w:tc>
          <w:tcPr>
            <w:tcW w:w="1060" w:type="dxa"/>
            <w:gridSpan w:val="3"/>
            <w:tcBorders>
              <w:top w:val="nil"/>
              <w:left w:val="nil"/>
              <w:right w:val="nil"/>
            </w:tcBorders>
            <w:shd w:val="clear" w:color="auto" w:fill="auto"/>
            <w:noWrap/>
            <w:vAlign w:val="bottom"/>
            <w:hideMark/>
          </w:tcPr>
          <w:p w14:paraId="3F94744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58.2 (28.88)</w:t>
            </w:r>
          </w:p>
        </w:tc>
        <w:tc>
          <w:tcPr>
            <w:tcW w:w="1060" w:type="dxa"/>
            <w:tcBorders>
              <w:top w:val="nil"/>
              <w:left w:val="nil"/>
              <w:right w:val="nil"/>
            </w:tcBorders>
            <w:shd w:val="clear" w:color="auto" w:fill="auto"/>
            <w:noWrap/>
            <w:vAlign w:val="bottom"/>
            <w:hideMark/>
          </w:tcPr>
          <w:p w14:paraId="3D3E9167"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59.7 (30.59)</w:t>
            </w:r>
          </w:p>
        </w:tc>
        <w:tc>
          <w:tcPr>
            <w:tcW w:w="1291" w:type="dxa"/>
            <w:tcBorders>
              <w:top w:val="nil"/>
              <w:left w:val="nil"/>
              <w:right w:val="nil"/>
            </w:tcBorders>
            <w:shd w:val="clear" w:color="auto" w:fill="auto"/>
            <w:noWrap/>
            <w:vAlign w:val="bottom"/>
            <w:hideMark/>
          </w:tcPr>
          <w:p w14:paraId="245CF7AF"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60.5 (29.39)</w:t>
            </w:r>
          </w:p>
        </w:tc>
        <w:tc>
          <w:tcPr>
            <w:tcW w:w="1060" w:type="dxa"/>
            <w:tcBorders>
              <w:top w:val="nil"/>
              <w:left w:val="nil"/>
              <w:right w:val="nil"/>
            </w:tcBorders>
            <w:shd w:val="clear" w:color="auto" w:fill="auto"/>
            <w:noWrap/>
            <w:vAlign w:val="bottom"/>
            <w:hideMark/>
          </w:tcPr>
          <w:p w14:paraId="1D96B132"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59.4 (30.15)</w:t>
            </w:r>
          </w:p>
        </w:tc>
        <w:tc>
          <w:tcPr>
            <w:tcW w:w="1060" w:type="dxa"/>
            <w:tcBorders>
              <w:top w:val="nil"/>
              <w:left w:val="nil"/>
              <w:right w:val="nil"/>
            </w:tcBorders>
            <w:shd w:val="clear" w:color="auto" w:fill="auto"/>
            <w:noWrap/>
            <w:vAlign w:val="bottom"/>
            <w:hideMark/>
          </w:tcPr>
          <w:p w14:paraId="39187C9E"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66.6 (28.68)</w:t>
            </w:r>
          </w:p>
        </w:tc>
        <w:tc>
          <w:tcPr>
            <w:tcW w:w="1060" w:type="dxa"/>
            <w:tcBorders>
              <w:top w:val="nil"/>
              <w:left w:val="nil"/>
              <w:right w:val="nil"/>
            </w:tcBorders>
            <w:shd w:val="clear" w:color="auto" w:fill="auto"/>
            <w:noWrap/>
            <w:vAlign w:val="bottom"/>
            <w:hideMark/>
          </w:tcPr>
          <w:p w14:paraId="7B718EBD"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70.8 (27.43)</w:t>
            </w:r>
          </w:p>
        </w:tc>
        <w:tc>
          <w:tcPr>
            <w:tcW w:w="1060" w:type="dxa"/>
            <w:tcBorders>
              <w:top w:val="nil"/>
              <w:left w:val="nil"/>
              <w:right w:val="nil"/>
            </w:tcBorders>
            <w:shd w:val="clear" w:color="auto" w:fill="auto"/>
            <w:noWrap/>
            <w:vAlign w:val="bottom"/>
            <w:hideMark/>
          </w:tcPr>
          <w:p w14:paraId="4E7DE497"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69.4 (28.78)</w:t>
            </w:r>
          </w:p>
        </w:tc>
        <w:tc>
          <w:tcPr>
            <w:tcW w:w="1060" w:type="dxa"/>
            <w:tcBorders>
              <w:top w:val="nil"/>
              <w:left w:val="nil"/>
              <w:right w:val="nil"/>
            </w:tcBorders>
            <w:shd w:val="clear" w:color="auto" w:fill="auto"/>
            <w:noWrap/>
            <w:vAlign w:val="bottom"/>
            <w:hideMark/>
          </w:tcPr>
          <w:p w14:paraId="4EB75F7A"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62.9 (27.16)</w:t>
            </w:r>
          </w:p>
        </w:tc>
      </w:tr>
      <w:tr w:rsidR="00E30D79" w:rsidRPr="00A23275" w14:paraId="101EE9DA" w14:textId="77777777" w:rsidTr="00C26C4B">
        <w:trPr>
          <w:gridAfter w:val="4"/>
          <w:wAfter w:w="499" w:type="dxa"/>
          <w:trHeight w:val="200"/>
        </w:trPr>
        <w:tc>
          <w:tcPr>
            <w:tcW w:w="2328" w:type="dxa"/>
            <w:gridSpan w:val="3"/>
            <w:tcBorders>
              <w:left w:val="single" w:sz="4" w:space="0" w:color="auto"/>
              <w:right w:val="single" w:sz="4" w:space="0" w:color="auto"/>
            </w:tcBorders>
            <w:shd w:val="clear" w:color="auto" w:fill="D9D9D9" w:themeFill="background1" w:themeFillShade="D9"/>
            <w:noWrap/>
            <w:vAlign w:val="bottom"/>
          </w:tcPr>
          <w:p w14:paraId="27456824" w14:textId="77777777" w:rsidR="00E30D79" w:rsidRPr="003B1EE6" w:rsidRDefault="00E30D79" w:rsidP="00C26C4B">
            <w:pPr>
              <w:ind w:left="-567" w:firstLine="567"/>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Potassium</w:t>
            </w:r>
            <w:proofErr w:type="spellEnd"/>
            <w:r>
              <w:rPr>
                <w:rFonts w:ascii="Calibri" w:eastAsia="Times New Roman" w:hAnsi="Calibri" w:cs="Calibri"/>
                <w:b/>
                <w:bCs/>
                <w:color w:val="000000"/>
                <w:sz w:val="14"/>
                <w:szCs w:val="14"/>
              </w:rPr>
              <w:t xml:space="preserve"> </w:t>
            </w:r>
            <w:r w:rsidRPr="008D1162">
              <w:rPr>
                <w:rFonts w:ascii="Calibri" w:eastAsia="Times New Roman" w:hAnsi="Calibri" w:cs="Calibri"/>
                <w:b/>
                <w:bCs/>
                <w:color w:val="000000"/>
                <w:sz w:val="14"/>
                <w:szCs w:val="14"/>
              </w:rPr>
              <w:t>(</w:t>
            </w:r>
            <w:proofErr w:type="spellStart"/>
            <w:r w:rsidRPr="008D1162">
              <w:rPr>
                <w:rFonts w:ascii="Calibri" w:eastAsia="Times New Roman" w:hAnsi="Calibri" w:cs="Calibri"/>
                <w:b/>
                <w:bCs/>
                <w:color w:val="000000"/>
                <w:sz w:val="14"/>
                <w:szCs w:val="14"/>
              </w:rPr>
              <w:t>mmol</w:t>
            </w:r>
            <w:proofErr w:type="spellEnd"/>
            <w:r w:rsidRPr="008D1162">
              <w:rPr>
                <w:rFonts w:ascii="Calibri" w:eastAsia="Times New Roman" w:hAnsi="Calibri" w:cs="Calibri"/>
                <w:b/>
                <w:bCs/>
                <w:color w:val="000000"/>
                <w:sz w:val="14"/>
                <w:szCs w:val="14"/>
              </w:rPr>
              <w:t>/L)</w:t>
            </w:r>
          </w:p>
        </w:tc>
        <w:tc>
          <w:tcPr>
            <w:tcW w:w="1060" w:type="dxa"/>
            <w:gridSpan w:val="2"/>
            <w:tcBorders>
              <w:left w:val="nil"/>
              <w:right w:val="nil"/>
            </w:tcBorders>
            <w:shd w:val="clear" w:color="auto" w:fill="D9D9D9" w:themeFill="background1" w:themeFillShade="D9"/>
            <w:noWrap/>
            <w:vAlign w:val="bottom"/>
          </w:tcPr>
          <w:p w14:paraId="2CB90293"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eastAsia="Times New Roman" w:hAnsi="Calibri" w:cs="Calibri"/>
                <w:color w:val="000000"/>
                <w:sz w:val="14"/>
                <w:szCs w:val="14"/>
              </w:rPr>
              <w:t>6787</w:t>
            </w:r>
          </w:p>
        </w:tc>
        <w:tc>
          <w:tcPr>
            <w:tcW w:w="1060" w:type="dxa"/>
            <w:gridSpan w:val="3"/>
            <w:tcBorders>
              <w:left w:val="nil"/>
              <w:right w:val="nil"/>
            </w:tcBorders>
            <w:shd w:val="clear" w:color="auto" w:fill="D9D9D9" w:themeFill="background1" w:themeFillShade="D9"/>
            <w:noWrap/>
          </w:tcPr>
          <w:p w14:paraId="50A47E8B"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4.2 (0.64)</w:t>
            </w:r>
          </w:p>
        </w:tc>
        <w:tc>
          <w:tcPr>
            <w:tcW w:w="1060" w:type="dxa"/>
            <w:tcBorders>
              <w:left w:val="nil"/>
              <w:right w:val="nil"/>
            </w:tcBorders>
            <w:shd w:val="clear" w:color="auto" w:fill="D9D9D9" w:themeFill="background1" w:themeFillShade="D9"/>
            <w:noWrap/>
          </w:tcPr>
          <w:p w14:paraId="51977CBA"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(0.55)</w:t>
            </w:r>
          </w:p>
        </w:tc>
        <w:tc>
          <w:tcPr>
            <w:tcW w:w="1291" w:type="dxa"/>
            <w:tcBorders>
              <w:left w:val="nil"/>
              <w:right w:val="nil"/>
            </w:tcBorders>
            <w:shd w:val="clear" w:color="auto" w:fill="D9D9D9" w:themeFill="background1" w:themeFillShade="D9"/>
            <w:noWrap/>
          </w:tcPr>
          <w:p w14:paraId="3B98CA6E"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(0.56)</w:t>
            </w:r>
          </w:p>
        </w:tc>
        <w:tc>
          <w:tcPr>
            <w:tcW w:w="1060" w:type="dxa"/>
            <w:tcBorders>
              <w:left w:val="nil"/>
              <w:right w:val="nil"/>
            </w:tcBorders>
            <w:shd w:val="clear" w:color="auto" w:fill="D9D9D9" w:themeFill="background1" w:themeFillShade="D9"/>
            <w:noWrap/>
          </w:tcPr>
          <w:p w14:paraId="6F9AB626"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(0.57)</w:t>
            </w:r>
          </w:p>
        </w:tc>
        <w:tc>
          <w:tcPr>
            <w:tcW w:w="1060" w:type="dxa"/>
            <w:tcBorders>
              <w:left w:val="nil"/>
              <w:right w:val="nil"/>
            </w:tcBorders>
            <w:shd w:val="clear" w:color="auto" w:fill="D9D9D9" w:themeFill="background1" w:themeFillShade="D9"/>
            <w:noWrap/>
          </w:tcPr>
          <w:p w14:paraId="1D4AC7FE"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4.2 (0.53)</w:t>
            </w:r>
          </w:p>
        </w:tc>
        <w:tc>
          <w:tcPr>
            <w:tcW w:w="1060" w:type="dxa"/>
            <w:tcBorders>
              <w:left w:val="nil"/>
              <w:right w:val="nil"/>
            </w:tcBorders>
            <w:shd w:val="clear" w:color="auto" w:fill="D9D9D9" w:themeFill="background1" w:themeFillShade="D9"/>
            <w:noWrap/>
          </w:tcPr>
          <w:p w14:paraId="58E71C3C"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4.2 (0.54)</w:t>
            </w:r>
          </w:p>
        </w:tc>
        <w:tc>
          <w:tcPr>
            <w:tcW w:w="1060" w:type="dxa"/>
            <w:tcBorders>
              <w:left w:val="nil"/>
              <w:right w:val="nil"/>
            </w:tcBorders>
            <w:shd w:val="clear" w:color="auto" w:fill="D9D9D9" w:themeFill="background1" w:themeFillShade="D9"/>
            <w:noWrap/>
          </w:tcPr>
          <w:p w14:paraId="35331625"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(0.57)</w:t>
            </w:r>
          </w:p>
        </w:tc>
        <w:tc>
          <w:tcPr>
            <w:tcW w:w="1060" w:type="dxa"/>
            <w:tcBorders>
              <w:left w:val="nil"/>
              <w:right w:val="nil"/>
            </w:tcBorders>
            <w:shd w:val="clear" w:color="auto" w:fill="D9D9D9" w:themeFill="background1" w:themeFillShade="D9"/>
            <w:noWrap/>
          </w:tcPr>
          <w:p w14:paraId="03E555F2"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4.2 (0.52)</w:t>
            </w:r>
          </w:p>
        </w:tc>
      </w:tr>
      <w:tr w:rsidR="00E30D79" w:rsidRPr="00A23275" w14:paraId="06F6D8EF" w14:textId="77777777" w:rsidTr="00C26C4B">
        <w:trPr>
          <w:gridAfter w:val="4"/>
          <w:wAfter w:w="499" w:type="dxa"/>
          <w:trHeight w:val="200"/>
        </w:trPr>
        <w:tc>
          <w:tcPr>
            <w:tcW w:w="2328" w:type="dxa"/>
            <w:gridSpan w:val="3"/>
            <w:tcBorders>
              <w:left w:val="single" w:sz="4" w:space="0" w:color="auto"/>
              <w:bottom w:val="single" w:sz="4" w:space="0" w:color="auto"/>
              <w:right w:val="single" w:sz="4" w:space="0" w:color="auto"/>
            </w:tcBorders>
            <w:shd w:val="clear" w:color="auto" w:fill="FFFFFF" w:themeFill="background1"/>
            <w:noWrap/>
            <w:vAlign w:val="bottom"/>
          </w:tcPr>
          <w:p w14:paraId="0CFE07DF" w14:textId="77777777" w:rsidR="00E30D79" w:rsidRPr="003B1EE6" w:rsidRDefault="00E30D79" w:rsidP="00C26C4B">
            <w:pPr>
              <w:ind w:left="-567" w:firstLine="567"/>
              <w:rPr>
                <w:rFonts w:ascii="Calibri" w:eastAsia="Times New Roman" w:hAnsi="Calibri" w:cs="Calibri"/>
                <w:b/>
                <w:bCs/>
                <w:color w:val="000000"/>
                <w:sz w:val="14"/>
                <w:szCs w:val="14"/>
              </w:rPr>
            </w:pPr>
            <w:r w:rsidRPr="003B1EE6">
              <w:rPr>
                <w:rFonts w:ascii="Calibri" w:eastAsia="Times New Roman" w:hAnsi="Calibri" w:cs="Calibri"/>
                <w:b/>
                <w:bCs/>
                <w:color w:val="000000"/>
                <w:sz w:val="14"/>
                <w:szCs w:val="14"/>
              </w:rPr>
              <w:t xml:space="preserve">MRA </w:t>
            </w:r>
            <w:proofErr w:type="spellStart"/>
            <w:r w:rsidRPr="003B1EE6">
              <w:rPr>
                <w:rFonts w:ascii="Calibri" w:eastAsia="Times New Roman" w:hAnsi="Calibri" w:cs="Calibri"/>
                <w:b/>
                <w:bCs/>
                <w:color w:val="000000"/>
                <w:sz w:val="14"/>
                <w:szCs w:val="14"/>
              </w:rPr>
              <w:t>use</w:t>
            </w:r>
            <w:proofErr w:type="spellEnd"/>
            <w:r w:rsidRPr="003B1EE6">
              <w:rPr>
                <w:rFonts w:ascii="Calibri" w:eastAsia="Times New Roman" w:hAnsi="Calibri" w:cs="Calibri"/>
                <w:b/>
                <w:bCs/>
                <w:color w:val="000000"/>
                <w:sz w:val="14"/>
                <w:szCs w:val="14"/>
              </w:rPr>
              <w:t xml:space="preserve"> at baseline</w:t>
            </w:r>
          </w:p>
        </w:tc>
        <w:tc>
          <w:tcPr>
            <w:tcW w:w="1060" w:type="dxa"/>
            <w:gridSpan w:val="2"/>
            <w:tcBorders>
              <w:left w:val="nil"/>
              <w:bottom w:val="single" w:sz="4" w:space="0" w:color="auto"/>
              <w:right w:val="nil"/>
            </w:tcBorders>
            <w:shd w:val="clear" w:color="auto" w:fill="FFFFFF" w:themeFill="background1"/>
            <w:noWrap/>
            <w:vAlign w:val="bottom"/>
          </w:tcPr>
          <w:p w14:paraId="0880A7EB" w14:textId="77777777" w:rsidR="00E30D79" w:rsidRPr="003B1EE6" w:rsidRDefault="00E30D79" w:rsidP="00C26C4B">
            <w:pPr>
              <w:rPr>
                <w:rFonts w:ascii="Calibri" w:eastAsia="Times New Roman" w:hAnsi="Calibri" w:cs="Calibri"/>
                <w:color w:val="000000"/>
                <w:sz w:val="14"/>
                <w:szCs w:val="14"/>
              </w:rPr>
            </w:pPr>
          </w:p>
        </w:tc>
        <w:tc>
          <w:tcPr>
            <w:tcW w:w="1060" w:type="dxa"/>
            <w:gridSpan w:val="3"/>
            <w:tcBorders>
              <w:left w:val="nil"/>
              <w:bottom w:val="single" w:sz="4" w:space="0" w:color="auto"/>
              <w:right w:val="nil"/>
            </w:tcBorders>
            <w:shd w:val="clear" w:color="auto" w:fill="FFFFFF" w:themeFill="background1"/>
            <w:noWrap/>
          </w:tcPr>
          <w:p w14:paraId="4AB694CC"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173 (34%)</w:t>
            </w:r>
          </w:p>
        </w:tc>
        <w:tc>
          <w:tcPr>
            <w:tcW w:w="1060" w:type="dxa"/>
            <w:tcBorders>
              <w:left w:val="nil"/>
              <w:bottom w:val="single" w:sz="4" w:space="0" w:color="auto"/>
              <w:right w:val="nil"/>
            </w:tcBorders>
            <w:shd w:val="clear" w:color="auto" w:fill="FFFFFF" w:themeFill="background1"/>
            <w:noWrap/>
          </w:tcPr>
          <w:p w14:paraId="59773950"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410 (52%)</w:t>
            </w:r>
          </w:p>
        </w:tc>
        <w:tc>
          <w:tcPr>
            <w:tcW w:w="1291" w:type="dxa"/>
            <w:tcBorders>
              <w:left w:val="nil"/>
              <w:bottom w:val="single" w:sz="4" w:space="0" w:color="auto"/>
              <w:right w:val="nil"/>
            </w:tcBorders>
            <w:shd w:val="clear" w:color="auto" w:fill="FFFFFF" w:themeFill="background1"/>
            <w:noWrap/>
          </w:tcPr>
          <w:p w14:paraId="4DDE9EC8"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146 (60%)</w:t>
            </w:r>
          </w:p>
        </w:tc>
        <w:tc>
          <w:tcPr>
            <w:tcW w:w="1060" w:type="dxa"/>
            <w:tcBorders>
              <w:left w:val="nil"/>
              <w:bottom w:val="single" w:sz="4" w:space="0" w:color="auto"/>
              <w:right w:val="nil"/>
            </w:tcBorders>
            <w:shd w:val="clear" w:color="auto" w:fill="FFFFFF" w:themeFill="background1"/>
            <w:noWrap/>
          </w:tcPr>
          <w:p w14:paraId="707E4DFF"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77 (58%)</w:t>
            </w:r>
          </w:p>
        </w:tc>
        <w:tc>
          <w:tcPr>
            <w:tcW w:w="1060" w:type="dxa"/>
            <w:tcBorders>
              <w:left w:val="nil"/>
              <w:bottom w:val="single" w:sz="4" w:space="0" w:color="auto"/>
              <w:right w:val="nil"/>
            </w:tcBorders>
            <w:shd w:val="clear" w:color="auto" w:fill="FFFFFF" w:themeFill="background1"/>
            <w:noWrap/>
          </w:tcPr>
          <w:p w14:paraId="38832CB1"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214 (56%)</w:t>
            </w:r>
          </w:p>
        </w:tc>
        <w:tc>
          <w:tcPr>
            <w:tcW w:w="1060" w:type="dxa"/>
            <w:tcBorders>
              <w:left w:val="nil"/>
              <w:bottom w:val="single" w:sz="4" w:space="0" w:color="auto"/>
              <w:right w:val="nil"/>
            </w:tcBorders>
            <w:shd w:val="clear" w:color="auto" w:fill="FFFFFF" w:themeFill="background1"/>
            <w:noWrap/>
          </w:tcPr>
          <w:p w14:paraId="1B566249"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952 (62%)</w:t>
            </w:r>
          </w:p>
        </w:tc>
        <w:tc>
          <w:tcPr>
            <w:tcW w:w="1060" w:type="dxa"/>
            <w:tcBorders>
              <w:left w:val="nil"/>
              <w:bottom w:val="single" w:sz="4" w:space="0" w:color="auto"/>
              <w:right w:val="nil"/>
            </w:tcBorders>
            <w:shd w:val="clear" w:color="auto" w:fill="FFFFFF" w:themeFill="background1"/>
            <w:noWrap/>
          </w:tcPr>
          <w:p w14:paraId="5C055825"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280 (61%)</w:t>
            </w:r>
          </w:p>
        </w:tc>
        <w:tc>
          <w:tcPr>
            <w:tcW w:w="1060" w:type="dxa"/>
            <w:tcBorders>
              <w:left w:val="nil"/>
              <w:bottom w:val="single" w:sz="4" w:space="0" w:color="auto"/>
              <w:right w:val="nil"/>
            </w:tcBorders>
            <w:shd w:val="clear" w:color="auto" w:fill="FFFFFF" w:themeFill="background1"/>
            <w:noWrap/>
          </w:tcPr>
          <w:p w14:paraId="5413642C"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109 (59%)</w:t>
            </w:r>
          </w:p>
        </w:tc>
      </w:tr>
      <w:tr w:rsidR="00E30D79" w:rsidRPr="001662D0" w14:paraId="2F5EB2A3" w14:textId="77777777" w:rsidTr="00C26C4B">
        <w:trPr>
          <w:trHeight w:val="200"/>
        </w:trPr>
        <w:tc>
          <w:tcPr>
            <w:tcW w:w="12160" w:type="dxa"/>
            <w:gridSpan w:val="16"/>
            <w:tcBorders>
              <w:top w:val="single" w:sz="4" w:space="0" w:color="auto"/>
            </w:tcBorders>
            <w:shd w:val="clear" w:color="auto" w:fill="auto"/>
            <w:noWrap/>
            <w:vAlign w:val="bottom"/>
          </w:tcPr>
          <w:p w14:paraId="46ED0059" w14:textId="77777777" w:rsidR="00E30D79" w:rsidRPr="00C515A5" w:rsidRDefault="00E30D79" w:rsidP="00C26C4B">
            <w:pPr>
              <w:rPr>
                <w:rFonts w:eastAsia="Times New Roman"/>
                <w:sz w:val="20"/>
                <w:szCs w:val="20"/>
                <w:lang w:val="en-US"/>
              </w:rPr>
            </w:pPr>
            <w:r w:rsidRPr="00C515A5">
              <w:rPr>
                <w:rFonts w:ascii="Calibri" w:eastAsia="Times New Roman" w:hAnsi="Calibri"/>
                <w:color w:val="000000"/>
                <w:sz w:val="16"/>
                <w:szCs w:val="16"/>
                <w:lang w:val="en-US"/>
              </w:rPr>
              <w:t>A0=</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 0%;A1=</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 1-49%; A2=</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/ARB-50-99%; A3=</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/ARB≥100%</w:t>
            </w:r>
          </w:p>
        </w:tc>
        <w:tc>
          <w:tcPr>
            <w:tcW w:w="146" w:type="dxa"/>
            <w:vAlign w:val="bottom"/>
          </w:tcPr>
          <w:p w14:paraId="0D3320AA" w14:textId="77777777" w:rsidR="00E30D79" w:rsidRPr="00C515A5" w:rsidRDefault="00E30D79" w:rsidP="00C26C4B">
            <w:pPr>
              <w:rPr>
                <w:rFonts w:eastAsia="Times New Roman"/>
                <w:sz w:val="20"/>
                <w:szCs w:val="20"/>
                <w:lang w:val="en-US"/>
              </w:rPr>
            </w:pPr>
          </w:p>
        </w:tc>
        <w:tc>
          <w:tcPr>
            <w:tcW w:w="146" w:type="dxa"/>
            <w:vAlign w:val="bottom"/>
          </w:tcPr>
          <w:p w14:paraId="7D78D46C" w14:textId="77777777" w:rsidR="00E30D79" w:rsidRPr="00C515A5" w:rsidRDefault="00E30D79" w:rsidP="00C26C4B">
            <w:pPr>
              <w:rPr>
                <w:rFonts w:eastAsia="Times New Roman"/>
                <w:sz w:val="20"/>
                <w:szCs w:val="20"/>
                <w:lang w:val="en-US"/>
              </w:rPr>
            </w:pPr>
          </w:p>
        </w:tc>
        <w:tc>
          <w:tcPr>
            <w:tcW w:w="146" w:type="dxa"/>
            <w:vAlign w:val="bottom"/>
          </w:tcPr>
          <w:p w14:paraId="1F7A3C0E" w14:textId="77777777" w:rsidR="00E30D79" w:rsidRPr="00C515A5" w:rsidRDefault="00E30D79" w:rsidP="00C26C4B">
            <w:pPr>
              <w:rPr>
                <w:rFonts w:eastAsia="Times New Roman"/>
                <w:sz w:val="20"/>
                <w:szCs w:val="20"/>
                <w:lang w:val="en-US"/>
              </w:rPr>
            </w:pPr>
          </w:p>
        </w:tc>
      </w:tr>
      <w:tr w:rsidR="00E30D79" w:rsidRPr="001662D0" w14:paraId="24A3BCFA" w14:textId="77777777" w:rsidTr="00C26C4B">
        <w:trPr>
          <w:gridAfter w:val="2"/>
          <w:wAfter w:w="292" w:type="dxa"/>
          <w:trHeight w:val="200"/>
        </w:trPr>
        <w:tc>
          <w:tcPr>
            <w:tcW w:w="12160" w:type="dxa"/>
            <w:gridSpan w:val="16"/>
            <w:shd w:val="clear" w:color="auto" w:fill="auto"/>
            <w:noWrap/>
            <w:vAlign w:val="bottom"/>
          </w:tcPr>
          <w:p w14:paraId="5EF7F0FA" w14:textId="77777777" w:rsidR="00E30D79" w:rsidRPr="00C515A5" w:rsidRDefault="00E30D79" w:rsidP="00C26C4B">
            <w:pPr>
              <w:rPr>
                <w:rFonts w:eastAsia="Times New Roman"/>
                <w:sz w:val="20"/>
                <w:szCs w:val="20"/>
                <w:lang w:val="en-US"/>
              </w:rPr>
            </w:pPr>
            <w:r w:rsidRPr="00C515A5">
              <w:rPr>
                <w:rFonts w:ascii="Calibri" w:eastAsia="Times New Roman" w:hAnsi="Calibri"/>
                <w:color w:val="000000"/>
                <w:sz w:val="16"/>
                <w:szCs w:val="16"/>
                <w:lang w:val="en-US"/>
              </w:rPr>
              <w:t>B0=BB 0%; B1=BB 1-49%; B2=BB-50-99%; B3=BB≥100%</w:t>
            </w:r>
          </w:p>
        </w:tc>
        <w:tc>
          <w:tcPr>
            <w:tcW w:w="146" w:type="dxa"/>
            <w:vAlign w:val="bottom"/>
          </w:tcPr>
          <w:p w14:paraId="68E497E3" w14:textId="77777777" w:rsidR="00E30D79" w:rsidRPr="00C515A5" w:rsidRDefault="00E30D79" w:rsidP="00C26C4B">
            <w:pPr>
              <w:rPr>
                <w:rFonts w:eastAsia="Times New Roman"/>
                <w:sz w:val="20"/>
                <w:szCs w:val="20"/>
                <w:lang w:val="en-US"/>
              </w:rPr>
            </w:pPr>
          </w:p>
        </w:tc>
      </w:tr>
      <w:tr w:rsidR="00E30D79" w:rsidRPr="001662D0" w14:paraId="42DE486E" w14:textId="77777777" w:rsidTr="00C26C4B">
        <w:trPr>
          <w:gridAfter w:val="12"/>
          <w:wAfter w:w="8212" w:type="dxa"/>
          <w:trHeight w:val="200"/>
        </w:trPr>
        <w:tc>
          <w:tcPr>
            <w:tcW w:w="1060" w:type="dxa"/>
            <w:shd w:val="clear" w:color="auto" w:fill="auto"/>
            <w:noWrap/>
            <w:vAlign w:val="bottom"/>
          </w:tcPr>
          <w:p w14:paraId="389590AC" w14:textId="77777777" w:rsidR="00E30D79" w:rsidRPr="00C515A5" w:rsidRDefault="00E30D79" w:rsidP="00C26C4B">
            <w:pPr>
              <w:rPr>
                <w:rFonts w:eastAsia="Times New Roman"/>
                <w:sz w:val="20"/>
                <w:szCs w:val="20"/>
                <w:lang w:val="en-US"/>
              </w:rPr>
            </w:pPr>
          </w:p>
        </w:tc>
        <w:tc>
          <w:tcPr>
            <w:tcW w:w="1060" w:type="dxa"/>
            <w:shd w:val="clear" w:color="auto" w:fill="auto"/>
            <w:noWrap/>
            <w:vAlign w:val="bottom"/>
          </w:tcPr>
          <w:p w14:paraId="5CDBE5C2" w14:textId="77777777" w:rsidR="00E30D79" w:rsidRPr="00C515A5" w:rsidRDefault="00E30D79" w:rsidP="00C26C4B">
            <w:pPr>
              <w:rPr>
                <w:rFonts w:eastAsia="Times New Roman"/>
                <w:sz w:val="20"/>
                <w:szCs w:val="20"/>
                <w:lang w:val="en-US"/>
              </w:rPr>
            </w:pPr>
          </w:p>
        </w:tc>
        <w:tc>
          <w:tcPr>
            <w:tcW w:w="1060" w:type="dxa"/>
            <w:gridSpan w:val="2"/>
            <w:shd w:val="clear" w:color="auto" w:fill="auto"/>
            <w:noWrap/>
            <w:vAlign w:val="bottom"/>
          </w:tcPr>
          <w:p w14:paraId="7B0A240E" w14:textId="77777777" w:rsidR="00E30D79" w:rsidRPr="00C515A5" w:rsidRDefault="00E30D79" w:rsidP="00C26C4B">
            <w:pPr>
              <w:rPr>
                <w:rFonts w:eastAsia="Times New Roman"/>
                <w:sz w:val="20"/>
                <w:szCs w:val="20"/>
                <w:lang w:val="en-US"/>
              </w:rPr>
            </w:pPr>
          </w:p>
        </w:tc>
        <w:tc>
          <w:tcPr>
            <w:tcW w:w="1060" w:type="dxa"/>
            <w:gridSpan w:val="2"/>
            <w:tcBorders>
              <w:right w:val="nil"/>
            </w:tcBorders>
            <w:shd w:val="clear" w:color="auto" w:fill="auto"/>
            <w:noWrap/>
            <w:vAlign w:val="bottom"/>
          </w:tcPr>
          <w:p w14:paraId="4F163275" w14:textId="77777777" w:rsidR="00E30D79" w:rsidRPr="00C515A5" w:rsidRDefault="00E30D79" w:rsidP="00C26C4B">
            <w:pPr>
              <w:rPr>
                <w:rFonts w:eastAsia="Times New Roman"/>
                <w:sz w:val="20"/>
                <w:szCs w:val="20"/>
                <w:lang w:val="en-US"/>
              </w:rPr>
            </w:pPr>
          </w:p>
        </w:tc>
        <w:tc>
          <w:tcPr>
            <w:tcW w:w="146" w:type="dxa"/>
            <w:vAlign w:val="bottom"/>
          </w:tcPr>
          <w:p w14:paraId="219A98A2" w14:textId="77777777" w:rsidR="00E30D79" w:rsidRPr="00C515A5" w:rsidRDefault="00E30D79" w:rsidP="00C26C4B">
            <w:pPr>
              <w:rPr>
                <w:rFonts w:eastAsia="Times New Roman"/>
                <w:sz w:val="20"/>
                <w:szCs w:val="20"/>
                <w:lang w:val="en-US"/>
              </w:rPr>
            </w:pPr>
          </w:p>
        </w:tc>
      </w:tr>
    </w:tbl>
    <w:p w14:paraId="648D8C09" w14:textId="77777777" w:rsidR="00E30D79" w:rsidRDefault="00E30D79" w:rsidP="00E30D79">
      <w:pPr>
        <w:rPr>
          <w:b/>
          <w:bCs/>
          <w:lang w:val="en-US"/>
        </w:rPr>
      </w:pPr>
    </w:p>
    <w:p w14:paraId="25421A93" w14:textId="77777777" w:rsidR="00E30D79" w:rsidRDefault="00E30D79" w:rsidP="00E30D79">
      <w:pPr>
        <w:rPr>
          <w:b/>
          <w:bCs/>
          <w:lang w:val="en-US"/>
        </w:rPr>
      </w:pPr>
      <w:r>
        <w:rPr>
          <w:b/>
          <w:bCs/>
          <w:lang w:val="en-US"/>
        </w:rPr>
        <w:br w:type="page"/>
      </w:r>
    </w:p>
    <w:tbl>
      <w:tblPr>
        <w:tblW w:w="11868" w:type="dxa"/>
        <w:tblCellMar>
          <w:left w:w="70" w:type="dxa"/>
          <w:right w:w="70" w:type="dxa"/>
        </w:tblCellMar>
        <w:tblLook w:val="04A0" w:firstRow="1" w:lastRow="0" w:firstColumn="1" w:lastColumn="0" w:noHBand="0" w:noVBand="1"/>
      </w:tblPr>
      <w:tblGrid>
        <w:gridCol w:w="2328"/>
        <w:gridCol w:w="1060"/>
        <w:gridCol w:w="1060"/>
        <w:gridCol w:w="1060"/>
        <w:gridCol w:w="1060"/>
        <w:gridCol w:w="1060"/>
        <w:gridCol w:w="1060"/>
        <w:gridCol w:w="1060"/>
        <w:gridCol w:w="1060"/>
        <w:gridCol w:w="1060"/>
      </w:tblGrid>
      <w:tr w:rsidR="00E30D79" w:rsidRPr="00A23275" w14:paraId="02D1FB8A" w14:textId="77777777" w:rsidTr="00C26C4B">
        <w:trPr>
          <w:trHeight w:val="200"/>
        </w:trPr>
        <w:tc>
          <w:tcPr>
            <w:tcW w:w="2328" w:type="dxa"/>
            <w:tcBorders>
              <w:top w:val="single" w:sz="4" w:space="0" w:color="auto"/>
              <w:left w:val="single" w:sz="4" w:space="0" w:color="auto"/>
              <w:bottom w:val="nil"/>
              <w:right w:val="nil"/>
            </w:tcBorders>
            <w:shd w:val="clear" w:color="auto" w:fill="auto"/>
            <w:noWrap/>
            <w:vAlign w:val="bottom"/>
            <w:hideMark/>
          </w:tcPr>
          <w:p w14:paraId="7402430E" w14:textId="77777777" w:rsidR="00E30D79" w:rsidRPr="004072EF" w:rsidRDefault="00E30D79" w:rsidP="00C26C4B">
            <w:pPr>
              <w:rPr>
                <w:rFonts w:ascii="Calibri" w:eastAsia="Times New Roman" w:hAnsi="Calibri"/>
                <w:b/>
                <w:bCs/>
                <w:color w:val="000000"/>
                <w:sz w:val="14"/>
                <w:szCs w:val="14"/>
              </w:rPr>
            </w:pPr>
            <w:proofErr w:type="spellStart"/>
            <w:r w:rsidRPr="004072EF">
              <w:rPr>
                <w:rFonts w:ascii="Calibri" w:eastAsia="Times New Roman" w:hAnsi="Calibri"/>
                <w:b/>
                <w:bCs/>
                <w:color w:val="000000"/>
                <w:sz w:val="14"/>
                <w:szCs w:val="14"/>
              </w:rPr>
              <w:lastRenderedPageBreak/>
              <w:t>Variable</w:t>
            </w:r>
            <w:proofErr w:type="spellEnd"/>
          </w:p>
        </w:tc>
        <w:tc>
          <w:tcPr>
            <w:tcW w:w="1060" w:type="dxa"/>
            <w:tcBorders>
              <w:top w:val="single" w:sz="4" w:space="0" w:color="auto"/>
              <w:left w:val="nil"/>
              <w:bottom w:val="nil"/>
              <w:right w:val="nil"/>
            </w:tcBorders>
            <w:shd w:val="clear" w:color="auto" w:fill="auto"/>
            <w:noWrap/>
            <w:vAlign w:val="bottom"/>
            <w:hideMark/>
          </w:tcPr>
          <w:p w14:paraId="15D35F22"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A2B0</w:t>
            </w:r>
          </w:p>
        </w:tc>
        <w:tc>
          <w:tcPr>
            <w:tcW w:w="1060" w:type="dxa"/>
            <w:tcBorders>
              <w:top w:val="single" w:sz="4" w:space="0" w:color="auto"/>
              <w:left w:val="nil"/>
              <w:bottom w:val="nil"/>
              <w:right w:val="nil"/>
            </w:tcBorders>
            <w:shd w:val="clear" w:color="auto" w:fill="auto"/>
            <w:noWrap/>
            <w:vAlign w:val="bottom"/>
            <w:hideMark/>
          </w:tcPr>
          <w:p w14:paraId="68F55651"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A2B1</w:t>
            </w:r>
          </w:p>
        </w:tc>
        <w:tc>
          <w:tcPr>
            <w:tcW w:w="1060" w:type="dxa"/>
            <w:tcBorders>
              <w:top w:val="single" w:sz="4" w:space="0" w:color="auto"/>
              <w:left w:val="nil"/>
              <w:bottom w:val="nil"/>
              <w:right w:val="nil"/>
            </w:tcBorders>
            <w:shd w:val="clear" w:color="auto" w:fill="auto"/>
            <w:noWrap/>
            <w:vAlign w:val="bottom"/>
            <w:hideMark/>
          </w:tcPr>
          <w:p w14:paraId="26FD5FC2"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A2B2</w:t>
            </w:r>
          </w:p>
        </w:tc>
        <w:tc>
          <w:tcPr>
            <w:tcW w:w="1060" w:type="dxa"/>
            <w:tcBorders>
              <w:top w:val="single" w:sz="4" w:space="0" w:color="auto"/>
              <w:left w:val="nil"/>
              <w:bottom w:val="nil"/>
              <w:right w:val="nil"/>
            </w:tcBorders>
            <w:shd w:val="clear" w:color="auto" w:fill="auto"/>
            <w:noWrap/>
            <w:vAlign w:val="bottom"/>
            <w:hideMark/>
          </w:tcPr>
          <w:p w14:paraId="614F5264"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A2B3</w:t>
            </w:r>
          </w:p>
        </w:tc>
        <w:tc>
          <w:tcPr>
            <w:tcW w:w="1060" w:type="dxa"/>
            <w:tcBorders>
              <w:top w:val="single" w:sz="4" w:space="0" w:color="auto"/>
              <w:left w:val="nil"/>
              <w:bottom w:val="nil"/>
              <w:right w:val="nil"/>
            </w:tcBorders>
            <w:shd w:val="clear" w:color="auto" w:fill="auto"/>
            <w:noWrap/>
            <w:vAlign w:val="bottom"/>
            <w:hideMark/>
          </w:tcPr>
          <w:p w14:paraId="3B18BA05"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A3B0</w:t>
            </w:r>
          </w:p>
        </w:tc>
        <w:tc>
          <w:tcPr>
            <w:tcW w:w="1060" w:type="dxa"/>
            <w:tcBorders>
              <w:top w:val="single" w:sz="4" w:space="0" w:color="auto"/>
              <w:left w:val="nil"/>
              <w:bottom w:val="nil"/>
              <w:right w:val="nil"/>
            </w:tcBorders>
            <w:shd w:val="clear" w:color="auto" w:fill="auto"/>
            <w:noWrap/>
            <w:vAlign w:val="bottom"/>
            <w:hideMark/>
          </w:tcPr>
          <w:p w14:paraId="3EA516AD"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A3B1</w:t>
            </w:r>
          </w:p>
        </w:tc>
        <w:tc>
          <w:tcPr>
            <w:tcW w:w="1060" w:type="dxa"/>
            <w:tcBorders>
              <w:top w:val="single" w:sz="4" w:space="0" w:color="auto"/>
              <w:left w:val="nil"/>
              <w:bottom w:val="nil"/>
              <w:right w:val="nil"/>
            </w:tcBorders>
            <w:shd w:val="clear" w:color="auto" w:fill="auto"/>
            <w:noWrap/>
            <w:vAlign w:val="bottom"/>
            <w:hideMark/>
          </w:tcPr>
          <w:p w14:paraId="5E63C1EA"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A3B2</w:t>
            </w:r>
          </w:p>
        </w:tc>
        <w:tc>
          <w:tcPr>
            <w:tcW w:w="1060" w:type="dxa"/>
            <w:tcBorders>
              <w:top w:val="single" w:sz="4" w:space="0" w:color="auto"/>
              <w:left w:val="nil"/>
              <w:bottom w:val="nil"/>
              <w:right w:val="nil"/>
            </w:tcBorders>
            <w:shd w:val="clear" w:color="auto" w:fill="auto"/>
            <w:noWrap/>
            <w:vAlign w:val="bottom"/>
            <w:hideMark/>
          </w:tcPr>
          <w:p w14:paraId="34130A65"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A3B3</w:t>
            </w:r>
          </w:p>
        </w:tc>
        <w:tc>
          <w:tcPr>
            <w:tcW w:w="1060" w:type="dxa"/>
            <w:tcBorders>
              <w:top w:val="single" w:sz="4" w:space="0" w:color="auto"/>
              <w:left w:val="nil"/>
              <w:bottom w:val="nil"/>
              <w:right w:val="single" w:sz="4" w:space="0" w:color="auto"/>
            </w:tcBorders>
            <w:shd w:val="clear" w:color="auto" w:fill="auto"/>
            <w:noWrap/>
            <w:vAlign w:val="bottom"/>
            <w:hideMark/>
          </w:tcPr>
          <w:p w14:paraId="59829D1B" w14:textId="77777777" w:rsidR="00E30D79" w:rsidRPr="004072EF" w:rsidRDefault="00E30D79" w:rsidP="00C26C4B">
            <w:pPr>
              <w:rPr>
                <w:rFonts w:ascii="Calibri" w:eastAsia="Times New Roman" w:hAnsi="Calibri"/>
                <w:b/>
                <w:bCs/>
                <w:color w:val="000000"/>
                <w:sz w:val="14"/>
                <w:szCs w:val="14"/>
              </w:rPr>
            </w:pPr>
            <w:r w:rsidRPr="004072EF">
              <w:rPr>
                <w:rFonts w:ascii="Calibri" w:eastAsia="Times New Roman" w:hAnsi="Calibri"/>
                <w:b/>
                <w:bCs/>
                <w:color w:val="000000"/>
                <w:sz w:val="14"/>
                <w:szCs w:val="14"/>
              </w:rPr>
              <w:t>p</w:t>
            </w:r>
          </w:p>
        </w:tc>
      </w:tr>
      <w:tr w:rsidR="00E30D79" w:rsidRPr="00A23275" w14:paraId="585F26C5" w14:textId="77777777" w:rsidTr="00C26C4B">
        <w:trPr>
          <w:trHeight w:val="200"/>
        </w:trPr>
        <w:tc>
          <w:tcPr>
            <w:tcW w:w="2328" w:type="dxa"/>
            <w:tcBorders>
              <w:top w:val="single" w:sz="4" w:space="0" w:color="auto"/>
              <w:left w:val="single" w:sz="4" w:space="0" w:color="auto"/>
              <w:bottom w:val="nil"/>
              <w:right w:val="single" w:sz="4" w:space="0" w:color="auto"/>
            </w:tcBorders>
            <w:shd w:val="clear" w:color="000000" w:fill="D9D9D9"/>
            <w:noWrap/>
            <w:vAlign w:val="bottom"/>
            <w:hideMark/>
          </w:tcPr>
          <w:p w14:paraId="4CAB91BB"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n</w:t>
            </w:r>
          </w:p>
        </w:tc>
        <w:tc>
          <w:tcPr>
            <w:tcW w:w="1060" w:type="dxa"/>
            <w:tcBorders>
              <w:top w:val="single" w:sz="4" w:space="0" w:color="auto"/>
              <w:left w:val="nil"/>
              <w:bottom w:val="nil"/>
              <w:right w:val="nil"/>
            </w:tcBorders>
            <w:shd w:val="clear" w:color="000000" w:fill="D9D9D9"/>
            <w:noWrap/>
            <w:vAlign w:val="bottom"/>
            <w:hideMark/>
          </w:tcPr>
          <w:p w14:paraId="6D02A06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234</w:t>
            </w:r>
          </w:p>
        </w:tc>
        <w:tc>
          <w:tcPr>
            <w:tcW w:w="1060" w:type="dxa"/>
            <w:tcBorders>
              <w:top w:val="single" w:sz="4" w:space="0" w:color="auto"/>
              <w:left w:val="nil"/>
              <w:bottom w:val="nil"/>
              <w:right w:val="nil"/>
            </w:tcBorders>
            <w:shd w:val="clear" w:color="000000" w:fill="D9D9D9"/>
            <w:noWrap/>
            <w:vAlign w:val="bottom"/>
            <w:hideMark/>
          </w:tcPr>
          <w:p w14:paraId="18D08EB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797</w:t>
            </w:r>
          </w:p>
        </w:tc>
        <w:tc>
          <w:tcPr>
            <w:tcW w:w="1060" w:type="dxa"/>
            <w:tcBorders>
              <w:top w:val="single" w:sz="4" w:space="0" w:color="auto"/>
              <w:left w:val="nil"/>
              <w:bottom w:val="nil"/>
              <w:right w:val="nil"/>
            </w:tcBorders>
            <w:shd w:val="clear" w:color="000000" w:fill="D9D9D9"/>
            <w:noWrap/>
            <w:vAlign w:val="bottom"/>
            <w:hideMark/>
          </w:tcPr>
          <w:p w14:paraId="14001A1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340</w:t>
            </w:r>
          </w:p>
        </w:tc>
        <w:tc>
          <w:tcPr>
            <w:tcW w:w="1060" w:type="dxa"/>
            <w:tcBorders>
              <w:top w:val="single" w:sz="4" w:space="0" w:color="auto"/>
              <w:left w:val="nil"/>
              <w:bottom w:val="nil"/>
              <w:right w:val="nil"/>
            </w:tcBorders>
            <w:shd w:val="clear" w:color="000000" w:fill="D9D9D9"/>
            <w:noWrap/>
            <w:vAlign w:val="bottom"/>
            <w:hideMark/>
          </w:tcPr>
          <w:p w14:paraId="62F49CE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178</w:t>
            </w:r>
          </w:p>
        </w:tc>
        <w:tc>
          <w:tcPr>
            <w:tcW w:w="1060" w:type="dxa"/>
            <w:tcBorders>
              <w:top w:val="single" w:sz="4" w:space="0" w:color="auto"/>
              <w:left w:val="nil"/>
              <w:bottom w:val="nil"/>
              <w:right w:val="nil"/>
            </w:tcBorders>
            <w:shd w:val="clear" w:color="000000" w:fill="D9D9D9"/>
            <w:noWrap/>
            <w:vAlign w:val="bottom"/>
            <w:hideMark/>
          </w:tcPr>
          <w:p w14:paraId="5D33E92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135</w:t>
            </w:r>
          </w:p>
        </w:tc>
        <w:tc>
          <w:tcPr>
            <w:tcW w:w="1060" w:type="dxa"/>
            <w:tcBorders>
              <w:top w:val="single" w:sz="4" w:space="0" w:color="auto"/>
              <w:left w:val="nil"/>
              <w:bottom w:val="nil"/>
              <w:right w:val="nil"/>
            </w:tcBorders>
            <w:shd w:val="clear" w:color="000000" w:fill="D9D9D9"/>
            <w:noWrap/>
            <w:vAlign w:val="bottom"/>
            <w:hideMark/>
          </w:tcPr>
          <w:p w14:paraId="2B84C04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431</w:t>
            </w:r>
          </w:p>
        </w:tc>
        <w:tc>
          <w:tcPr>
            <w:tcW w:w="1060" w:type="dxa"/>
            <w:tcBorders>
              <w:top w:val="single" w:sz="4" w:space="0" w:color="auto"/>
              <w:left w:val="nil"/>
              <w:bottom w:val="nil"/>
              <w:right w:val="nil"/>
            </w:tcBorders>
            <w:shd w:val="clear" w:color="000000" w:fill="D9D9D9"/>
            <w:noWrap/>
            <w:vAlign w:val="bottom"/>
            <w:hideMark/>
          </w:tcPr>
          <w:p w14:paraId="1ED163B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273</w:t>
            </w:r>
          </w:p>
        </w:tc>
        <w:tc>
          <w:tcPr>
            <w:tcW w:w="1060" w:type="dxa"/>
            <w:tcBorders>
              <w:top w:val="single" w:sz="4" w:space="0" w:color="auto"/>
              <w:left w:val="nil"/>
              <w:bottom w:val="nil"/>
              <w:right w:val="nil"/>
            </w:tcBorders>
            <w:shd w:val="clear" w:color="000000" w:fill="D9D9D9"/>
            <w:noWrap/>
            <w:vAlign w:val="bottom"/>
            <w:hideMark/>
          </w:tcPr>
          <w:p w14:paraId="61EA7FD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190</w:t>
            </w:r>
          </w:p>
        </w:tc>
        <w:tc>
          <w:tcPr>
            <w:tcW w:w="1060" w:type="dxa"/>
            <w:tcBorders>
              <w:top w:val="single" w:sz="4" w:space="0" w:color="auto"/>
              <w:left w:val="nil"/>
              <w:bottom w:val="nil"/>
              <w:right w:val="single" w:sz="4" w:space="0" w:color="auto"/>
            </w:tcBorders>
            <w:shd w:val="clear" w:color="000000" w:fill="D9D9D9"/>
            <w:noWrap/>
            <w:vAlign w:val="bottom"/>
            <w:hideMark/>
          </w:tcPr>
          <w:p w14:paraId="7C36AB86" w14:textId="77777777" w:rsidR="00E30D79" w:rsidRPr="00A23275" w:rsidRDefault="00E30D79" w:rsidP="00C26C4B">
            <w:pPr>
              <w:jc w:val="center"/>
              <w:rPr>
                <w:rFonts w:ascii="Calibri" w:eastAsia="Times New Roman" w:hAnsi="Calibri"/>
                <w:color w:val="000000"/>
                <w:sz w:val="14"/>
                <w:szCs w:val="14"/>
              </w:rPr>
            </w:pPr>
          </w:p>
        </w:tc>
      </w:tr>
      <w:tr w:rsidR="00E30D79" w:rsidRPr="00A23275" w14:paraId="0686A27F"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555F2D68"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n (ASIAN-HF)</w:t>
            </w:r>
          </w:p>
        </w:tc>
        <w:tc>
          <w:tcPr>
            <w:tcW w:w="1060" w:type="dxa"/>
            <w:tcBorders>
              <w:top w:val="nil"/>
              <w:left w:val="nil"/>
              <w:bottom w:val="nil"/>
              <w:right w:val="nil"/>
            </w:tcBorders>
            <w:shd w:val="clear" w:color="auto" w:fill="auto"/>
            <w:noWrap/>
            <w:vAlign w:val="bottom"/>
            <w:hideMark/>
          </w:tcPr>
          <w:p w14:paraId="3F5DC07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189 (80.8%)</w:t>
            </w:r>
          </w:p>
        </w:tc>
        <w:tc>
          <w:tcPr>
            <w:tcW w:w="1060" w:type="dxa"/>
            <w:tcBorders>
              <w:top w:val="nil"/>
              <w:left w:val="nil"/>
              <w:bottom w:val="nil"/>
              <w:right w:val="nil"/>
            </w:tcBorders>
            <w:shd w:val="clear" w:color="auto" w:fill="auto"/>
            <w:noWrap/>
            <w:vAlign w:val="bottom"/>
            <w:hideMark/>
          </w:tcPr>
          <w:p w14:paraId="0AACFB8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428 (53.7%)</w:t>
            </w:r>
          </w:p>
        </w:tc>
        <w:tc>
          <w:tcPr>
            <w:tcW w:w="1060" w:type="dxa"/>
            <w:tcBorders>
              <w:top w:val="nil"/>
              <w:left w:val="nil"/>
              <w:bottom w:val="nil"/>
              <w:right w:val="nil"/>
            </w:tcBorders>
            <w:shd w:val="clear" w:color="auto" w:fill="auto"/>
            <w:noWrap/>
            <w:vAlign w:val="bottom"/>
            <w:hideMark/>
          </w:tcPr>
          <w:p w14:paraId="293A5EA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160 (47.1%)</w:t>
            </w:r>
          </w:p>
        </w:tc>
        <w:tc>
          <w:tcPr>
            <w:tcW w:w="1060" w:type="dxa"/>
            <w:tcBorders>
              <w:top w:val="nil"/>
              <w:left w:val="nil"/>
              <w:bottom w:val="nil"/>
              <w:right w:val="nil"/>
            </w:tcBorders>
            <w:shd w:val="clear" w:color="auto" w:fill="auto"/>
            <w:noWrap/>
            <w:vAlign w:val="bottom"/>
            <w:hideMark/>
          </w:tcPr>
          <w:p w14:paraId="3F4D389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109 (61.2%)</w:t>
            </w:r>
          </w:p>
        </w:tc>
        <w:tc>
          <w:tcPr>
            <w:tcW w:w="1060" w:type="dxa"/>
            <w:tcBorders>
              <w:top w:val="nil"/>
              <w:left w:val="nil"/>
              <w:bottom w:val="nil"/>
              <w:right w:val="nil"/>
            </w:tcBorders>
            <w:shd w:val="clear" w:color="auto" w:fill="auto"/>
            <w:noWrap/>
            <w:vAlign w:val="bottom"/>
            <w:hideMark/>
          </w:tcPr>
          <w:p w14:paraId="10815E4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118 (87.4%)</w:t>
            </w:r>
          </w:p>
        </w:tc>
        <w:tc>
          <w:tcPr>
            <w:tcW w:w="1060" w:type="dxa"/>
            <w:tcBorders>
              <w:top w:val="nil"/>
              <w:left w:val="nil"/>
              <w:bottom w:val="nil"/>
              <w:right w:val="nil"/>
            </w:tcBorders>
            <w:shd w:val="clear" w:color="auto" w:fill="auto"/>
            <w:noWrap/>
            <w:vAlign w:val="bottom"/>
            <w:hideMark/>
          </w:tcPr>
          <w:p w14:paraId="4E0AF76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201 (46.6%)</w:t>
            </w:r>
          </w:p>
        </w:tc>
        <w:tc>
          <w:tcPr>
            <w:tcW w:w="1060" w:type="dxa"/>
            <w:tcBorders>
              <w:top w:val="nil"/>
              <w:left w:val="nil"/>
              <w:bottom w:val="nil"/>
              <w:right w:val="nil"/>
            </w:tcBorders>
            <w:shd w:val="clear" w:color="auto" w:fill="auto"/>
            <w:noWrap/>
            <w:vAlign w:val="bottom"/>
            <w:hideMark/>
          </w:tcPr>
          <w:p w14:paraId="15C1FEF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120 (44%)</w:t>
            </w:r>
          </w:p>
        </w:tc>
        <w:tc>
          <w:tcPr>
            <w:tcW w:w="1060" w:type="dxa"/>
            <w:tcBorders>
              <w:top w:val="nil"/>
              <w:left w:val="nil"/>
              <w:bottom w:val="nil"/>
              <w:right w:val="nil"/>
            </w:tcBorders>
            <w:shd w:val="clear" w:color="auto" w:fill="auto"/>
            <w:noWrap/>
            <w:vAlign w:val="bottom"/>
            <w:hideMark/>
          </w:tcPr>
          <w:p w14:paraId="4E5E12D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98 (51.6%)</w:t>
            </w:r>
          </w:p>
        </w:tc>
        <w:tc>
          <w:tcPr>
            <w:tcW w:w="1060" w:type="dxa"/>
            <w:tcBorders>
              <w:top w:val="nil"/>
              <w:left w:val="nil"/>
              <w:bottom w:val="nil"/>
              <w:right w:val="single" w:sz="4" w:space="0" w:color="auto"/>
            </w:tcBorders>
            <w:shd w:val="clear" w:color="auto" w:fill="auto"/>
            <w:noWrap/>
            <w:vAlign w:val="bottom"/>
            <w:hideMark/>
          </w:tcPr>
          <w:p w14:paraId="0A05407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481F5A80"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76149B61"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Sex</w:t>
            </w:r>
            <w:proofErr w:type="spellEnd"/>
            <w:r w:rsidRPr="00A23275">
              <w:rPr>
                <w:rFonts w:ascii="Calibri" w:eastAsia="Times New Roman" w:hAnsi="Calibri"/>
                <w:b/>
                <w:bCs/>
                <w:color w:val="000000"/>
                <w:sz w:val="14"/>
                <w:szCs w:val="14"/>
              </w:rPr>
              <w:t xml:space="preserve"> (Male)</w:t>
            </w:r>
          </w:p>
        </w:tc>
        <w:tc>
          <w:tcPr>
            <w:tcW w:w="1060" w:type="dxa"/>
            <w:tcBorders>
              <w:top w:val="nil"/>
              <w:left w:val="nil"/>
              <w:bottom w:val="nil"/>
              <w:right w:val="nil"/>
            </w:tcBorders>
            <w:shd w:val="clear" w:color="000000" w:fill="D9D9D9"/>
            <w:noWrap/>
            <w:vAlign w:val="bottom"/>
            <w:hideMark/>
          </w:tcPr>
          <w:p w14:paraId="0F99CFC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174 (74.4%)</w:t>
            </w:r>
          </w:p>
        </w:tc>
        <w:tc>
          <w:tcPr>
            <w:tcW w:w="1060" w:type="dxa"/>
            <w:tcBorders>
              <w:top w:val="nil"/>
              <w:left w:val="nil"/>
              <w:bottom w:val="nil"/>
              <w:right w:val="nil"/>
            </w:tcBorders>
            <w:shd w:val="clear" w:color="000000" w:fill="D9D9D9"/>
            <w:noWrap/>
            <w:vAlign w:val="bottom"/>
            <w:hideMark/>
          </w:tcPr>
          <w:p w14:paraId="1AC3C7C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619 (77.7%)</w:t>
            </w:r>
          </w:p>
        </w:tc>
        <w:tc>
          <w:tcPr>
            <w:tcW w:w="1060" w:type="dxa"/>
            <w:tcBorders>
              <w:top w:val="nil"/>
              <w:left w:val="nil"/>
              <w:bottom w:val="nil"/>
              <w:right w:val="nil"/>
            </w:tcBorders>
            <w:shd w:val="clear" w:color="000000" w:fill="D9D9D9"/>
            <w:noWrap/>
            <w:vAlign w:val="bottom"/>
            <w:hideMark/>
          </w:tcPr>
          <w:p w14:paraId="63D4CF2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268 (78.8%)</w:t>
            </w:r>
          </w:p>
        </w:tc>
        <w:tc>
          <w:tcPr>
            <w:tcW w:w="1060" w:type="dxa"/>
            <w:tcBorders>
              <w:top w:val="nil"/>
              <w:left w:val="nil"/>
              <w:bottom w:val="nil"/>
              <w:right w:val="nil"/>
            </w:tcBorders>
            <w:shd w:val="clear" w:color="000000" w:fill="D9D9D9"/>
            <w:noWrap/>
            <w:vAlign w:val="bottom"/>
            <w:hideMark/>
          </w:tcPr>
          <w:p w14:paraId="761BD02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135 (75.8%)</w:t>
            </w:r>
          </w:p>
        </w:tc>
        <w:tc>
          <w:tcPr>
            <w:tcW w:w="1060" w:type="dxa"/>
            <w:tcBorders>
              <w:top w:val="nil"/>
              <w:left w:val="nil"/>
              <w:bottom w:val="nil"/>
              <w:right w:val="nil"/>
            </w:tcBorders>
            <w:shd w:val="clear" w:color="000000" w:fill="D9D9D9"/>
            <w:noWrap/>
            <w:vAlign w:val="bottom"/>
            <w:hideMark/>
          </w:tcPr>
          <w:p w14:paraId="240E335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98 (72.6%)</w:t>
            </w:r>
          </w:p>
        </w:tc>
        <w:tc>
          <w:tcPr>
            <w:tcW w:w="1060" w:type="dxa"/>
            <w:tcBorders>
              <w:top w:val="nil"/>
              <w:left w:val="nil"/>
              <w:bottom w:val="nil"/>
              <w:right w:val="nil"/>
            </w:tcBorders>
            <w:shd w:val="clear" w:color="000000" w:fill="D9D9D9"/>
            <w:noWrap/>
            <w:vAlign w:val="bottom"/>
            <w:hideMark/>
          </w:tcPr>
          <w:p w14:paraId="4FD4D7D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334 (77.5%)</w:t>
            </w:r>
          </w:p>
        </w:tc>
        <w:tc>
          <w:tcPr>
            <w:tcW w:w="1060" w:type="dxa"/>
            <w:tcBorders>
              <w:top w:val="nil"/>
              <w:left w:val="nil"/>
              <w:bottom w:val="nil"/>
              <w:right w:val="nil"/>
            </w:tcBorders>
            <w:shd w:val="clear" w:color="000000" w:fill="D9D9D9"/>
            <w:noWrap/>
            <w:vAlign w:val="bottom"/>
            <w:hideMark/>
          </w:tcPr>
          <w:p w14:paraId="33692C4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219 (80.2%)</w:t>
            </w:r>
          </w:p>
        </w:tc>
        <w:tc>
          <w:tcPr>
            <w:tcW w:w="1060" w:type="dxa"/>
            <w:tcBorders>
              <w:top w:val="nil"/>
              <w:left w:val="nil"/>
              <w:bottom w:val="nil"/>
              <w:right w:val="nil"/>
            </w:tcBorders>
            <w:shd w:val="clear" w:color="000000" w:fill="D9D9D9"/>
            <w:noWrap/>
            <w:vAlign w:val="bottom"/>
            <w:hideMark/>
          </w:tcPr>
          <w:p w14:paraId="64D432B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145 (76.3%)</w:t>
            </w:r>
          </w:p>
        </w:tc>
        <w:tc>
          <w:tcPr>
            <w:tcW w:w="1060" w:type="dxa"/>
            <w:tcBorders>
              <w:top w:val="nil"/>
              <w:left w:val="nil"/>
              <w:bottom w:val="nil"/>
              <w:right w:val="single" w:sz="4" w:space="0" w:color="auto"/>
            </w:tcBorders>
            <w:shd w:val="clear" w:color="000000" w:fill="D9D9D9"/>
            <w:noWrap/>
            <w:vAlign w:val="bottom"/>
            <w:hideMark/>
          </w:tcPr>
          <w:p w14:paraId="3BABC7D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0.7</w:t>
            </w:r>
          </w:p>
        </w:tc>
      </w:tr>
      <w:tr w:rsidR="00E30D79" w:rsidRPr="00A23275" w14:paraId="54DA0EDD"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75DFCBF2"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Age (</w:t>
            </w:r>
            <w:proofErr w:type="spellStart"/>
            <w:r w:rsidRPr="00A23275">
              <w:rPr>
                <w:rFonts w:ascii="Calibri" w:eastAsia="Times New Roman" w:hAnsi="Calibri"/>
                <w:b/>
                <w:bCs/>
                <w:color w:val="000000"/>
                <w:sz w:val="14"/>
                <w:szCs w:val="14"/>
              </w:rPr>
              <w:t>years</w:t>
            </w:r>
            <w:proofErr w:type="spellEnd"/>
            <w:r w:rsidRPr="00A23275">
              <w:rPr>
                <w:rFonts w:ascii="Calibri" w:eastAsia="Times New Roman" w:hAnsi="Calibri"/>
                <w:b/>
                <w:bCs/>
                <w:color w:val="000000"/>
                <w:sz w:val="14"/>
                <w:szCs w:val="14"/>
              </w:rPr>
              <w:t>)</w:t>
            </w:r>
          </w:p>
        </w:tc>
        <w:tc>
          <w:tcPr>
            <w:tcW w:w="1060" w:type="dxa"/>
            <w:tcBorders>
              <w:top w:val="nil"/>
              <w:left w:val="nil"/>
              <w:bottom w:val="nil"/>
              <w:right w:val="nil"/>
            </w:tcBorders>
            <w:shd w:val="clear" w:color="auto" w:fill="auto"/>
            <w:noWrap/>
            <w:vAlign w:val="bottom"/>
            <w:hideMark/>
          </w:tcPr>
          <w:p w14:paraId="259FEEE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62.4 (12.82)</w:t>
            </w:r>
          </w:p>
        </w:tc>
        <w:tc>
          <w:tcPr>
            <w:tcW w:w="1060" w:type="dxa"/>
            <w:tcBorders>
              <w:top w:val="nil"/>
              <w:left w:val="nil"/>
              <w:bottom w:val="nil"/>
              <w:right w:val="nil"/>
            </w:tcBorders>
            <w:shd w:val="clear" w:color="auto" w:fill="auto"/>
            <w:noWrap/>
            <w:vAlign w:val="bottom"/>
            <w:hideMark/>
          </w:tcPr>
          <w:p w14:paraId="039C4A9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63.1 (12.73)</w:t>
            </w:r>
          </w:p>
        </w:tc>
        <w:tc>
          <w:tcPr>
            <w:tcW w:w="1060" w:type="dxa"/>
            <w:tcBorders>
              <w:top w:val="nil"/>
              <w:left w:val="nil"/>
              <w:bottom w:val="nil"/>
              <w:right w:val="nil"/>
            </w:tcBorders>
            <w:shd w:val="clear" w:color="auto" w:fill="auto"/>
            <w:noWrap/>
            <w:vAlign w:val="bottom"/>
            <w:hideMark/>
          </w:tcPr>
          <w:p w14:paraId="1DE556D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61.9 (13.09)</w:t>
            </w:r>
          </w:p>
        </w:tc>
        <w:tc>
          <w:tcPr>
            <w:tcW w:w="1060" w:type="dxa"/>
            <w:tcBorders>
              <w:top w:val="nil"/>
              <w:left w:val="nil"/>
              <w:bottom w:val="nil"/>
              <w:right w:val="nil"/>
            </w:tcBorders>
            <w:shd w:val="clear" w:color="auto" w:fill="auto"/>
            <w:noWrap/>
            <w:vAlign w:val="bottom"/>
            <w:hideMark/>
          </w:tcPr>
          <w:p w14:paraId="02408E5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59.7 (14.27)</w:t>
            </w:r>
          </w:p>
        </w:tc>
        <w:tc>
          <w:tcPr>
            <w:tcW w:w="1060" w:type="dxa"/>
            <w:tcBorders>
              <w:top w:val="nil"/>
              <w:left w:val="nil"/>
              <w:bottom w:val="nil"/>
              <w:right w:val="nil"/>
            </w:tcBorders>
            <w:shd w:val="clear" w:color="auto" w:fill="auto"/>
            <w:noWrap/>
            <w:vAlign w:val="bottom"/>
            <w:hideMark/>
          </w:tcPr>
          <w:p w14:paraId="01A116C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59.7 (14.23)</w:t>
            </w:r>
          </w:p>
        </w:tc>
        <w:tc>
          <w:tcPr>
            <w:tcW w:w="1060" w:type="dxa"/>
            <w:tcBorders>
              <w:top w:val="nil"/>
              <w:left w:val="nil"/>
              <w:bottom w:val="nil"/>
              <w:right w:val="nil"/>
            </w:tcBorders>
            <w:shd w:val="clear" w:color="auto" w:fill="auto"/>
            <w:noWrap/>
            <w:vAlign w:val="bottom"/>
            <w:hideMark/>
          </w:tcPr>
          <w:p w14:paraId="1BF3266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64.6 (12.47)</w:t>
            </w:r>
          </w:p>
        </w:tc>
        <w:tc>
          <w:tcPr>
            <w:tcW w:w="1060" w:type="dxa"/>
            <w:tcBorders>
              <w:top w:val="nil"/>
              <w:left w:val="nil"/>
              <w:bottom w:val="nil"/>
              <w:right w:val="nil"/>
            </w:tcBorders>
            <w:shd w:val="clear" w:color="auto" w:fill="auto"/>
            <w:noWrap/>
            <w:vAlign w:val="bottom"/>
            <w:hideMark/>
          </w:tcPr>
          <w:p w14:paraId="5A15666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62.2 (12.26)</w:t>
            </w:r>
          </w:p>
        </w:tc>
        <w:tc>
          <w:tcPr>
            <w:tcW w:w="1060" w:type="dxa"/>
            <w:tcBorders>
              <w:top w:val="nil"/>
              <w:left w:val="nil"/>
              <w:bottom w:val="nil"/>
              <w:right w:val="nil"/>
            </w:tcBorders>
            <w:shd w:val="clear" w:color="auto" w:fill="auto"/>
            <w:noWrap/>
            <w:vAlign w:val="bottom"/>
            <w:hideMark/>
          </w:tcPr>
          <w:p w14:paraId="02054E9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59.9 (13.71)</w:t>
            </w:r>
          </w:p>
        </w:tc>
        <w:tc>
          <w:tcPr>
            <w:tcW w:w="1060" w:type="dxa"/>
            <w:tcBorders>
              <w:top w:val="nil"/>
              <w:left w:val="nil"/>
              <w:bottom w:val="nil"/>
              <w:right w:val="single" w:sz="4" w:space="0" w:color="auto"/>
            </w:tcBorders>
            <w:shd w:val="clear" w:color="auto" w:fill="auto"/>
            <w:noWrap/>
            <w:vAlign w:val="bottom"/>
            <w:hideMark/>
          </w:tcPr>
          <w:p w14:paraId="20A4298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34449504"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4C791791"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Former</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smoker</w:t>
            </w:r>
            <w:proofErr w:type="spellEnd"/>
          </w:p>
        </w:tc>
        <w:tc>
          <w:tcPr>
            <w:tcW w:w="1060" w:type="dxa"/>
            <w:tcBorders>
              <w:top w:val="nil"/>
              <w:left w:val="nil"/>
              <w:bottom w:val="nil"/>
              <w:right w:val="nil"/>
            </w:tcBorders>
            <w:shd w:val="clear" w:color="000000" w:fill="D9D9D9"/>
            <w:noWrap/>
            <w:vAlign w:val="bottom"/>
            <w:hideMark/>
          </w:tcPr>
          <w:p w14:paraId="5C89E30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78 (33.3%)</w:t>
            </w:r>
          </w:p>
        </w:tc>
        <w:tc>
          <w:tcPr>
            <w:tcW w:w="1060" w:type="dxa"/>
            <w:tcBorders>
              <w:top w:val="nil"/>
              <w:left w:val="nil"/>
              <w:bottom w:val="nil"/>
              <w:right w:val="nil"/>
            </w:tcBorders>
            <w:shd w:val="clear" w:color="000000" w:fill="D9D9D9"/>
            <w:noWrap/>
            <w:vAlign w:val="bottom"/>
            <w:hideMark/>
          </w:tcPr>
          <w:p w14:paraId="30D6623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292 (36.6%)</w:t>
            </w:r>
          </w:p>
        </w:tc>
        <w:tc>
          <w:tcPr>
            <w:tcW w:w="1060" w:type="dxa"/>
            <w:tcBorders>
              <w:top w:val="nil"/>
              <w:left w:val="nil"/>
              <w:bottom w:val="nil"/>
              <w:right w:val="nil"/>
            </w:tcBorders>
            <w:shd w:val="clear" w:color="000000" w:fill="D9D9D9"/>
            <w:noWrap/>
            <w:vAlign w:val="bottom"/>
            <w:hideMark/>
          </w:tcPr>
          <w:p w14:paraId="2B82FBC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155 (45.6%)</w:t>
            </w:r>
          </w:p>
        </w:tc>
        <w:tc>
          <w:tcPr>
            <w:tcW w:w="1060" w:type="dxa"/>
            <w:tcBorders>
              <w:top w:val="nil"/>
              <w:left w:val="nil"/>
              <w:bottom w:val="nil"/>
              <w:right w:val="nil"/>
            </w:tcBorders>
            <w:shd w:val="clear" w:color="000000" w:fill="D9D9D9"/>
            <w:noWrap/>
            <w:vAlign w:val="bottom"/>
            <w:hideMark/>
          </w:tcPr>
          <w:p w14:paraId="5B01B75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80 (44.9%)</w:t>
            </w:r>
          </w:p>
        </w:tc>
        <w:tc>
          <w:tcPr>
            <w:tcW w:w="1060" w:type="dxa"/>
            <w:tcBorders>
              <w:top w:val="nil"/>
              <w:left w:val="nil"/>
              <w:bottom w:val="nil"/>
              <w:right w:val="nil"/>
            </w:tcBorders>
            <w:shd w:val="clear" w:color="000000" w:fill="D9D9D9"/>
            <w:noWrap/>
            <w:vAlign w:val="bottom"/>
            <w:hideMark/>
          </w:tcPr>
          <w:p w14:paraId="6BE276D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32 (23.7%)</w:t>
            </w:r>
          </w:p>
        </w:tc>
        <w:tc>
          <w:tcPr>
            <w:tcW w:w="1060" w:type="dxa"/>
            <w:tcBorders>
              <w:top w:val="nil"/>
              <w:left w:val="nil"/>
              <w:bottom w:val="nil"/>
              <w:right w:val="nil"/>
            </w:tcBorders>
            <w:shd w:val="clear" w:color="000000" w:fill="D9D9D9"/>
            <w:noWrap/>
            <w:vAlign w:val="bottom"/>
            <w:hideMark/>
          </w:tcPr>
          <w:p w14:paraId="69F5FCD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170 (39.4%)</w:t>
            </w:r>
          </w:p>
        </w:tc>
        <w:tc>
          <w:tcPr>
            <w:tcW w:w="1060" w:type="dxa"/>
            <w:tcBorders>
              <w:top w:val="nil"/>
              <w:left w:val="nil"/>
              <w:bottom w:val="nil"/>
              <w:right w:val="nil"/>
            </w:tcBorders>
            <w:shd w:val="clear" w:color="000000" w:fill="D9D9D9"/>
            <w:noWrap/>
            <w:vAlign w:val="bottom"/>
            <w:hideMark/>
          </w:tcPr>
          <w:p w14:paraId="1CF1526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112 (41%)</w:t>
            </w:r>
          </w:p>
        </w:tc>
        <w:tc>
          <w:tcPr>
            <w:tcW w:w="1060" w:type="dxa"/>
            <w:tcBorders>
              <w:top w:val="nil"/>
              <w:left w:val="nil"/>
              <w:bottom w:val="nil"/>
              <w:right w:val="nil"/>
            </w:tcBorders>
            <w:shd w:val="clear" w:color="000000" w:fill="D9D9D9"/>
            <w:noWrap/>
            <w:vAlign w:val="bottom"/>
            <w:hideMark/>
          </w:tcPr>
          <w:p w14:paraId="70F3A0F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80 (42.1%)</w:t>
            </w:r>
          </w:p>
        </w:tc>
        <w:tc>
          <w:tcPr>
            <w:tcW w:w="1060" w:type="dxa"/>
            <w:tcBorders>
              <w:top w:val="nil"/>
              <w:left w:val="nil"/>
              <w:bottom w:val="nil"/>
              <w:right w:val="single" w:sz="4" w:space="0" w:color="auto"/>
            </w:tcBorders>
            <w:shd w:val="clear" w:color="000000" w:fill="D9D9D9"/>
            <w:noWrap/>
            <w:vAlign w:val="bottom"/>
            <w:hideMark/>
          </w:tcPr>
          <w:p w14:paraId="4D72481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7496D59D"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46157B31"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Current</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smoker</w:t>
            </w:r>
            <w:proofErr w:type="spellEnd"/>
          </w:p>
        </w:tc>
        <w:tc>
          <w:tcPr>
            <w:tcW w:w="1060" w:type="dxa"/>
            <w:tcBorders>
              <w:top w:val="nil"/>
              <w:left w:val="nil"/>
              <w:bottom w:val="nil"/>
              <w:right w:val="nil"/>
            </w:tcBorders>
            <w:shd w:val="clear" w:color="auto" w:fill="auto"/>
            <w:noWrap/>
            <w:vAlign w:val="bottom"/>
            <w:hideMark/>
          </w:tcPr>
          <w:p w14:paraId="4123DE3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23 (9.8%)</w:t>
            </w:r>
          </w:p>
        </w:tc>
        <w:tc>
          <w:tcPr>
            <w:tcW w:w="1060" w:type="dxa"/>
            <w:tcBorders>
              <w:top w:val="nil"/>
              <w:left w:val="nil"/>
              <w:bottom w:val="nil"/>
              <w:right w:val="nil"/>
            </w:tcBorders>
            <w:shd w:val="clear" w:color="auto" w:fill="auto"/>
            <w:noWrap/>
            <w:vAlign w:val="bottom"/>
            <w:hideMark/>
          </w:tcPr>
          <w:p w14:paraId="1811C96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110 (13.8%)</w:t>
            </w:r>
          </w:p>
        </w:tc>
        <w:tc>
          <w:tcPr>
            <w:tcW w:w="1060" w:type="dxa"/>
            <w:tcBorders>
              <w:top w:val="nil"/>
              <w:left w:val="nil"/>
              <w:bottom w:val="nil"/>
              <w:right w:val="nil"/>
            </w:tcBorders>
            <w:shd w:val="clear" w:color="auto" w:fill="auto"/>
            <w:noWrap/>
            <w:vAlign w:val="bottom"/>
            <w:hideMark/>
          </w:tcPr>
          <w:p w14:paraId="7D67C52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50 (14.7%)</w:t>
            </w:r>
          </w:p>
        </w:tc>
        <w:tc>
          <w:tcPr>
            <w:tcW w:w="1060" w:type="dxa"/>
            <w:tcBorders>
              <w:top w:val="nil"/>
              <w:left w:val="nil"/>
              <w:bottom w:val="nil"/>
              <w:right w:val="nil"/>
            </w:tcBorders>
            <w:shd w:val="clear" w:color="auto" w:fill="auto"/>
            <w:noWrap/>
            <w:vAlign w:val="bottom"/>
            <w:hideMark/>
          </w:tcPr>
          <w:p w14:paraId="1102B85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22 (12.4%)</w:t>
            </w:r>
          </w:p>
        </w:tc>
        <w:tc>
          <w:tcPr>
            <w:tcW w:w="1060" w:type="dxa"/>
            <w:tcBorders>
              <w:top w:val="nil"/>
              <w:left w:val="nil"/>
              <w:bottom w:val="nil"/>
              <w:right w:val="nil"/>
            </w:tcBorders>
            <w:shd w:val="clear" w:color="auto" w:fill="auto"/>
            <w:noWrap/>
            <w:vAlign w:val="bottom"/>
            <w:hideMark/>
          </w:tcPr>
          <w:p w14:paraId="3065C4C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 (9.6%)</w:t>
            </w:r>
          </w:p>
        </w:tc>
        <w:tc>
          <w:tcPr>
            <w:tcW w:w="1060" w:type="dxa"/>
            <w:tcBorders>
              <w:top w:val="nil"/>
              <w:left w:val="nil"/>
              <w:bottom w:val="nil"/>
              <w:right w:val="nil"/>
            </w:tcBorders>
            <w:shd w:val="clear" w:color="auto" w:fill="auto"/>
            <w:noWrap/>
            <w:vAlign w:val="bottom"/>
            <w:hideMark/>
          </w:tcPr>
          <w:p w14:paraId="4B3AFFD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53 (12.3%)</w:t>
            </w:r>
          </w:p>
        </w:tc>
        <w:tc>
          <w:tcPr>
            <w:tcW w:w="1060" w:type="dxa"/>
            <w:tcBorders>
              <w:top w:val="nil"/>
              <w:left w:val="nil"/>
              <w:bottom w:val="nil"/>
              <w:right w:val="nil"/>
            </w:tcBorders>
            <w:shd w:val="clear" w:color="auto" w:fill="auto"/>
            <w:noWrap/>
            <w:vAlign w:val="bottom"/>
            <w:hideMark/>
          </w:tcPr>
          <w:p w14:paraId="3175335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40 (14.7%)</w:t>
            </w:r>
          </w:p>
        </w:tc>
        <w:tc>
          <w:tcPr>
            <w:tcW w:w="1060" w:type="dxa"/>
            <w:tcBorders>
              <w:top w:val="nil"/>
              <w:left w:val="nil"/>
              <w:bottom w:val="nil"/>
              <w:right w:val="nil"/>
            </w:tcBorders>
            <w:shd w:val="clear" w:color="auto" w:fill="auto"/>
            <w:noWrap/>
            <w:vAlign w:val="bottom"/>
            <w:hideMark/>
          </w:tcPr>
          <w:p w14:paraId="783E995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 (12.6%)</w:t>
            </w:r>
          </w:p>
        </w:tc>
        <w:tc>
          <w:tcPr>
            <w:tcW w:w="1060" w:type="dxa"/>
            <w:tcBorders>
              <w:top w:val="nil"/>
              <w:left w:val="nil"/>
              <w:bottom w:val="nil"/>
              <w:right w:val="single" w:sz="4" w:space="0" w:color="auto"/>
            </w:tcBorders>
            <w:shd w:val="clear" w:color="auto" w:fill="auto"/>
            <w:noWrap/>
            <w:vAlign w:val="bottom"/>
            <w:hideMark/>
          </w:tcPr>
          <w:p w14:paraId="148CB20A" w14:textId="77777777" w:rsidR="00E30D79" w:rsidRPr="00A23275" w:rsidRDefault="00E30D79" w:rsidP="00C26C4B">
            <w:pPr>
              <w:jc w:val="center"/>
              <w:rPr>
                <w:rFonts w:ascii="Calibri" w:eastAsia="Times New Roman" w:hAnsi="Calibri"/>
                <w:color w:val="000000"/>
                <w:sz w:val="14"/>
                <w:szCs w:val="14"/>
              </w:rPr>
            </w:pPr>
          </w:p>
        </w:tc>
      </w:tr>
      <w:tr w:rsidR="00E30D79" w:rsidRPr="00A23275" w14:paraId="0482F1A0"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598DD9C6" w14:textId="77777777" w:rsidR="00E30D79" w:rsidRPr="00A23275" w:rsidRDefault="00E30D79" w:rsidP="00C26C4B">
            <w:pPr>
              <w:rPr>
                <w:rFonts w:ascii="Calibri" w:eastAsia="Times New Roman" w:hAnsi="Calibri"/>
                <w:b/>
                <w:bCs/>
                <w:color w:val="000000"/>
                <w:sz w:val="14"/>
                <w:szCs w:val="14"/>
              </w:rPr>
            </w:pPr>
            <w:proofErr w:type="spellStart"/>
            <w:r w:rsidRPr="00F65951">
              <w:rPr>
                <w:rFonts w:ascii="Calibri" w:eastAsia="Times New Roman" w:hAnsi="Calibri"/>
                <w:b/>
                <w:bCs/>
                <w:color w:val="000000"/>
                <w:sz w:val="14"/>
                <w:szCs w:val="14"/>
              </w:rPr>
              <w:t>Chronic</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obstructive</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pulmonary</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disease</w:t>
            </w:r>
            <w:proofErr w:type="spellEnd"/>
          </w:p>
        </w:tc>
        <w:tc>
          <w:tcPr>
            <w:tcW w:w="1060" w:type="dxa"/>
            <w:tcBorders>
              <w:top w:val="nil"/>
              <w:left w:val="nil"/>
              <w:bottom w:val="nil"/>
              <w:right w:val="nil"/>
            </w:tcBorders>
            <w:shd w:val="clear" w:color="000000" w:fill="D9D9D9"/>
            <w:noWrap/>
            <w:vAlign w:val="bottom"/>
            <w:hideMark/>
          </w:tcPr>
          <w:p w14:paraId="31E876F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39 (16.7%)</w:t>
            </w:r>
          </w:p>
        </w:tc>
        <w:tc>
          <w:tcPr>
            <w:tcW w:w="1060" w:type="dxa"/>
            <w:tcBorders>
              <w:top w:val="nil"/>
              <w:left w:val="nil"/>
              <w:bottom w:val="nil"/>
              <w:right w:val="nil"/>
            </w:tcBorders>
            <w:shd w:val="clear" w:color="000000" w:fill="D9D9D9"/>
            <w:noWrap/>
            <w:vAlign w:val="bottom"/>
            <w:hideMark/>
          </w:tcPr>
          <w:p w14:paraId="3E27D89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84 (10.5%)</w:t>
            </w:r>
          </w:p>
        </w:tc>
        <w:tc>
          <w:tcPr>
            <w:tcW w:w="1060" w:type="dxa"/>
            <w:tcBorders>
              <w:top w:val="nil"/>
              <w:left w:val="nil"/>
              <w:bottom w:val="nil"/>
              <w:right w:val="nil"/>
            </w:tcBorders>
            <w:shd w:val="clear" w:color="000000" w:fill="D9D9D9"/>
            <w:noWrap/>
            <w:vAlign w:val="bottom"/>
            <w:hideMark/>
          </w:tcPr>
          <w:p w14:paraId="19ADC97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31 (9.1%)</w:t>
            </w:r>
          </w:p>
        </w:tc>
        <w:tc>
          <w:tcPr>
            <w:tcW w:w="1060" w:type="dxa"/>
            <w:tcBorders>
              <w:top w:val="nil"/>
              <w:left w:val="nil"/>
              <w:bottom w:val="nil"/>
              <w:right w:val="nil"/>
            </w:tcBorders>
            <w:shd w:val="clear" w:color="000000" w:fill="D9D9D9"/>
            <w:noWrap/>
            <w:vAlign w:val="bottom"/>
            <w:hideMark/>
          </w:tcPr>
          <w:p w14:paraId="3B15B5B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 (7.9%)</w:t>
            </w:r>
          </w:p>
        </w:tc>
        <w:tc>
          <w:tcPr>
            <w:tcW w:w="1060" w:type="dxa"/>
            <w:tcBorders>
              <w:top w:val="nil"/>
              <w:left w:val="nil"/>
              <w:bottom w:val="nil"/>
              <w:right w:val="nil"/>
            </w:tcBorders>
            <w:shd w:val="clear" w:color="000000" w:fill="D9D9D9"/>
            <w:noWrap/>
            <w:vAlign w:val="bottom"/>
            <w:hideMark/>
          </w:tcPr>
          <w:p w14:paraId="4AE7FF4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 (13.3%)</w:t>
            </w:r>
          </w:p>
        </w:tc>
        <w:tc>
          <w:tcPr>
            <w:tcW w:w="1060" w:type="dxa"/>
            <w:tcBorders>
              <w:top w:val="nil"/>
              <w:left w:val="nil"/>
              <w:bottom w:val="nil"/>
              <w:right w:val="nil"/>
            </w:tcBorders>
            <w:shd w:val="clear" w:color="000000" w:fill="D9D9D9"/>
            <w:noWrap/>
            <w:vAlign w:val="bottom"/>
            <w:hideMark/>
          </w:tcPr>
          <w:p w14:paraId="4138EE3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41 (9.5%)</w:t>
            </w:r>
          </w:p>
        </w:tc>
        <w:tc>
          <w:tcPr>
            <w:tcW w:w="1060" w:type="dxa"/>
            <w:tcBorders>
              <w:top w:val="nil"/>
              <w:left w:val="nil"/>
              <w:bottom w:val="nil"/>
              <w:right w:val="nil"/>
            </w:tcBorders>
            <w:shd w:val="clear" w:color="000000" w:fill="D9D9D9"/>
            <w:noWrap/>
            <w:vAlign w:val="bottom"/>
            <w:hideMark/>
          </w:tcPr>
          <w:p w14:paraId="40172F8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 (10.3%)</w:t>
            </w:r>
          </w:p>
        </w:tc>
        <w:tc>
          <w:tcPr>
            <w:tcW w:w="1060" w:type="dxa"/>
            <w:tcBorders>
              <w:top w:val="nil"/>
              <w:left w:val="nil"/>
              <w:bottom w:val="nil"/>
              <w:right w:val="nil"/>
            </w:tcBorders>
            <w:shd w:val="clear" w:color="000000" w:fill="D9D9D9"/>
            <w:noWrap/>
            <w:vAlign w:val="bottom"/>
            <w:hideMark/>
          </w:tcPr>
          <w:p w14:paraId="548865A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 (8.9%)</w:t>
            </w:r>
          </w:p>
        </w:tc>
        <w:tc>
          <w:tcPr>
            <w:tcW w:w="1060" w:type="dxa"/>
            <w:tcBorders>
              <w:top w:val="nil"/>
              <w:left w:val="nil"/>
              <w:bottom w:val="nil"/>
              <w:right w:val="single" w:sz="4" w:space="0" w:color="auto"/>
            </w:tcBorders>
            <w:shd w:val="clear" w:color="000000" w:fill="D9D9D9"/>
            <w:noWrap/>
            <w:vAlign w:val="bottom"/>
            <w:hideMark/>
          </w:tcPr>
          <w:p w14:paraId="0FB0964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0.047</w:t>
            </w:r>
          </w:p>
        </w:tc>
      </w:tr>
      <w:tr w:rsidR="00E30D79" w:rsidRPr="00A23275" w14:paraId="675F1905"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2E7C3EF3" w14:textId="77777777" w:rsidR="00E30D79" w:rsidRPr="00A23275" w:rsidRDefault="00E30D79" w:rsidP="00C26C4B">
            <w:pPr>
              <w:rPr>
                <w:rFonts w:ascii="Calibri" w:eastAsia="Times New Roman" w:hAnsi="Calibri"/>
                <w:b/>
                <w:bCs/>
                <w:color w:val="000000"/>
                <w:sz w:val="14"/>
                <w:szCs w:val="14"/>
              </w:rPr>
            </w:pPr>
            <w:proofErr w:type="spellStart"/>
            <w:r w:rsidRPr="00F65951">
              <w:rPr>
                <w:rFonts w:ascii="Calibri" w:eastAsia="Times New Roman" w:hAnsi="Calibri"/>
                <w:b/>
                <w:bCs/>
                <w:color w:val="000000"/>
                <w:sz w:val="14"/>
                <w:szCs w:val="14"/>
              </w:rPr>
              <w:t>Myocardial</w:t>
            </w:r>
            <w:proofErr w:type="spellEnd"/>
            <w:r w:rsidRPr="00F65951">
              <w:rPr>
                <w:rFonts w:ascii="Calibri" w:eastAsia="Times New Roman" w:hAnsi="Calibri"/>
                <w:b/>
                <w:bCs/>
                <w:color w:val="000000"/>
                <w:sz w:val="14"/>
                <w:szCs w:val="14"/>
              </w:rPr>
              <w:t xml:space="preserve"> </w:t>
            </w:r>
            <w:proofErr w:type="spellStart"/>
            <w:r w:rsidRPr="00F65951">
              <w:rPr>
                <w:rFonts w:ascii="Calibri" w:eastAsia="Times New Roman" w:hAnsi="Calibri"/>
                <w:b/>
                <w:bCs/>
                <w:color w:val="000000"/>
                <w:sz w:val="14"/>
                <w:szCs w:val="14"/>
              </w:rPr>
              <w:t>infarction</w:t>
            </w:r>
            <w:proofErr w:type="spellEnd"/>
          </w:p>
        </w:tc>
        <w:tc>
          <w:tcPr>
            <w:tcW w:w="1060" w:type="dxa"/>
            <w:tcBorders>
              <w:top w:val="nil"/>
              <w:left w:val="nil"/>
              <w:bottom w:val="nil"/>
              <w:right w:val="nil"/>
            </w:tcBorders>
            <w:shd w:val="clear" w:color="auto" w:fill="auto"/>
            <w:noWrap/>
            <w:vAlign w:val="bottom"/>
            <w:hideMark/>
          </w:tcPr>
          <w:p w14:paraId="6F87B01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69 (52.3%)</w:t>
            </w:r>
          </w:p>
        </w:tc>
        <w:tc>
          <w:tcPr>
            <w:tcW w:w="1060" w:type="dxa"/>
            <w:tcBorders>
              <w:top w:val="nil"/>
              <w:left w:val="nil"/>
              <w:bottom w:val="nil"/>
              <w:right w:val="nil"/>
            </w:tcBorders>
            <w:shd w:val="clear" w:color="auto" w:fill="auto"/>
            <w:noWrap/>
            <w:vAlign w:val="bottom"/>
            <w:hideMark/>
          </w:tcPr>
          <w:p w14:paraId="437C3F7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264 (44.7%)</w:t>
            </w:r>
          </w:p>
        </w:tc>
        <w:tc>
          <w:tcPr>
            <w:tcW w:w="1060" w:type="dxa"/>
            <w:tcBorders>
              <w:top w:val="nil"/>
              <w:left w:val="nil"/>
              <w:bottom w:val="nil"/>
              <w:right w:val="nil"/>
            </w:tcBorders>
            <w:shd w:val="clear" w:color="auto" w:fill="auto"/>
            <w:noWrap/>
            <w:vAlign w:val="bottom"/>
            <w:hideMark/>
          </w:tcPr>
          <w:p w14:paraId="109ADC7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123 (45.4%)</w:t>
            </w:r>
          </w:p>
        </w:tc>
        <w:tc>
          <w:tcPr>
            <w:tcW w:w="1060" w:type="dxa"/>
            <w:tcBorders>
              <w:top w:val="nil"/>
              <w:left w:val="nil"/>
              <w:bottom w:val="nil"/>
              <w:right w:val="nil"/>
            </w:tcBorders>
            <w:shd w:val="clear" w:color="auto" w:fill="auto"/>
            <w:noWrap/>
            <w:vAlign w:val="bottom"/>
            <w:hideMark/>
          </w:tcPr>
          <w:p w14:paraId="2007C7B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58 (49.2%)</w:t>
            </w:r>
          </w:p>
        </w:tc>
        <w:tc>
          <w:tcPr>
            <w:tcW w:w="1060" w:type="dxa"/>
            <w:tcBorders>
              <w:top w:val="nil"/>
              <w:left w:val="nil"/>
              <w:bottom w:val="nil"/>
              <w:right w:val="nil"/>
            </w:tcBorders>
            <w:shd w:val="clear" w:color="auto" w:fill="auto"/>
            <w:noWrap/>
            <w:vAlign w:val="bottom"/>
            <w:hideMark/>
          </w:tcPr>
          <w:p w14:paraId="6584E00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40 (59.7%)</w:t>
            </w:r>
          </w:p>
        </w:tc>
        <w:tc>
          <w:tcPr>
            <w:tcW w:w="1060" w:type="dxa"/>
            <w:tcBorders>
              <w:top w:val="nil"/>
              <w:left w:val="nil"/>
              <w:bottom w:val="nil"/>
              <w:right w:val="nil"/>
            </w:tcBorders>
            <w:shd w:val="clear" w:color="auto" w:fill="auto"/>
            <w:noWrap/>
            <w:vAlign w:val="bottom"/>
            <w:hideMark/>
          </w:tcPr>
          <w:p w14:paraId="3593BA7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143 (42.1%)</w:t>
            </w:r>
          </w:p>
        </w:tc>
        <w:tc>
          <w:tcPr>
            <w:tcW w:w="1060" w:type="dxa"/>
            <w:tcBorders>
              <w:top w:val="nil"/>
              <w:left w:val="nil"/>
              <w:bottom w:val="nil"/>
              <w:right w:val="nil"/>
            </w:tcBorders>
            <w:shd w:val="clear" w:color="auto" w:fill="auto"/>
            <w:noWrap/>
            <w:vAlign w:val="bottom"/>
            <w:hideMark/>
          </w:tcPr>
          <w:p w14:paraId="7F6486F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89 (42.2%)</w:t>
            </w:r>
          </w:p>
        </w:tc>
        <w:tc>
          <w:tcPr>
            <w:tcW w:w="1060" w:type="dxa"/>
            <w:tcBorders>
              <w:top w:val="nil"/>
              <w:left w:val="nil"/>
              <w:bottom w:val="nil"/>
              <w:right w:val="nil"/>
            </w:tcBorders>
            <w:shd w:val="clear" w:color="auto" w:fill="auto"/>
            <w:noWrap/>
            <w:vAlign w:val="bottom"/>
            <w:hideMark/>
          </w:tcPr>
          <w:p w14:paraId="4E99E27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52 (38%)</w:t>
            </w:r>
          </w:p>
        </w:tc>
        <w:tc>
          <w:tcPr>
            <w:tcW w:w="1060" w:type="dxa"/>
            <w:tcBorders>
              <w:top w:val="nil"/>
              <w:left w:val="nil"/>
              <w:bottom w:val="nil"/>
              <w:right w:val="single" w:sz="4" w:space="0" w:color="auto"/>
            </w:tcBorders>
            <w:shd w:val="clear" w:color="auto" w:fill="auto"/>
            <w:noWrap/>
            <w:vAlign w:val="bottom"/>
            <w:hideMark/>
          </w:tcPr>
          <w:p w14:paraId="009175C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0.0001</w:t>
            </w:r>
          </w:p>
        </w:tc>
      </w:tr>
      <w:tr w:rsidR="00E30D79" w:rsidRPr="00A23275" w14:paraId="2B8D2DDF"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464FBF97"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Isch</w:t>
            </w:r>
            <w:r>
              <w:rPr>
                <w:rFonts w:ascii="Calibri" w:eastAsia="Times New Roman" w:hAnsi="Calibri"/>
                <w:b/>
                <w:bCs/>
                <w:color w:val="000000"/>
                <w:sz w:val="14"/>
                <w:szCs w:val="14"/>
              </w:rPr>
              <w:t>a</w:t>
            </w:r>
            <w:r w:rsidRPr="00A23275">
              <w:rPr>
                <w:rFonts w:ascii="Calibri" w:eastAsia="Times New Roman" w:hAnsi="Calibri"/>
                <w:b/>
                <w:bCs/>
                <w:color w:val="000000"/>
                <w:sz w:val="14"/>
                <w:szCs w:val="14"/>
              </w:rPr>
              <w:t>emic</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aetiology</w:t>
            </w:r>
            <w:proofErr w:type="spellEnd"/>
          </w:p>
        </w:tc>
        <w:tc>
          <w:tcPr>
            <w:tcW w:w="1060" w:type="dxa"/>
            <w:tcBorders>
              <w:top w:val="nil"/>
              <w:left w:val="nil"/>
              <w:bottom w:val="nil"/>
              <w:right w:val="nil"/>
            </w:tcBorders>
            <w:shd w:val="clear" w:color="000000" w:fill="D9D9D9"/>
            <w:noWrap/>
            <w:vAlign w:val="bottom"/>
            <w:hideMark/>
          </w:tcPr>
          <w:p w14:paraId="7C75E2F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115 (50.7%)</w:t>
            </w:r>
          </w:p>
        </w:tc>
        <w:tc>
          <w:tcPr>
            <w:tcW w:w="1060" w:type="dxa"/>
            <w:tcBorders>
              <w:top w:val="nil"/>
              <w:left w:val="nil"/>
              <w:bottom w:val="nil"/>
              <w:right w:val="nil"/>
            </w:tcBorders>
            <w:shd w:val="clear" w:color="000000" w:fill="D9D9D9"/>
            <w:noWrap/>
            <w:vAlign w:val="bottom"/>
            <w:hideMark/>
          </w:tcPr>
          <w:p w14:paraId="518FFE4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395 (50.3%)</w:t>
            </w:r>
          </w:p>
        </w:tc>
        <w:tc>
          <w:tcPr>
            <w:tcW w:w="1060" w:type="dxa"/>
            <w:tcBorders>
              <w:top w:val="nil"/>
              <w:left w:val="nil"/>
              <w:bottom w:val="nil"/>
              <w:right w:val="nil"/>
            </w:tcBorders>
            <w:shd w:val="clear" w:color="000000" w:fill="D9D9D9"/>
            <w:noWrap/>
            <w:vAlign w:val="bottom"/>
            <w:hideMark/>
          </w:tcPr>
          <w:p w14:paraId="1C1AFBF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185 (55.7%)</w:t>
            </w:r>
          </w:p>
        </w:tc>
        <w:tc>
          <w:tcPr>
            <w:tcW w:w="1060" w:type="dxa"/>
            <w:tcBorders>
              <w:top w:val="nil"/>
              <w:left w:val="nil"/>
              <w:bottom w:val="nil"/>
              <w:right w:val="nil"/>
            </w:tcBorders>
            <w:shd w:val="clear" w:color="000000" w:fill="D9D9D9"/>
            <w:noWrap/>
            <w:vAlign w:val="bottom"/>
            <w:hideMark/>
          </w:tcPr>
          <w:p w14:paraId="52418E4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88 (51.5%)</w:t>
            </w:r>
          </w:p>
        </w:tc>
        <w:tc>
          <w:tcPr>
            <w:tcW w:w="1060" w:type="dxa"/>
            <w:tcBorders>
              <w:top w:val="nil"/>
              <w:left w:val="nil"/>
              <w:bottom w:val="nil"/>
              <w:right w:val="nil"/>
            </w:tcBorders>
            <w:shd w:val="clear" w:color="000000" w:fill="D9D9D9"/>
            <w:noWrap/>
            <w:vAlign w:val="bottom"/>
            <w:hideMark/>
          </w:tcPr>
          <w:p w14:paraId="37FBCED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60 (48.4%)</w:t>
            </w:r>
          </w:p>
        </w:tc>
        <w:tc>
          <w:tcPr>
            <w:tcW w:w="1060" w:type="dxa"/>
            <w:tcBorders>
              <w:top w:val="nil"/>
              <w:left w:val="nil"/>
              <w:bottom w:val="nil"/>
              <w:right w:val="nil"/>
            </w:tcBorders>
            <w:shd w:val="clear" w:color="000000" w:fill="D9D9D9"/>
            <w:noWrap/>
            <w:vAlign w:val="bottom"/>
            <w:hideMark/>
          </w:tcPr>
          <w:p w14:paraId="523B363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217 (51.3%)</w:t>
            </w:r>
          </w:p>
        </w:tc>
        <w:tc>
          <w:tcPr>
            <w:tcW w:w="1060" w:type="dxa"/>
            <w:tcBorders>
              <w:top w:val="nil"/>
              <w:left w:val="nil"/>
              <w:bottom w:val="nil"/>
              <w:right w:val="nil"/>
            </w:tcBorders>
            <w:shd w:val="clear" w:color="000000" w:fill="D9D9D9"/>
            <w:noWrap/>
            <w:vAlign w:val="bottom"/>
            <w:hideMark/>
          </w:tcPr>
          <w:p w14:paraId="449CD97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129 (48.9%)</w:t>
            </w:r>
          </w:p>
        </w:tc>
        <w:tc>
          <w:tcPr>
            <w:tcW w:w="1060" w:type="dxa"/>
            <w:tcBorders>
              <w:top w:val="nil"/>
              <w:left w:val="nil"/>
              <w:bottom w:val="nil"/>
              <w:right w:val="nil"/>
            </w:tcBorders>
            <w:shd w:val="clear" w:color="000000" w:fill="D9D9D9"/>
            <w:noWrap/>
            <w:vAlign w:val="bottom"/>
            <w:hideMark/>
          </w:tcPr>
          <w:p w14:paraId="504E93A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76 (41.3%)</w:t>
            </w:r>
          </w:p>
        </w:tc>
        <w:tc>
          <w:tcPr>
            <w:tcW w:w="1060" w:type="dxa"/>
            <w:tcBorders>
              <w:top w:val="nil"/>
              <w:left w:val="nil"/>
              <w:bottom w:val="nil"/>
              <w:right w:val="single" w:sz="4" w:space="0" w:color="auto"/>
            </w:tcBorders>
            <w:shd w:val="clear" w:color="000000" w:fill="D9D9D9"/>
            <w:noWrap/>
            <w:vAlign w:val="bottom"/>
            <w:hideMark/>
          </w:tcPr>
          <w:p w14:paraId="7182373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0.07</w:t>
            </w:r>
          </w:p>
        </w:tc>
      </w:tr>
      <w:tr w:rsidR="00E30D79" w:rsidRPr="00A23275" w14:paraId="35CE9BFA"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62258546"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NYHA Class III/IV</w:t>
            </w:r>
          </w:p>
        </w:tc>
        <w:tc>
          <w:tcPr>
            <w:tcW w:w="1060" w:type="dxa"/>
            <w:tcBorders>
              <w:top w:val="nil"/>
              <w:left w:val="nil"/>
              <w:bottom w:val="nil"/>
              <w:right w:val="nil"/>
            </w:tcBorders>
            <w:shd w:val="clear" w:color="auto" w:fill="auto"/>
            <w:noWrap/>
            <w:vAlign w:val="bottom"/>
            <w:hideMark/>
          </w:tcPr>
          <w:p w14:paraId="5476B04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89 (40.6%)</w:t>
            </w:r>
          </w:p>
        </w:tc>
        <w:tc>
          <w:tcPr>
            <w:tcW w:w="1060" w:type="dxa"/>
            <w:tcBorders>
              <w:top w:val="nil"/>
              <w:left w:val="nil"/>
              <w:bottom w:val="nil"/>
              <w:right w:val="nil"/>
            </w:tcBorders>
            <w:shd w:val="clear" w:color="auto" w:fill="auto"/>
            <w:noWrap/>
            <w:vAlign w:val="bottom"/>
            <w:hideMark/>
          </w:tcPr>
          <w:p w14:paraId="6855C2E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340 (44.4%)</w:t>
            </w:r>
          </w:p>
        </w:tc>
        <w:tc>
          <w:tcPr>
            <w:tcW w:w="1060" w:type="dxa"/>
            <w:tcBorders>
              <w:top w:val="nil"/>
              <w:left w:val="nil"/>
              <w:bottom w:val="nil"/>
              <w:right w:val="nil"/>
            </w:tcBorders>
            <w:shd w:val="clear" w:color="auto" w:fill="auto"/>
            <w:noWrap/>
            <w:vAlign w:val="bottom"/>
            <w:hideMark/>
          </w:tcPr>
          <w:p w14:paraId="3D22DE5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134 (41.2%)</w:t>
            </w:r>
          </w:p>
        </w:tc>
        <w:tc>
          <w:tcPr>
            <w:tcW w:w="1060" w:type="dxa"/>
            <w:tcBorders>
              <w:top w:val="nil"/>
              <w:left w:val="nil"/>
              <w:bottom w:val="nil"/>
              <w:right w:val="nil"/>
            </w:tcBorders>
            <w:shd w:val="clear" w:color="auto" w:fill="auto"/>
            <w:noWrap/>
            <w:vAlign w:val="bottom"/>
            <w:hideMark/>
          </w:tcPr>
          <w:p w14:paraId="7DB8F2A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65 (38%)</w:t>
            </w:r>
          </w:p>
        </w:tc>
        <w:tc>
          <w:tcPr>
            <w:tcW w:w="1060" w:type="dxa"/>
            <w:tcBorders>
              <w:top w:val="nil"/>
              <w:left w:val="nil"/>
              <w:bottom w:val="nil"/>
              <w:right w:val="nil"/>
            </w:tcBorders>
            <w:shd w:val="clear" w:color="auto" w:fill="auto"/>
            <w:noWrap/>
            <w:vAlign w:val="bottom"/>
            <w:hideMark/>
          </w:tcPr>
          <w:p w14:paraId="3B41768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45 (35.7%)</w:t>
            </w:r>
          </w:p>
        </w:tc>
        <w:tc>
          <w:tcPr>
            <w:tcW w:w="1060" w:type="dxa"/>
            <w:tcBorders>
              <w:top w:val="nil"/>
              <w:left w:val="nil"/>
              <w:bottom w:val="nil"/>
              <w:right w:val="nil"/>
            </w:tcBorders>
            <w:shd w:val="clear" w:color="auto" w:fill="auto"/>
            <w:noWrap/>
            <w:vAlign w:val="bottom"/>
            <w:hideMark/>
          </w:tcPr>
          <w:p w14:paraId="596C600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191 (45.6%)</w:t>
            </w:r>
          </w:p>
        </w:tc>
        <w:tc>
          <w:tcPr>
            <w:tcW w:w="1060" w:type="dxa"/>
            <w:tcBorders>
              <w:top w:val="nil"/>
              <w:left w:val="nil"/>
              <w:bottom w:val="nil"/>
              <w:right w:val="nil"/>
            </w:tcBorders>
            <w:shd w:val="clear" w:color="auto" w:fill="auto"/>
            <w:noWrap/>
            <w:vAlign w:val="bottom"/>
            <w:hideMark/>
          </w:tcPr>
          <w:p w14:paraId="2DAC974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117 (44.2%)</w:t>
            </w:r>
          </w:p>
        </w:tc>
        <w:tc>
          <w:tcPr>
            <w:tcW w:w="1060" w:type="dxa"/>
            <w:tcBorders>
              <w:top w:val="nil"/>
              <w:left w:val="nil"/>
              <w:bottom w:val="nil"/>
              <w:right w:val="nil"/>
            </w:tcBorders>
            <w:shd w:val="clear" w:color="auto" w:fill="auto"/>
            <w:noWrap/>
            <w:vAlign w:val="bottom"/>
            <w:hideMark/>
          </w:tcPr>
          <w:p w14:paraId="5133609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70 (37.6%)</w:t>
            </w:r>
          </w:p>
        </w:tc>
        <w:tc>
          <w:tcPr>
            <w:tcW w:w="1060" w:type="dxa"/>
            <w:tcBorders>
              <w:top w:val="nil"/>
              <w:left w:val="nil"/>
              <w:bottom w:val="nil"/>
              <w:right w:val="single" w:sz="4" w:space="0" w:color="auto"/>
            </w:tcBorders>
            <w:shd w:val="clear" w:color="auto" w:fill="auto"/>
            <w:noWrap/>
            <w:vAlign w:val="bottom"/>
            <w:hideMark/>
          </w:tcPr>
          <w:p w14:paraId="3B0E7C9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4B7F56EC"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5242879B" w14:textId="77777777" w:rsidR="00E30D79" w:rsidRPr="00A23275" w:rsidRDefault="00E30D79" w:rsidP="00C26C4B">
            <w:pPr>
              <w:rPr>
                <w:rFonts w:ascii="Calibri" w:eastAsia="Times New Roman" w:hAnsi="Calibri"/>
                <w:b/>
                <w:bCs/>
                <w:color w:val="000000"/>
                <w:sz w:val="14"/>
                <w:szCs w:val="14"/>
              </w:rPr>
            </w:pPr>
            <w:proofErr w:type="spellStart"/>
            <w:r>
              <w:rPr>
                <w:rFonts w:ascii="Calibri" w:eastAsia="Times New Roman" w:hAnsi="Calibri"/>
                <w:b/>
                <w:bCs/>
                <w:color w:val="000000"/>
                <w:sz w:val="14"/>
                <w:szCs w:val="14"/>
              </w:rPr>
              <w:t>P</w:t>
            </w:r>
            <w:r w:rsidRPr="00A23275">
              <w:rPr>
                <w:rFonts w:ascii="Calibri" w:eastAsia="Times New Roman" w:hAnsi="Calibri"/>
                <w:b/>
                <w:bCs/>
                <w:color w:val="000000"/>
                <w:sz w:val="14"/>
                <w:szCs w:val="14"/>
              </w:rPr>
              <w:t>eripheral</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oedema</w:t>
            </w:r>
            <w:proofErr w:type="spellEnd"/>
          </w:p>
        </w:tc>
        <w:tc>
          <w:tcPr>
            <w:tcW w:w="1060" w:type="dxa"/>
            <w:tcBorders>
              <w:top w:val="nil"/>
              <w:left w:val="nil"/>
              <w:bottom w:val="nil"/>
              <w:right w:val="nil"/>
            </w:tcBorders>
            <w:shd w:val="clear" w:color="000000" w:fill="D9D9D9"/>
            <w:noWrap/>
            <w:vAlign w:val="bottom"/>
            <w:hideMark/>
          </w:tcPr>
          <w:p w14:paraId="5D59319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73 (31.2%)</w:t>
            </w:r>
          </w:p>
        </w:tc>
        <w:tc>
          <w:tcPr>
            <w:tcW w:w="1060" w:type="dxa"/>
            <w:tcBorders>
              <w:top w:val="nil"/>
              <w:left w:val="nil"/>
              <w:bottom w:val="nil"/>
              <w:right w:val="nil"/>
            </w:tcBorders>
            <w:shd w:val="clear" w:color="000000" w:fill="D9D9D9"/>
            <w:noWrap/>
            <w:vAlign w:val="bottom"/>
            <w:hideMark/>
          </w:tcPr>
          <w:p w14:paraId="41CFE6A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242 (30.4%)</w:t>
            </w:r>
          </w:p>
        </w:tc>
        <w:tc>
          <w:tcPr>
            <w:tcW w:w="1060" w:type="dxa"/>
            <w:tcBorders>
              <w:top w:val="nil"/>
              <w:left w:val="nil"/>
              <w:bottom w:val="nil"/>
              <w:right w:val="nil"/>
            </w:tcBorders>
            <w:shd w:val="clear" w:color="000000" w:fill="D9D9D9"/>
            <w:noWrap/>
            <w:vAlign w:val="bottom"/>
            <w:hideMark/>
          </w:tcPr>
          <w:p w14:paraId="5FD0D0D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117 (34.4%)</w:t>
            </w:r>
          </w:p>
        </w:tc>
        <w:tc>
          <w:tcPr>
            <w:tcW w:w="1060" w:type="dxa"/>
            <w:tcBorders>
              <w:top w:val="nil"/>
              <w:left w:val="nil"/>
              <w:bottom w:val="nil"/>
              <w:right w:val="nil"/>
            </w:tcBorders>
            <w:shd w:val="clear" w:color="000000" w:fill="D9D9D9"/>
            <w:noWrap/>
            <w:vAlign w:val="bottom"/>
            <w:hideMark/>
          </w:tcPr>
          <w:p w14:paraId="68E7993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48 (27%)</w:t>
            </w:r>
          </w:p>
        </w:tc>
        <w:tc>
          <w:tcPr>
            <w:tcW w:w="1060" w:type="dxa"/>
            <w:tcBorders>
              <w:top w:val="nil"/>
              <w:left w:val="nil"/>
              <w:bottom w:val="nil"/>
              <w:right w:val="nil"/>
            </w:tcBorders>
            <w:shd w:val="clear" w:color="000000" w:fill="D9D9D9"/>
            <w:noWrap/>
            <w:vAlign w:val="bottom"/>
            <w:hideMark/>
          </w:tcPr>
          <w:p w14:paraId="17EDFB7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44 (32.6%)</w:t>
            </w:r>
          </w:p>
        </w:tc>
        <w:tc>
          <w:tcPr>
            <w:tcW w:w="1060" w:type="dxa"/>
            <w:tcBorders>
              <w:top w:val="nil"/>
              <w:left w:val="nil"/>
              <w:bottom w:val="nil"/>
              <w:right w:val="nil"/>
            </w:tcBorders>
            <w:shd w:val="clear" w:color="000000" w:fill="D9D9D9"/>
            <w:noWrap/>
            <w:vAlign w:val="bottom"/>
            <w:hideMark/>
          </w:tcPr>
          <w:p w14:paraId="1FD5FE2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152 (35.3%)</w:t>
            </w:r>
          </w:p>
        </w:tc>
        <w:tc>
          <w:tcPr>
            <w:tcW w:w="1060" w:type="dxa"/>
            <w:tcBorders>
              <w:top w:val="nil"/>
              <w:left w:val="nil"/>
              <w:bottom w:val="nil"/>
              <w:right w:val="nil"/>
            </w:tcBorders>
            <w:shd w:val="clear" w:color="000000" w:fill="D9D9D9"/>
            <w:noWrap/>
            <w:vAlign w:val="bottom"/>
            <w:hideMark/>
          </w:tcPr>
          <w:p w14:paraId="6F8498F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96 (35.2%)</w:t>
            </w:r>
          </w:p>
        </w:tc>
        <w:tc>
          <w:tcPr>
            <w:tcW w:w="1060" w:type="dxa"/>
            <w:tcBorders>
              <w:top w:val="nil"/>
              <w:left w:val="nil"/>
              <w:bottom w:val="nil"/>
              <w:right w:val="nil"/>
            </w:tcBorders>
            <w:shd w:val="clear" w:color="000000" w:fill="D9D9D9"/>
            <w:noWrap/>
            <w:vAlign w:val="bottom"/>
            <w:hideMark/>
          </w:tcPr>
          <w:p w14:paraId="4CECA09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59 (31.1%)</w:t>
            </w:r>
          </w:p>
        </w:tc>
        <w:tc>
          <w:tcPr>
            <w:tcW w:w="1060" w:type="dxa"/>
            <w:tcBorders>
              <w:top w:val="nil"/>
              <w:left w:val="nil"/>
              <w:bottom w:val="nil"/>
              <w:right w:val="single" w:sz="4" w:space="0" w:color="auto"/>
            </w:tcBorders>
            <w:shd w:val="clear" w:color="000000" w:fill="D9D9D9"/>
            <w:noWrap/>
            <w:vAlign w:val="bottom"/>
            <w:hideMark/>
          </w:tcPr>
          <w:p w14:paraId="2CDA3DB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0.039</w:t>
            </w:r>
          </w:p>
        </w:tc>
      </w:tr>
      <w:tr w:rsidR="00E30D79" w:rsidRPr="00A23275" w14:paraId="143EFA61"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6F367EB6"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Orthopnea</w:t>
            </w:r>
            <w:proofErr w:type="spellEnd"/>
          </w:p>
        </w:tc>
        <w:tc>
          <w:tcPr>
            <w:tcW w:w="1060" w:type="dxa"/>
            <w:tcBorders>
              <w:top w:val="nil"/>
              <w:left w:val="nil"/>
              <w:bottom w:val="nil"/>
              <w:right w:val="nil"/>
            </w:tcBorders>
            <w:shd w:val="clear" w:color="auto" w:fill="auto"/>
            <w:noWrap/>
            <w:vAlign w:val="bottom"/>
            <w:hideMark/>
          </w:tcPr>
          <w:p w14:paraId="18A80A4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58 (24.8%)</w:t>
            </w:r>
          </w:p>
        </w:tc>
        <w:tc>
          <w:tcPr>
            <w:tcW w:w="1060" w:type="dxa"/>
            <w:tcBorders>
              <w:top w:val="nil"/>
              <w:left w:val="nil"/>
              <w:bottom w:val="nil"/>
              <w:right w:val="nil"/>
            </w:tcBorders>
            <w:shd w:val="clear" w:color="auto" w:fill="auto"/>
            <w:noWrap/>
            <w:vAlign w:val="bottom"/>
            <w:hideMark/>
          </w:tcPr>
          <w:p w14:paraId="019FDAF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205 (25.7%)</w:t>
            </w:r>
          </w:p>
        </w:tc>
        <w:tc>
          <w:tcPr>
            <w:tcW w:w="1060" w:type="dxa"/>
            <w:tcBorders>
              <w:top w:val="nil"/>
              <w:left w:val="nil"/>
              <w:bottom w:val="nil"/>
              <w:right w:val="nil"/>
            </w:tcBorders>
            <w:shd w:val="clear" w:color="auto" w:fill="auto"/>
            <w:noWrap/>
            <w:vAlign w:val="bottom"/>
            <w:hideMark/>
          </w:tcPr>
          <w:p w14:paraId="6C9F983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77 (22.6%)</w:t>
            </w:r>
          </w:p>
        </w:tc>
        <w:tc>
          <w:tcPr>
            <w:tcW w:w="1060" w:type="dxa"/>
            <w:tcBorders>
              <w:top w:val="nil"/>
              <w:left w:val="nil"/>
              <w:bottom w:val="nil"/>
              <w:right w:val="nil"/>
            </w:tcBorders>
            <w:shd w:val="clear" w:color="auto" w:fill="auto"/>
            <w:noWrap/>
            <w:vAlign w:val="bottom"/>
            <w:hideMark/>
          </w:tcPr>
          <w:p w14:paraId="419F13B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39 (21.9%)</w:t>
            </w:r>
          </w:p>
        </w:tc>
        <w:tc>
          <w:tcPr>
            <w:tcW w:w="1060" w:type="dxa"/>
            <w:tcBorders>
              <w:top w:val="nil"/>
              <w:left w:val="nil"/>
              <w:bottom w:val="nil"/>
              <w:right w:val="nil"/>
            </w:tcBorders>
            <w:shd w:val="clear" w:color="auto" w:fill="auto"/>
            <w:noWrap/>
            <w:vAlign w:val="bottom"/>
            <w:hideMark/>
          </w:tcPr>
          <w:p w14:paraId="0EC4B04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36 (26.7%)</w:t>
            </w:r>
          </w:p>
        </w:tc>
        <w:tc>
          <w:tcPr>
            <w:tcW w:w="1060" w:type="dxa"/>
            <w:tcBorders>
              <w:top w:val="nil"/>
              <w:left w:val="nil"/>
              <w:bottom w:val="nil"/>
              <w:right w:val="nil"/>
            </w:tcBorders>
            <w:shd w:val="clear" w:color="auto" w:fill="auto"/>
            <w:noWrap/>
            <w:vAlign w:val="bottom"/>
            <w:hideMark/>
          </w:tcPr>
          <w:p w14:paraId="2AAC126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114 (26.5%)</w:t>
            </w:r>
          </w:p>
        </w:tc>
        <w:tc>
          <w:tcPr>
            <w:tcW w:w="1060" w:type="dxa"/>
            <w:tcBorders>
              <w:top w:val="nil"/>
              <w:left w:val="nil"/>
              <w:bottom w:val="nil"/>
              <w:right w:val="nil"/>
            </w:tcBorders>
            <w:shd w:val="clear" w:color="auto" w:fill="auto"/>
            <w:noWrap/>
            <w:vAlign w:val="bottom"/>
            <w:hideMark/>
          </w:tcPr>
          <w:p w14:paraId="264AB52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61 (22.3%)</w:t>
            </w:r>
          </w:p>
        </w:tc>
        <w:tc>
          <w:tcPr>
            <w:tcW w:w="1060" w:type="dxa"/>
            <w:tcBorders>
              <w:top w:val="nil"/>
              <w:left w:val="nil"/>
              <w:bottom w:val="nil"/>
              <w:right w:val="nil"/>
            </w:tcBorders>
            <w:shd w:val="clear" w:color="auto" w:fill="auto"/>
            <w:noWrap/>
            <w:vAlign w:val="bottom"/>
            <w:hideMark/>
          </w:tcPr>
          <w:p w14:paraId="1B13D0A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38 (20%)</w:t>
            </w:r>
          </w:p>
        </w:tc>
        <w:tc>
          <w:tcPr>
            <w:tcW w:w="1060" w:type="dxa"/>
            <w:tcBorders>
              <w:top w:val="nil"/>
              <w:left w:val="nil"/>
              <w:bottom w:val="nil"/>
              <w:right w:val="single" w:sz="4" w:space="0" w:color="auto"/>
            </w:tcBorders>
            <w:shd w:val="clear" w:color="auto" w:fill="auto"/>
            <w:noWrap/>
            <w:vAlign w:val="bottom"/>
            <w:hideMark/>
          </w:tcPr>
          <w:p w14:paraId="6237DDA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0.27</w:t>
            </w:r>
          </w:p>
        </w:tc>
      </w:tr>
      <w:tr w:rsidR="00E30D79" w:rsidRPr="00A23275" w14:paraId="7125F980"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4F18233E" w14:textId="77777777" w:rsidR="00E30D79" w:rsidRPr="00A23275" w:rsidRDefault="00E30D79" w:rsidP="00C26C4B">
            <w:pPr>
              <w:rPr>
                <w:rFonts w:ascii="Calibri" w:eastAsia="Times New Roman" w:hAnsi="Calibri"/>
                <w:b/>
                <w:bCs/>
                <w:color w:val="000000"/>
                <w:sz w:val="14"/>
                <w:szCs w:val="14"/>
              </w:rPr>
            </w:pPr>
            <w:proofErr w:type="spellStart"/>
            <w:r>
              <w:rPr>
                <w:rFonts w:ascii="Calibri" w:eastAsia="Times New Roman" w:hAnsi="Calibri"/>
                <w:b/>
                <w:bCs/>
                <w:color w:val="000000"/>
                <w:sz w:val="14"/>
                <w:szCs w:val="14"/>
              </w:rPr>
              <w:t>P</w:t>
            </w:r>
            <w:r w:rsidRPr="00A23275">
              <w:rPr>
                <w:rFonts w:ascii="Calibri" w:eastAsia="Times New Roman" w:hAnsi="Calibri"/>
                <w:b/>
                <w:bCs/>
                <w:color w:val="000000"/>
                <w:sz w:val="14"/>
                <w:szCs w:val="14"/>
              </w:rPr>
              <w:t>ulmonary</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rales</w:t>
            </w:r>
            <w:proofErr w:type="spellEnd"/>
          </w:p>
        </w:tc>
        <w:tc>
          <w:tcPr>
            <w:tcW w:w="1060" w:type="dxa"/>
            <w:tcBorders>
              <w:top w:val="nil"/>
              <w:left w:val="nil"/>
              <w:bottom w:val="nil"/>
              <w:right w:val="nil"/>
            </w:tcBorders>
            <w:shd w:val="clear" w:color="000000" w:fill="D9D9D9"/>
            <w:noWrap/>
            <w:vAlign w:val="bottom"/>
            <w:hideMark/>
          </w:tcPr>
          <w:p w14:paraId="6C0CF0B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50 (23.9%)</w:t>
            </w:r>
          </w:p>
        </w:tc>
        <w:tc>
          <w:tcPr>
            <w:tcW w:w="1060" w:type="dxa"/>
            <w:tcBorders>
              <w:top w:val="nil"/>
              <w:left w:val="nil"/>
              <w:bottom w:val="nil"/>
              <w:right w:val="nil"/>
            </w:tcBorders>
            <w:shd w:val="clear" w:color="000000" w:fill="D9D9D9"/>
            <w:noWrap/>
            <w:vAlign w:val="bottom"/>
            <w:hideMark/>
          </w:tcPr>
          <w:p w14:paraId="477B8B9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104 (17.5%)</w:t>
            </w:r>
          </w:p>
        </w:tc>
        <w:tc>
          <w:tcPr>
            <w:tcW w:w="1060" w:type="dxa"/>
            <w:tcBorders>
              <w:top w:val="nil"/>
              <w:left w:val="nil"/>
              <w:bottom w:val="nil"/>
              <w:right w:val="nil"/>
            </w:tcBorders>
            <w:shd w:val="clear" w:color="000000" w:fill="D9D9D9"/>
            <w:noWrap/>
            <w:vAlign w:val="bottom"/>
            <w:hideMark/>
          </w:tcPr>
          <w:p w14:paraId="69A754C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35 (15.2%)</w:t>
            </w:r>
          </w:p>
        </w:tc>
        <w:tc>
          <w:tcPr>
            <w:tcW w:w="1060" w:type="dxa"/>
            <w:tcBorders>
              <w:top w:val="nil"/>
              <w:left w:val="nil"/>
              <w:bottom w:val="nil"/>
              <w:right w:val="nil"/>
            </w:tcBorders>
            <w:shd w:val="clear" w:color="000000" w:fill="D9D9D9"/>
            <w:noWrap/>
            <w:vAlign w:val="bottom"/>
            <w:hideMark/>
          </w:tcPr>
          <w:p w14:paraId="536D561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 (12.7%)</w:t>
            </w:r>
          </w:p>
        </w:tc>
        <w:tc>
          <w:tcPr>
            <w:tcW w:w="1060" w:type="dxa"/>
            <w:tcBorders>
              <w:top w:val="nil"/>
              <w:left w:val="nil"/>
              <w:bottom w:val="nil"/>
              <w:right w:val="nil"/>
            </w:tcBorders>
            <w:shd w:val="clear" w:color="000000" w:fill="D9D9D9"/>
            <w:noWrap/>
            <w:vAlign w:val="bottom"/>
            <w:hideMark/>
          </w:tcPr>
          <w:p w14:paraId="248BFEA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31 (25%)</w:t>
            </w:r>
          </w:p>
        </w:tc>
        <w:tc>
          <w:tcPr>
            <w:tcW w:w="1060" w:type="dxa"/>
            <w:tcBorders>
              <w:top w:val="nil"/>
              <w:left w:val="nil"/>
              <w:bottom w:val="nil"/>
              <w:right w:val="nil"/>
            </w:tcBorders>
            <w:shd w:val="clear" w:color="000000" w:fill="D9D9D9"/>
            <w:noWrap/>
            <w:vAlign w:val="bottom"/>
            <w:hideMark/>
          </w:tcPr>
          <w:p w14:paraId="29B622A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56 (17.8%)</w:t>
            </w:r>
          </w:p>
        </w:tc>
        <w:tc>
          <w:tcPr>
            <w:tcW w:w="1060" w:type="dxa"/>
            <w:tcBorders>
              <w:top w:val="nil"/>
              <w:left w:val="nil"/>
              <w:bottom w:val="nil"/>
              <w:right w:val="nil"/>
            </w:tcBorders>
            <w:shd w:val="clear" w:color="000000" w:fill="D9D9D9"/>
            <w:noWrap/>
            <w:vAlign w:val="bottom"/>
            <w:hideMark/>
          </w:tcPr>
          <w:p w14:paraId="4B5BC7B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 (15.2%)</w:t>
            </w:r>
          </w:p>
        </w:tc>
        <w:tc>
          <w:tcPr>
            <w:tcW w:w="1060" w:type="dxa"/>
            <w:tcBorders>
              <w:top w:val="nil"/>
              <w:left w:val="nil"/>
              <w:bottom w:val="nil"/>
              <w:right w:val="nil"/>
            </w:tcBorders>
            <w:shd w:val="clear" w:color="000000" w:fill="D9D9D9"/>
            <w:noWrap/>
            <w:vAlign w:val="bottom"/>
            <w:hideMark/>
          </w:tcPr>
          <w:p w14:paraId="1B09A50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 (9.8%)</w:t>
            </w:r>
          </w:p>
        </w:tc>
        <w:tc>
          <w:tcPr>
            <w:tcW w:w="1060" w:type="dxa"/>
            <w:tcBorders>
              <w:top w:val="nil"/>
              <w:left w:val="nil"/>
              <w:bottom w:val="nil"/>
              <w:right w:val="single" w:sz="4" w:space="0" w:color="auto"/>
            </w:tcBorders>
            <w:shd w:val="clear" w:color="000000" w:fill="D9D9D9"/>
            <w:noWrap/>
            <w:vAlign w:val="bottom"/>
            <w:hideMark/>
          </w:tcPr>
          <w:p w14:paraId="5C0CC67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0.002</w:t>
            </w:r>
          </w:p>
        </w:tc>
      </w:tr>
      <w:tr w:rsidR="00E30D79" w:rsidRPr="00A23275" w14:paraId="33F631A2"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58E18787" w14:textId="77777777" w:rsidR="00E30D79" w:rsidRPr="00A23275" w:rsidRDefault="00E30D79" w:rsidP="00C26C4B">
            <w:pPr>
              <w:rPr>
                <w:rFonts w:ascii="Calibri" w:eastAsia="Times New Roman" w:hAnsi="Calibri"/>
                <w:b/>
                <w:bCs/>
                <w:color w:val="000000"/>
                <w:sz w:val="14"/>
                <w:szCs w:val="14"/>
                <w:lang w:val="en-US"/>
              </w:rPr>
            </w:pPr>
            <w:r w:rsidRPr="00A23275">
              <w:rPr>
                <w:rFonts w:ascii="Calibri" w:eastAsia="Times New Roman" w:hAnsi="Calibri"/>
                <w:b/>
                <w:bCs/>
                <w:color w:val="000000"/>
                <w:sz w:val="14"/>
                <w:szCs w:val="14"/>
                <w:lang w:val="en-US"/>
              </w:rPr>
              <w:t>Previous HF-hospitalization in past year</w:t>
            </w:r>
          </w:p>
        </w:tc>
        <w:tc>
          <w:tcPr>
            <w:tcW w:w="1060" w:type="dxa"/>
            <w:tcBorders>
              <w:top w:val="nil"/>
              <w:left w:val="nil"/>
              <w:bottom w:val="nil"/>
              <w:right w:val="nil"/>
            </w:tcBorders>
            <w:shd w:val="clear" w:color="auto" w:fill="auto"/>
            <w:noWrap/>
            <w:vAlign w:val="bottom"/>
            <w:hideMark/>
          </w:tcPr>
          <w:p w14:paraId="5F1932C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64 (47.8%)</w:t>
            </w:r>
          </w:p>
        </w:tc>
        <w:tc>
          <w:tcPr>
            <w:tcW w:w="1060" w:type="dxa"/>
            <w:tcBorders>
              <w:top w:val="nil"/>
              <w:left w:val="nil"/>
              <w:bottom w:val="nil"/>
              <w:right w:val="nil"/>
            </w:tcBorders>
            <w:shd w:val="clear" w:color="auto" w:fill="auto"/>
            <w:noWrap/>
            <w:vAlign w:val="bottom"/>
            <w:hideMark/>
          </w:tcPr>
          <w:p w14:paraId="64BD522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244 (40.8%)</w:t>
            </w:r>
          </w:p>
        </w:tc>
        <w:tc>
          <w:tcPr>
            <w:tcW w:w="1060" w:type="dxa"/>
            <w:tcBorders>
              <w:top w:val="nil"/>
              <w:left w:val="nil"/>
              <w:bottom w:val="nil"/>
              <w:right w:val="nil"/>
            </w:tcBorders>
            <w:shd w:val="clear" w:color="auto" w:fill="auto"/>
            <w:noWrap/>
            <w:vAlign w:val="bottom"/>
            <w:hideMark/>
          </w:tcPr>
          <w:p w14:paraId="4E06ABC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104 (40.8%)</w:t>
            </w:r>
          </w:p>
        </w:tc>
        <w:tc>
          <w:tcPr>
            <w:tcW w:w="1060" w:type="dxa"/>
            <w:tcBorders>
              <w:top w:val="nil"/>
              <w:left w:val="nil"/>
              <w:bottom w:val="nil"/>
              <w:right w:val="nil"/>
            </w:tcBorders>
            <w:shd w:val="clear" w:color="auto" w:fill="auto"/>
            <w:noWrap/>
            <w:vAlign w:val="bottom"/>
            <w:hideMark/>
          </w:tcPr>
          <w:p w14:paraId="70F85E1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60 (44.8%)</w:t>
            </w:r>
          </w:p>
        </w:tc>
        <w:tc>
          <w:tcPr>
            <w:tcW w:w="1060" w:type="dxa"/>
            <w:tcBorders>
              <w:top w:val="nil"/>
              <w:left w:val="nil"/>
              <w:bottom w:val="nil"/>
              <w:right w:val="nil"/>
            </w:tcBorders>
            <w:shd w:val="clear" w:color="auto" w:fill="auto"/>
            <w:noWrap/>
            <w:vAlign w:val="bottom"/>
            <w:hideMark/>
          </w:tcPr>
          <w:p w14:paraId="033F453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42 (47.7%)</w:t>
            </w:r>
          </w:p>
        </w:tc>
        <w:tc>
          <w:tcPr>
            <w:tcW w:w="1060" w:type="dxa"/>
            <w:tcBorders>
              <w:top w:val="nil"/>
              <w:left w:val="nil"/>
              <w:bottom w:val="nil"/>
              <w:right w:val="nil"/>
            </w:tcBorders>
            <w:shd w:val="clear" w:color="auto" w:fill="auto"/>
            <w:noWrap/>
            <w:vAlign w:val="bottom"/>
            <w:hideMark/>
          </w:tcPr>
          <w:p w14:paraId="2D4E4DB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104 (32.2%)</w:t>
            </w:r>
          </w:p>
        </w:tc>
        <w:tc>
          <w:tcPr>
            <w:tcW w:w="1060" w:type="dxa"/>
            <w:tcBorders>
              <w:top w:val="nil"/>
              <w:left w:val="nil"/>
              <w:bottom w:val="nil"/>
              <w:right w:val="nil"/>
            </w:tcBorders>
            <w:shd w:val="clear" w:color="auto" w:fill="auto"/>
            <w:noWrap/>
            <w:vAlign w:val="bottom"/>
            <w:hideMark/>
          </w:tcPr>
          <w:p w14:paraId="3008CC1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83 (37.6%)</w:t>
            </w:r>
          </w:p>
        </w:tc>
        <w:tc>
          <w:tcPr>
            <w:tcW w:w="1060" w:type="dxa"/>
            <w:tcBorders>
              <w:top w:val="nil"/>
              <w:left w:val="nil"/>
              <w:bottom w:val="nil"/>
              <w:right w:val="nil"/>
            </w:tcBorders>
            <w:shd w:val="clear" w:color="auto" w:fill="auto"/>
            <w:noWrap/>
            <w:vAlign w:val="bottom"/>
            <w:hideMark/>
          </w:tcPr>
          <w:p w14:paraId="5C8B427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64 (42.7%)</w:t>
            </w:r>
          </w:p>
        </w:tc>
        <w:tc>
          <w:tcPr>
            <w:tcW w:w="1060" w:type="dxa"/>
            <w:tcBorders>
              <w:top w:val="nil"/>
              <w:left w:val="nil"/>
              <w:bottom w:val="nil"/>
              <w:right w:val="single" w:sz="4" w:space="0" w:color="auto"/>
            </w:tcBorders>
            <w:shd w:val="clear" w:color="auto" w:fill="auto"/>
            <w:noWrap/>
            <w:vAlign w:val="bottom"/>
            <w:hideMark/>
          </w:tcPr>
          <w:p w14:paraId="65817F1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78FD85E3"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06DAF33D"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Atrial</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Fibri</w:t>
            </w:r>
            <w:r>
              <w:rPr>
                <w:rFonts w:ascii="Calibri" w:eastAsia="Times New Roman" w:hAnsi="Calibri"/>
                <w:b/>
                <w:bCs/>
                <w:color w:val="000000"/>
                <w:sz w:val="14"/>
                <w:szCs w:val="14"/>
              </w:rPr>
              <w:t>l</w:t>
            </w:r>
            <w:r w:rsidRPr="00A23275">
              <w:rPr>
                <w:rFonts w:ascii="Calibri" w:eastAsia="Times New Roman" w:hAnsi="Calibri"/>
                <w:b/>
                <w:bCs/>
                <w:color w:val="000000"/>
                <w:sz w:val="14"/>
                <w:szCs w:val="14"/>
              </w:rPr>
              <w:t>lation</w:t>
            </w:r>
            <w:proofErr w:type="spellEnd"/>
          </w:p>
        </w:tc>
        <w:tc>
          <w:tcPr>
            <w:tcW w:w="1060" w:type="dxa"/>
            <w:tcBorders>
              <w:top w:val="nil"/>
              <w:left w:val="nil"/>
              <w:bottom w:val="nil"/>
              <w:right w:val="nil"/>
            </w:tcBorders>
            <w:shd w:val="clear" w:color="000000" w:fill="D9D9D9"/>
            <w:noWrap/>
            <w:vAlign w:val="bottom"/>
            <w:hideMark/>
          </w:tcPr>
          <w:p w14:paraId="18B2276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38 (16.2%)</w:t>
            </w:r>
          </w:p>
        </w:tc>
        <w:tc>
          <w:tcPr>
            <w:tcW w:w="1060" w:type="dxa"/>
            <w:tcBorders>
              <w:top w:val="nil"/>
              <w:left w:val="nil"/>
              <w:bottom w:val="nil"/>
              <w:right w:val="nil"/>
            </w:tcBorders>
            <w:shd w:val="clear" w:color="000000" w:fill="D9D9D9"/>
            <w:noWrap/>
            <w:vAlign w:val="bottom"/>
            <w:hideMark/>
          </w:tcPr>
          <w:p w14:paraId="059E75C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180 (22.6%)</w:t>
            </w:r>
          </w:p>
        </w:tc>
        <w:tc>
          <w:tcPr>
            <w:tcW w:w="1060" w:type="dxa"/>
            <w:tcBorders>
              <w:top w:val="nil"/>
              <w:left w:val="nil"/>
              <w:bottom w:val="nil"/>
              <w:right w:val="nil"/>
            </w:tcBorders>
            <w:shd w:val="clear" w:color="000000" w:fill="D9D9D9"/>
            <w:noWrap/>
            <w:vAlign w:val="bottom"/>
            <w:hideMark/>
          </w:tcPr>
          <w:p w14:paraId="2B185710"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93 (27.4%)</w:t>
            </w:r>
          </w:p>
        </w:tc>
        <w:tc>
          <w:tcPr>
            <w:tcW w:w="1060" w:type="dxa"/>
            <w:tcBorders>
              <w:top w:val="nil"/>
              <w:left w:val="nil"/>
              <w:bottom w:val="nil"/>
              <w:right w:val="nil"/>
            </w:tcBorders>
            <w:shd w:val="clear" w:color="000000" w:fill="D9D9D9"/>
            <w:noWrap/>
            <w:vAlign w:val="bottom"/>
            <w:hideMark/>
          </w:tcPr>
          <w:p w14:paraId="5FD0D48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57 (32%)</w:t>
            </w:r>
          </w:p>
        </w:tc>
        <w:tc>
          <w:tcPr>
            <w:tcW w:w="1060" w:type="dxa"/>
            <w:tcBorders>
              <w:top w:val="nil"/>
              <w:left w:val="nil"/>
              <w:bottom w:val="nil"/>
              <w:right w:val="nil"/>
            </w:tcBorders>
            <w:shd w:val="clear" w:color="000000" w:fill="D9D9D9"/>
            <w:noWrap/>
            <w:vAlign w:val="bottom"/>
            <w:hideMark/>
          </w:tcPr>
          <w:p w14:paraId="697554F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15 (11.1%)</w:t>
            </w:r>
          </w:p>
        </w:tc>
        <w:tc>
          <w:tcPr>
            <w:tcW w:w="1060" w:type="dxa"/>
            <w:tcBorders>
              <w:top w:val="nil"/>
              <w:left w:val="nil"/>
              <w:bottom w:val="nil"/>
              <w:right w:val="nil"/>
            </w:tcBorders>
            <w:shd w:val="clear" w:color="000000" w:fill="D9D9D9"/>
            <w:noWrap/>
            <w:vAlign w:val="bottom"/>
            <w:hideMark/>
          </w:tcPr>
          <w:p w14:paraId="554899F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111 (25.8%)</w:t>
            </w:r>
          </w:p>
        </w:tc>
        <w:tc>
          <w:tcPr>
            <w:tcW w:w="1060" w:type="dxa"/>
            <w:tcBorders>
              <w:top w:val="nil"/>
              <w:left w:val="nil"/>
              <w:bottom w:val="nil"/>
              <w:right w:val="nil"/>
            </w:tcBorders>
            <w:shd w:val="clear" w:color="000000" w:fill="D9D9D9"/>
            <w:noWrap/>
            <w:vAlign w:val="bottom"/>
            <w:hideMark/>
          </w:tcPr>
          <w:p w14:paraId="5D47483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88 (32.2%)</w:t>
            </w:r>
          </w:p>
        </w:tc>
        <w:tc>
          <w:tcPr>
            <w:tcW w:w="1060" w:type="dxa"/>
            <w:tcBorders>
              <w:top w:val="nil"/>
              <w:left w:val="nil"/>
              <w:bottom w:val="nil"/>
              <w:right w:val="nil"/>
            </w:tcBorders>
            <w:shd w:val="clear" w:color="000000" w:fill="D9D9D9"/>
            <w:noWrap/>
            <w:vAlign w:val="bottom"/>
            <w:hideMark/>
          </w:tcPr>
          <w:p w14:paraId="12AB05C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59 (31.1%)</w:t>
            </w:r>
          </w:p>
        </w:tc>
        <w:tc>
          <w:tcPr>
            <w:tcW w:w="1060" w:type="dxa"/>
            <w:tcBorders>
              <w:top w:val="nil"/>
              <w:left w:val="nil"/>
              <w:bottom w:val="nil"/>
              <w:right w:val="single" w:sz="4" w:space="0" w:color="auto"/>
            </w:tcBorders>
            <w:shd w:val="clear" w:color="000000" w:fill="D9D9D9"/>
            <w:noWrap/>
            <w:vAlign w:val="bottom"/>
            <w:hideMark/>
          </w:tcPr>
          <w:p w14:paraId="4609974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09D99DC1"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31064269" w14:textId="77777777" w:rsidR="00E30D79" w:rsidRPr="00A23275" w:rsidRDefault="00E30D79" w:rsidP="00C26C4B">
            <w:pPr>
              <w:rPr>
                <w:rFonts w:ascii="Calibri" w:eastAsia="Times New Roman" w:hAnsi="Calibri"/>
                <w:b/>
                <w:bCs/>
                <w:color w:val="000000"/>
                <w:sz w:val="14"/>
                <w:szCs w:val="14"/>
              </w:rPr>
            </w:pPr>
            <w:r>
              <w:rPr>
                <w:rFonts w:ascii="Calibri" w:eastAsia="Times New Roman" w:hAnsi="Calibri"/>
                <w:b/>
                <w:bCs/>
                <w:color w:val="000000"/>
                <w:sz w:val="14"/>
                <w:szCs w:val="14"/>
              </w:rPr>
              <w:t>Diabetes mellitus</w:t>
            </w:r>
          </w:p>
        </w:tc>
        <w:tc>
          <w:tcPr>
            <w:tcW w:w="1060" w:type="dxa"/>
            <w:tcBorders>
              <w:top w:val="nil"/>
              <w:left w:val="nil"/>
              <w:bottom w:val="nil"/>
              <w:right w:val="nil"/>
            </w:tcBorders>
            <w:shd w:val="clear" w:color="auto" w:fill="auto"/>
            <w:noWrap/>
            <w:vAlign w:val="bottom"/>
            <w:hideMark/>
          </w:tcPr>
          <w:p w14:paraId="582E942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90 (38.5%)</w:t>
            </w:r>
          </w:p>
        </w:tc>
        <w:tc>
          <w:tcPr>
            <w:tcW w:w="1060" w:type="dxa"/>
            <w:tcBorders>
              <w:top w:val="nil"/>
              <w:left w:val="nil"/>
              <w:bottom w:val="nil"/>
              <w:right w:val="nil"/>
            </w:tcBorders>
            <w:shd w:val="clear" w:color="auto" w:fill="auto"/>
            <w:noWrap/>
            <w:vAlign w:val="bottom"/>
            <w:hideMark/>
          </w:tcPr>
          <w:p w14:paraId="0DF780F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282 (35.4%)</w:t>
            </w:r>
          </w:p>
        </w:tc>
        <w:tc>
          <w:tcPr>
            <w:tcW w:w="1060" w:type="dxa"/>
            <w:tcBorders>
              <w:top w:val="nil"/>
              <w:left w:val="nil"/>
              <w:bottom w:val="nil"/>
              <w:right w:val="nil"/>
            </w:tcBorders>
            <w:shd w:val="clear" w:color="auto" w:fill="auto"/>
            <w:noWrap/>
            <w:vAlign w:val="bottom"/>
            <w:hideMark/>
          </w:tcPr>
          <w:p w14:paraId="6B1BCF9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118 (34.7%)</w:t>
            </w:r>
          </w:p>
        </w:tc>
        <w:tc>
          <w:tcPr>
            <w:tcW w:w="1060" w:type="dxa"/>
            <w:tcBorders>
              <w:top w:val="nil"/>
              <w:left w:val="nil"/>
              <w:bottom w:val="nil"/>
              <w:right w:val="nil"/>
            </w:tcBorders>
            <w:shd w:val="clear" w:color="auto" w:fill="auto"/>
            <w:noWrap/>
            <w:vAlign w:val="bottom"/>
            <w:hideMark/>
          </w:tcPr>
          <w:p w14:paraId="24F876E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75 (42.1%)</w:t>
            </w:r>
          </w:p>
        </w:tc>
        <w:tc>
          <w:tcPr>
            <w:tcW w:w="1060" w:type="dxa"/>
            <w:tcBorders>
              <w:top w:val="nil"/>
              <w:left w:val="nil"/>
              <w:bottom w:val="nil"/>
              <w:right w:val="nil"/>
            </w:tcBorders>
            <w:shd w:val="clear" w:color="auto" w:fill="auto"/>
            <w:noWrap/>
            <w:vAlign w:val="bottom"/>
            <w:hideMark/>
          </w:tcPr>
          <w:p w14:paraId="6AF55C1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59 (43.7%)</w:t>
            </w:r>
          </w:p>
        </w:tc>
        <w:tc>
          <w:tcPr>
            <w:tcW w:w="1060" w:type="dxa"/>
            <w:tcBorders>
              <w:top w:val="nil"/>
              <w:left w:val="nil"/>
              <w:bottom w:val="nil"/>
              <w:right w:val="nil"/>
            </w:tcBorders>
            <w:shd w:val="clear" w:color="auto" w:fill="auto"/>
            <w:noWrap/>
            <w:vAlign w:val="bottom"/>
            <w:hideMark/>
          </w:tcPr>
          <w:p w14:paraId="61DAF40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167 (38.7%)</w:t>
            </w:r>
          </w:p>
        </w:tc>
        <w:tc>
          <w:tcPr>
            <w:tcW w:w="1060" w:type="dxa"/>
            <w:tcBorders>
              <w:top w:val="nil"/>
              <w:left w:val="nil"/>
              <w:bottom w:val="nil"/>
              <w:right w:val="nil"/>
            </w:tcBorders>
            <w:shd w:val="clear" w:color="auto" w:fill="auto"/>
            <w:noWrap/>
            <w:vAlign w:val="bottom"/>
            <w:hideMark/>
          </w:tcPr>
          <w:p w14:paraId="27D1E0A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95 (34.8%)</w:t>
            </w:r>
          </w:p>
        </w:tc>
        <w:tc>
          <w:tcPr>
            <w:tcW w:w="1060" w:type="dxa"/>
            <w:tcBorders>
              <w:top w:val="nil"/>
              <w:left w:val="nil"/>
              <w:bottom w:val="nil"/>
              <w:right w:val="nil"/>
            </w:tcBorders>
            <w:shd w:val="clear" w:color="auto" w:fill="auto"/>
            <w:noWrap/>
            <w:vAlign w:val="bottom"/>
            <w:hideMark/>
          </w:tcPr>
          <w:p w14:paraId="39A4548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75 (39.5%)</w:t>
            </w:r>
          </w:p>
        </w:tc>
        <w:tc>
          <w:tcPr>
            <w:tcW w:w="1060" w:type="dxa"/>
            <w:tcBorders>
              <w:top w:val="nil"/>
              <w:left w:val="nil"/>
              <w:bottom w:val="nil"/>
              <w:right w:val="single" w:sz="4" w:space="0" w:color="auto"/>
            </w:tcBorders>
            <w:shd w:val="clear" w:color="auto" w:fill="auto"/>
            <w:noWrap/>
            <w:vAlign w:val="bottom"/>
            <w:hideMark/>
          </w:tcPr>
          <w:p w14:paraId="704B0A5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0.003</w:t>
            </w:r>
          </w:p>
        </w:tc>
      </w:tr>
      <w:tr w:rsidR="00E30D79" w:rsidRPr="00A23275" w14:paraId="6D28CE52"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7C85B446"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Hypertension</w:t>
            </w:r>
            <w:proofErr w:type="spellEnd"/>
          </w:p>
        </w:tc>
        <w:tc>
          <w:tcPr>
            <w:tcW w:w="1060" w:type="dxa"/>
            <w:tcBorders>
              <w:top w:val="nil"/>
              <w:left w:val="nil"/>
              <w:bottom w:val="nil"/>
              <w:right w:val="nil"/>
            </w:tcBorders>
            <w:shd w:val="clear" w:color="000000" w:fill="D9D9D9"/>
            <w:noWrap/>
            <w:vAlign w:val="bottom"/>
            <w:hideMark/>
          </w:tcPr>
          <w:p w14:paraId="3061E65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99 (42.3%)</w:t>
            </w:r>
          </w:p>
        </w:tc>
        <w:tc>
          <w:tcPr>
            <w:tcW w:w="1060" w:type="dxa"/>
            <w:tcBorders>
              <w:top w:val="nil"/>
              <w:left w:val="nil"/>
              <w:bottom w:val="nil"/>
              <w:right w:val="nil"/>
            </w:tcBorders>
            <w:shd w:val="clear" w:color="000000" w:fill="D9D9D9"/>
            <w:noWrap/>
            <w:vAlign w:val="bottom"/>
            <w:hideMark/>
          </w:tcPr>
          <w:p w14:paraId="36CEED8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464 (58.3%)</w:t>
            </w:r>
          </w:p>
        </w:tc>
        <w:tc>
          <w:tcPr>
            <w:tcW w:w="1060" w:type="dxa"/>
            <w:tcBorders>
              <w:top w:val="nil"/>
              <w:left w:val="nil"/>
              <w:bottom w:val="nil"/>
              <w:right w:val="nil"/>
            </w:tcBorders>
            <w:shd w:val="clear" w:color="000000" w:fill="D9D9D9"/>
            <w:noWrap/>
            <w:vAlign w:val="bottom"/>
            <w:hideMark/>
          </w:tcPr>
          <w:p w14:paraId="3B7B1DE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203 (59.7%)</w:t>
            </w:r>
          </w:p>
        </w:tc>
        <w:tc>
          <w:tcPr>
            <w:tcW w:w="1060" w:type="dxa"/>
            <w:tcBorders>
              <w:top w:val="nil"/>
              <w:left w:val="nil"/>
              <w:bottom w:val="nil"/>
              <w:right w:val="nil"/>
            </w:tcBorders>
            <w:shd w:val="clear" w:color="000000" w:fill="D9D9D9"/>
            <w:noWrap/>
            <w:vAlign w:val="bottom"/>
            <w:hideMark/>
          </w:tcPr>
          <w:p w14:paraId="7D37C45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112 (62.9%)</w:t>
            </w:r>
          </w:p>
        </w:tc>
        <w:tc>
          <w:tcPr>
            <w:tcW w:w="1060" w:type="dxa"/>
            <w:tcBorders>
              <w:top w:val="nil"/>
              <w:left w:val="nil"/>
              <w:bottom w:val="nil"/>
              <w:right w:val="nil"/>
            </w:tcBorders>
            <w:shd w:val="clear" w:color="000000" w:fill="D9D9D9"/>
            <w:noWrap/>
            <w:vAlign w:val="bottom"/>
            <w:hideMark/>
          </w:tcPr>
          <w:p w14:paraId="5F73529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63 (46.7%)</w:t>
            </w:r>
          </w:p>
        </w:tc>
        <w:tc>
          <w:tcPr>
            <w:tcW w:w="1060" w:type="dxa"/>
            <w:tcBorders>
              <w:top w:val="nil"/>
              <w:left w:val="nil"/>
              <w:bottom w:val="nil"/>
              <w:right w:val="nil"/>
            </w:tcBorders>
            <w:shd w:val="clear" w:color="000000" w:fill="D9D9D9"/>
            <w:noWrap/>
            <w:vAlign w:val="bottom"/>
            <w:hideMark/>
          </w:tcPr>
          <w:p w14:paraId="6634F5D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289 (67.1%)</w:t>
            </w:r>
          </w:p>
        </w:tc>
        <w:tc>
          <w:tcPr>
            <w:tcW w:w="1060" w:type="dxa"/>
            <w:tcBorders>
              <w:top w:val="nil"/>
              <w:left w:val="nil"/>
              <w:bottom w:val="nil"/>
              <w:right w:val="nil"/>
            </w:tcBorders>
            <w:shd w:val="clear" w:color="000000" w:fill="D9D9D9"/>
            <w:noWrap/>
            <w:vAlign w:val="bottom"/>
            <w:hideMark/>
          </w:tcPr>
          <w:p w14:paraId="18C7809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176 (64.5%)</w:t>
            </w:r>
          </w:p>
        </w:tc>
        <w:tc>
          <w:tcPr>
            <w:tcW w:w="1060" w:type="dxa"/>
            <w:tcBorders>
              <w:top w:val="nil"/>
              <w:left w:val="nil"/>
              <w:bottom w:val="nil"/>
              <w:right w:val="nil"/>
            </w:tcBorders>
            <w:shd w:val="clear" w:color="000000" w:fill="D9D9D9"/>
            <w:noWrap/>
            <w:vAlign w:val="bottom"/>
            <w:hideMark/>
          </w:tcPr>
          <w:p w14:paraId="389DBC2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121 (63.7%)</w:t>
            </w:r>
          </w:p>
        </w:tc>
        <w:tc>
          <w:tcPr>
            <w:tcW w:w="1060" w:type="dxa"/>
            <w:tcBorders>
              <w:top w:val="nil"/>
              <w:left w:val="nil"/>
              <w:bottom w:val="nil"/>
              <w:right w:val="single" w:sz="4" w:space="0" w:color="auto"/>
            </w:tcBorders>
            <w:shd w:val="clear" w:color="000000" w:fill="D9D9D9"/>
            <w:noWrap/>
            <w:vAlign w:val="bottom"/>
            <w:hideMark/>
          </w:tcPr>
          <w:p w14:paraId="1648426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63A8182B"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51801C9E" w14:textId="77777777" w:rsidR="00E30D79" w:rsidRPr="00A23275" w:rsidRDefault="00E30D79" w:rsidP="00C26C4B">
            <w:pPr>
              <w:rPr>
                <w:rFonts w:ascii="Calibri" w:eastAsia="Times New Roman" w:hAnsi="Calibri"/>
                <w:b/>
                <w:bCs/>
                <w:color w:val="000000"/>
                <w:sz w:val="14"/>
                <w:szCs w:val="14"/>
                <w:lang w:val="en-US"/>
              </w:rPr>
            </w:pPr>
            <w:r w:rsidRPr="00A23275">
              <w:rPr>
                <w:rFonts w:ascii="Calibri" w:eastAsia="Times New Roman" w:hAnsi="Calibri"/>
                <w:b/>
                <w:bCs/>
                <w:color w:val="000000"/>
                <w:sz w:val="14"/>
                <w:szCs w:val="14"/>
                <w:lang w:val="en-US"/>
              </w:rPr>
              <w:t>Body mass index (kg/m^2)</w:t>
            </w:r>
          </w:p>
        </w:tc>
        <w:tc>
          <w:tcPr>
            <w:tcW w:w="1060" w:type="dxa"/>
            <w:tcBorders>
              <w:top w:val="nil"/>
              <w:left w:val="nil"/>
              <w:bottom w:val="nil"/>
              <w:right w:val="nil"/>
            </w:tcBorders>
            <w:shd w:val="clear" w:color="auto" w:fill="auto"/>
            <w:noWrap/>
            <w:vAlign w:val="bottom"/>
            <w:hideMark/>
          </w:tcPr>
          <w:p w14:paraId="3AD6CAE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25.5 (5.11)</w:t>
            </w:r>
          </w:p>
        </w:tc>
        <w:tc>
          <w:tcPr>
            <w:tcW w:w="1060" w:type="dxa"/>
            <w:tcBorders>
              <w:top w:val="nil"/>
              <w:left w:val="nil"/>
              <w:bottom w:val="nil"/>
              <w:right w:val="nil"/>
            </w:tcBorders>
            <w:shd w:val="clear" w:color="auto" w:fill="auto"/>
            <w:noWrap/>
            <w:vAlign w:val="bottom"/>
            <w:hideMark/>
          </w:tcPr>
          <w:p w14:paraId="5D3353F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26.4 (5.01)</w:t>
            </w:r>
          </w:p>
        </w:tc>
        <w:tc>
          <w:tcPr>
            <w:tcW w:w="1060" w:type="dxa"/>
            <w:tcBorders>
              <w:top w:val="nil"/>
              <w:left w:val="nil"/>
              <w:bottom w:val="nil"/>
              <w:right w:val="nil"/>
            </w:tcBorders>
            <w:shd w:val="clear" w:color="auto" w:fill="auto"/>
            <w:noWrap/>
            <w:vAlign w:val="bottom"/>
            <w:hideMark/>
          </w:tcPr>
          <w:p w14:paraId="1529063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27.6 (6.18)</w:t>
            </w:r>
          </w:p>
        </w:tc>
        <w:tc>
          <w:tcPr>
            <w:tcW w:w="1060" w:type="dxa"/>
            <w:tcBorders>
              <w:top w:val="nil"/>
              <w:left w:val="nil"/>
              <w:bottom w:val="nil"/>
              <w:right w:val="nil"/>
            </w:tcBorders>
            <w:shd w:val="clear" w:color="auto" w:fill="auto"/>
            <w:noWrap/>
            <w:vAlign w:val="bottom"/>
            <w:hideMark/>
          </w:tcPr>
          <w:p w14:paraId="61E063D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27.9 (5.19)</w:t>
            </w:r>
          </w:p>
        </w:tc>
        <w:tc>
          <w:tcPr>
            <w:tcW w:w="1060" w:type="dxa"/>
            <w:tcBorders>
              <w:top w:val="nil"/>
              <w:left w:val="nil"/>
              <w:bottom w:val="nil"/>
              <w:right w:val="nil"/>
            </w:tcBorders>
            <w:shd w:val="clear" w:color="auto" w:fill="auto"/>
            <w:noWrap/>
            <w:vAlign w:val="bottom"/>
            <w:hideMark/>
          </w:tcPr>
          <w:p w14:paraId="7864071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26.5 (7.45)</w:t>
            </w:r>
          </w:p>
        </w:tc>
        <w:tc>
          <w:tcPr>
            <w:tcW w:w="1060" w:type="dxa"/>
            <w:tcBorders>
              <w:top w:val="nil"/>
              <w:left w:val="nil"/>
              <w:bottom w:val="nil"/>
              <w:right w:val="nil"/>
            </w:tcBorders>
            <w:shd w:val="clear" w:color="auto" w:fill="auto"/>
            <w:noWrap/>
            <w:vAlign w:val="bottom"/>
            <w:hideMark/>
          </w:tcPr>
          <w:p w14:paraId="307146E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27.3 (5.89)</w:t>
            </w:r>
          </w:p>
        </w:tc>
        <w:tc>
          <w:tcPr>
            <w:tcW w:w="1060" w:type="dxa"/>
            <w:tcBorders>
              <w:top w:val="nil"/>
              <w:left w:val="nil"/>
              <w:bottom w:val="nil"/>
              <w:right w:val="nil"/>
            </w:tcBorders>
            <w:shd w:val="clear" w:color="auto" w:fill="auto"/>
            <w:noWrap/>
            <w:vAlign w:val="bottom"/>
            <w:hideMark/>
          </w:tcPr>
          <w:p w14:paraId="04BA4A2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28.4 (6.02)</w:t>
            </w:r>
          </w:p>
        </w:tc>
        <w:tc>
          <w:tcPr>
            <w:tcW w:w="1060" w:type="dxa"/>
            <w:tcBorders>
              <w:top w:val="nil"/>
              <w:left w:val="nil"/>
              <w:bottom w:val="nil"/>
              <w:right w:val="nil"/>
            </w:tcBorders>
            <w:shd w:val="clear" w:color="auto" w:fill="auto"/>
            <w:noWrap/>
            <w:vAlign w:val="bottom"/>
            <w:hideMark/>
          </w:tcPr>
          <w:p w14:paraId="79BBE7D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28.4 (6.15)</w:t>
            </w:r>
          </w:p>
        </w:tc>
        <w:tc>
          <w:tcPr>
            <w:tcW w:w="1060" w:type="dxa"/>
            <w:tcBorders>
              <w:top w:val="nil"/>
              <w:left w:val="nil"/>
              <w:bottom w:val="nil"/>
              <w:right w:val="single" w:sz="4" w:space="0" w:color="auto"/>
            </w:tcBorders>
            <w:shd w:val="clear" w:color="auto" w:fill="auto"/>
            <w:noWrap/>
            <w:vAlign w:val="bottom"/>
            <w:hideMark/>
          </w:tcPr>
          <w:p w14:paraId="38BA71A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4795776B"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42B42268"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Heart</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rate</w:t>
            </w:r>
            <w:proofErr w:type="spellEnd"/>
            <w:r w:rsidRPr="00A23275">
              <w:rPr>
                <w:rFonts w:ascii="Calibri" w:eastAsia="Times New Roman" w:hAnsi="Calibri"/>
                <w:b/>
                <w:bCs/>
                <w:color w:val="000000"/>
                <w:sz w:val="14"/>
                <w:szCs w:val="14"/>
              </w:rPr>
              <w:t xml:space="preserve"> (beats/min)</w:t>
            </w:r>
          </w:p>
        </w:tc>
        <w:tc>
          <w:tcPr>
            <w:tcW w:w="1060" w:type="dxa"/>
            <w:tcBorders>
              <w:top w:val="nil"/>
              <w:left w:val="nil"/>
              <w:bottom w:val="nil"/>
              <w:right w:val="nil"/>
            </w:tcBorders>
            <w:shd w:val="clear" w:color="000000" w:fill="D9D9D9"/>
            <w:noWrap/>
            <w:vAlign w:val="bottom"/>
            <w:hideMark/>
          </w:tcPr>
          <w:p w14:paraId="1398C22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82.1 (18.48)</w:t>
            </w:r>
          </w:p>
        </w:tc>
        <w:tc>
          <w:tcPr>
            <w:tcW w:w="1060" w:type="dxa"/>
            <w:tcBorders>
              <w:top w:val="nil"/>
              <w:left w:val="nil"/>
              <w:bottom w:val="nil"/>
              <w:right w:val="nil"/>
            </w:tcBorders>
            <w:shd w:val="clear" w:color="000000" w:fill="D9D9D9"/>
            <w:noWrap/>
            <w:vAlign w:val="bottom"/>
            <w:hideMark/>
          </w:tcPr>
          <w:p w14:paraId="665C375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78.7 (16.63)</w:t>
            </w:r>
          </w:p>
        </w:tc>
        <w:tc>
          <w:tcPr>
            <w:tcW w:w="1060" w:type="dxa"/>
            <w:tcBorders>
              <w:top w:val="nil"/>
              <w:left w:val="nil"/>
              <w:bottom w:val="nil"/>
              <w:right w:val="nil"/>
            </w:tcBorders>
            <w:shd w:val="clear" w:color="000000" w:fill="D9D9D9"/>
            <w:noWrap/>
            <w:vAlign w:val="bottom"/>
            <w:hideMark/>
          </w:tcPr>
          <w:p w14:paraId="7AC4E0A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79.6 (17.23)</w:t>
            </w:r>
          </w:p>
        </w:tc>
        <w:tc>
          <w:tcPr>
            <w:tcW w:w="1060" w:type="dxa"/>
            <w:tcBorders>
              <w:top w:val="nil"/>
              <w:left w:val="nil"/>
              <w:bottom w:val="nil"/>
              <w:right w:val="nil"/>
            </w:tcBorders>
            <w:shd w:val="clear" w:color="000000" w:fill="D9D9D9"/>
            <w:noWrap/>
            <w:vAlign w:val="bottom"/>
            <w:hideMark/>
          </w:tcPr>
          <w:p w14:paraId="6DEB0F6D"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81.9 (19)</w:t>
            </w:r>
          </w:p>
        </w:tc>
        <w:tc>
          <w:tcPr>
            <w:tcW w:w="1060" w:type="dxa"/>
            <w:tcBorders>
              <w:top w:val="nil"/>
              <w:left w:val="nil"/>
              <w:bottom w:val="nil"/>
              <w:right w:val="nil"/>
            </w:tcBorders>
            <w:shd w:val="clear" w:color="000000" w:fill="D9D9D9"/>
            <w:noWrap/>
            <w:vAlign w:val="bottom"/>
            <w:hideMark/>
          </w:tcPr>
          <w:p w14:paraId="6DBBC19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81.9 (18.69)</w:t>
            </w:r>
          </w:p>
        </w:tc>
        <w:tc>
          <w:tcPr>
            <w:tcW w:w="1060" w:type="dxa"/>
            <w:tcBorders>
              <w:top w:val="nil"/>
              <w:left w:val="nil"/>
              <w:bottom w:val="nil"/>
              <w:right w:val="nil"/>
            </w:tcBorders>
            <w:shd w:val="clear" w:color="000000" w:fill="D9D9D9"/>
            <w:noWrap/>
            <w:vAlign w:val="bottom"/>
            <w:hideMark/>
          </w:tcPr>
          <w:p w14:paraId="56FF3EA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78.7 (17.13)</w:t>
            </w:r>
          </w:p>
        </w:tc>
        <w:tc>
          <w:tcPr>
            <w:tcW w:w="1060" w:type="dxa"/>
            <w:tcBorders>
              <w:top w:val="nil"/>
              <w:left w:val="nil"/>
              <w:bottom w:val="nil"/>
              <w:right w:val="nil"/>
            </w:tcBorders>
            <w:shd w:val="clear" w:color="000000" w:fill="D9D9D9"/>
            <w:noWrap/>
            <w:vAlign w:val="bottom"/>
            <w:hideMark/>
          </w:tcPr>
          <w:p w14:paraId="1912B94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79.2 (17.92)</w:t>
            </w:r>
          </w:p>
        </w:tc>
        <w:tc>
          <w:tcPr>
            <w:tcW w:w="1060" w:type="dxa"/>
            <w:tcBorders>
              <w:top w:val="nil"/>
              <w:left w:val="nil"/>
              <w:bottom w:val="nil"/>
              <w:right w:val="nil"/>
            </w:tcBorders>
            <w:shd w:val="clear" w:color="000000" w:fill="D9D9D9"/>
            <w:noWrap/>
            <w:vAlign w:val="bottom"/>
            <w:hideMark/>
          </w:tcPr>
          <w:p w14:paraId="7E5A85E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81.8 (19.77)</w:t>
            </w:r>
          </w:p>
        </w:tc>
        <w:tc>
          <w:tcPr>
            <w:tcW w:w="1060" w:type="dxa"/>
            <w:tcBorders>
              <w:top w:val="nil"/>
              <w:left w:val="nil"/>
              <w:bottom w:val="nil"/>
              <w:right w:val="single" w:sz="4" w:space="0" w:color="auto"/>
            </w:tcBorders>
            <w:shd w:val="clear" w:color="000000" w:fill="D9D9D9"/>
            <w:noWrap/>
            <w:vAlign w:val="bottom"/>
            <w:hideMark/>
          </w:tcPr>
          <w:p w14:paraId="71CFAFB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6EF546A4"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4C131FA8"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Systolic</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blood</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pressure</w:t>
            </w:r>
            <w:proofErr w:type="spellEnd"/>
            <w:r w:rsidRPr="00A23275">
              <w:rPr>
                <w:rFonts w:ascii="Calibri" w:eastAsia="Times New Roman" w:hAnsi="Calibri"/>
                <w:b/>
                <w:bCs/>
                <w:color w:val="000000"/>
                <w:sz w:val="14"/>
                <w:szCs w:val="14"/>
              </w:rPr>
              <w:t xml:space="preserve"> (mmHg)</w:t>
            </w:r>
          </w:p>
        </w:tc>
        <w:tc>
          <w:tcPr>
            <w:tcW w:w="1060" w:type="dxa"/>
            <w:tcBorders>
              <w:top w:val="nil"/>
              <w:left w:val="nil"/>
              <w:bottom w:val="nil"/>
              <w:right w:val="nil"/>
            </w:tcBorders>
            <w:shd w:val="clear" w:color="auto" w:fill="auto"/>
            <w:noWrap/>
            <w:vAlign w:val="bottom"/>
            <w:hideMark/>
          </w:tcPr>
          <w:p w14:paraId="14B25D6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119.3 (19)</w:t>
            </w:r>
          </w:p>
        </w:tc>
        <w:tc>
          <w:tcPr>
            <w:tcW w:w="1060" w:type="dxa"/>
            <w:tcBorders>
              <w:top w:val="nil"/>
              <w:left w:val="nil"/>
              <w:bottom w:val="nil"/>
              <w:right w:val="nil"/>
            </w:tcBorders>
            <w:shd w:val="clear" w:color="auto" w:fill="auto"/>
            <w:noWrap/>
            <w:vAlign w:val="bottom"/>
            <w:hideMark/>
          </w:tcPr>
          <w:p w14:paraId="19B6FFEF"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122.1 (20.15)</w:t>
            </w:r>
          </w:p>
        </w:tc>
        <w:tc>
          <w:tcPr>
            <w:tcW w:w="1060" w:type="dxa"/>
            <w:tcBorders>
              <w:top w:val="nil"/>
              <w:left w:val="nil"/>
              <w:bottom w:val="nil"/>
              <w:right w:val="nil"/>
            </w:tcBorders>
            <w:shd w:val="clear" w:color="auto" w:fill="auto"/>
            <w:noWrap/>
            <w:vAlign w:val="bottom"/>
            <w:hideMark/>
          </w:tcPr>
          <w:p w14:paraId="1C85256E"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125.9 (20.65)</w:t>
            </w:r>
          </w:p>
        </w:tc>
        <w:tc>
          <w:tcPr>
            <w:tcW w:w="1060" w:type="dxa"/>
            <w:tcBorders>
              <w:top w:val="nil"/>
              <w:left w:val="nil"/>
              <w:bottom w:val="nil"/>
              <w:right w:val="nil"/>
            </w:tcBorders>
            <w:shd w:val="clear" w:color="auto" w:fill="auto"/>
            <w:noWrap/>
            <w:vAlign w:val="bottom"/>
            <w:hideMark/>
          </w:tcPr>
          <w:p w14:paraId="3AF9A9E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123.3 (19.4)</w:t>
            </w:r>
          </w:p>
        </w:tc>
        <w:tc>
          <w:tcPr>
            <w:tcW w:w="1060" w:type="dxa"/>
            <w:tcBorders>
              <w:top w:val="nil"/>
              <w:left w:val="nil"/>
              <w:bottom w:val="nil"/>
              <w:right w:val="nil"/>
            </w:tcBorders>
            <w:shd w:val="clear" w:color="auto" w:fill="auto"/>
            <w:noWrap/>
            <w:vAlign w:val="bottom"/>
            <w:hideMark/>
          </w:tcPr>
          <w:p w14:paraId="16F6EA1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119.6 (20.66)</w:t>
            </w:r>
          </w:p>
        </w:tc>
        <w:tc>
          <w:tcPr>
            <w:tcW w:w="1060" w:type="dxa"/>
            <w:tcBorders>
              <w:top w:val="nil"/>
              <w:left w:val="nil"/>
              <w:bottom w:val="nil"/>
              <w:right w:val="nil"/>
            </w:tcBorders>
            <w:shd w:val="clear" w:color="auto" w:fill="auto"/>
            <w:noWrap/>
            <w:vAlign w:val="bottom"/>
            <w:hideMark/>
          </w:tcPr>
          <w:p w14:paraId="197E530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128.8 (23.46)</w:t>
            </w:r>
          </w:p>
        </w:tc>
        <w:tc>
          <w:tcPr>
            <w:tcW w:w="1060" w:type="dxa"/>
            <w:tcBorders>
              <w:top w:val="nil"/>
              <w:left w:val="nil"/>
              <w:bottom w:val="nil"/>
              <w:right w:val="nil"/>
            </w:tcBorders>
            <w:shd w:val="clear" w:color="auto" w:fill="auto"/>
            <w:noWrap/>
            <w:vAlign w:val="bottom"/>
            <w:hideMark/>
          </w:tcPr>
          <w:p w14:paraId="1E44575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127.7 (21.89)</w:t>
            </w:r>
          </w:p>
        </w:tc>
        <w:tc>
          <w:tcPr>
            <w:tcW w:w="1060" w:type="dxa"/>
            <w:tcBorders>
              <w:top w:val="nil"/>
              <w:left w:val="nil"/>
              <w:bottom w:val="nil"/>
              <w:right w:val="nil"/>
            </w:tcBorders>
            <w:shd w:val="clear" w:color="auto" w:fill="auto"/>
            <w:noWrap/>
            <w:vAlign w:val="bottom"/>
            <w:hideMark/>
          </w:tcPr>
          <w:p w14:paraId="3ED75AA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130.5 (23.5)</w:t>
            </w:r>
          </w:p>
        </w:tc>
        <w:tc>
          <w:tcPr>
            <w:tcW w:w="1060" w:type="dxa"/>
            <w:tcBorders>
              <w:top w:val="nil"/>
              <w:left w:val="nil"/>
              <w:bottom w:val="nil"/>
              <w:right w:val="single" w:sz="4" w:space="0" w:color="auto"/>
            </w:tcBorders>
            <w:shd w:val="clear" w:color="auto" w:fill="auto"/>
            <w:noWrap/>
            <w:vAlign w:val="bottom"/>
            <w:hideMark/>
          </w:tcPr>
          <w:p w14:paraId="66BCAAE7"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6CE435CB" w14:textId="77777777" w:rsidTr="00C26C4B">
        <w:trPr>
          <w:trHeight w:val="200"/>
        </w:trPr>
        <w:tc>
          <w:tcPr>
            <w:tcW w:w="2328" w:type="dxa"/>
            <w:tcBorders>
              <w:top w:val="nil"/>
              <w:left w:val="single" w:sz="4" w:space="0" w:color="auto"/>
              <w:bottom w:val="nil"/>
              <w:right w:val="single" w:sz="4" w:space="0" w:color="auto"/>
            </w:tcBorders>
            <w:shd w:val="clear" w:color="000000" w:fill="D9D9D9"/>
            <w:noWrap/>
            <w:vAlign w:val="bottom"/>
            <w:hideMark/>
          </w:tcPr>
          <w:p w14:paraId="52A402E7"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Diastolic</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blood</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pressure</w:t>
            </w:r>
            <w:proofErr w:type="spellEnd"/>
            <w:r w:rsidRPr="00A23275">
              <w:rPr>
                <w:rFonts w:ascii="Calibri" w:eastAsia="Times New Roman" w:hAnsi="Calibri"/>
                <w:b/>
                <w:bCs/>
                <w:color w:val="000000"/>
                <w:sz w:val="14"/>
                <w:szCs w:val="14"/>
              </w:rPr>
              <w:t xml:space="preserve"> (mmHg)</w:t>
            </w:r>
          </w:p>
        </w:tc>
        <w:tc>
          <w:tcPr>
            <w:tcW w:w="1060" w:type="dxa"/>
            <w:tcBorders>
              <w:top w:val="nil"/>
              <w:left w:val="nil"/>
              <w:bottom w:val="nil"/>
              <w:right w:val="nil"/>
            </w:tcBorders>
            <w:shd w:val="clear" w:color="000000" w:fill="D9D9D9"/>
            <w:noWrap/>
            <w:vAlign w:val="bottom"/>
            <w:hideMark/>
          </w:tcPr>
          <w:p w14:paraId="7910458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72.5 (11.77)</w:t>
            </w:r>
          </w:p>
        </w:tc>
        <w:tc>
          <w:tcPr>
            <w:tcW w:w="1060" w:type="dxa"/>
            <w:tcBorders>
              <w:top w:val="nil"/>
              <w:left w:val="nil"/>
              <w:bottom w:val="nil"/>
              <w:right w:val="nil"/>
            </w:tcBorders>
            <w:shd w:val="clear" w:color="000000" w:fill="D9D9D9"/>
            <w:noWrap/>
            <w:vAlign w:val="bottom"/>
            <w:hideMark/>
          </w:tcPr>
          <w:p w14:paraId="00488F0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74.6 (12.45)</w:t>
            </w:r>
          </w:p>
        </w:tc>
        <w:tc>
          <w:tcPr>
            <w:tcW w:w="1060" w:type="dxa"/>
            <w:tcBorders>
              <w:top w:val="nil"/>
              <w:left w:val="nil"/>
              <w:bottom w:val="nil"/>
              <w:right w:val="nil"/>
            </w:tcBorders>
            <w:shd w:val="clear" w:color="000000" w:fill="D9D9D9"/>
            <w:noWrap/>
            <w:vAlign w:val="bottom"/>
            <w:hideMark/>
          </w:tcPr>
          <w:p w14:paraId="7AA30B7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76.3 (12.32)</w:t>
            </w:r>
          </w:p>
        </w:tc>
        <w:tc>
          <w:tcPr>
            <w:tcW w:w="1060" w:type="dxa"/>
            <w:tcBorders>
              <w:top w:val="nil"/>
              <w:left w:val="nil"/>
              <w:bottom w:val="nil"/>
              <w:right w:val="nil"/>
            </w:tcBorders>
            <w:shd w:val="clear" w:color="000000" w:fill="D9D9D9"/>
            <w:noWrap/>
            <w:vAlign w:val="bottom"/>
            <w:hideMark/>
          </w:tcPr>
          <w:p w14:paraId="5BFC39A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76.3 (12.25)</w:t>
            </w:r>
          </w:p>
        </w:tc>
        <w:tc>
          <w:tcPr>
            <w:tcW w:w="1060" w:type="dxa"/>
            <w:tcBorders>
              <w:top w:val="nil"/>
              <w:left w:val="nil"/>
              <w:bottom w:val="nil"/>
              <w:right w:val="nil"/>
            </w:tcBorders>
            <w:shd w:val="clear" w:color="000000" w:fill="D9D9D9"/>
            <w:noWrap/>
            <w:vAlign w:val="bottom"/>
            <w:hideMark/>
          </w:tcPr>
          <w:p w14:paraId="763CF7A9"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73.8 (12.6)</w:t>
            </w:r>
          </w:p>
        </w:tc>
        <w:tc>
          <w:tcPr>
            <w:tcW w:w="1060" w:type="dxa"/>
            <w:tcBorders>
              <w:top w:val="nil"/>
              <w:left w:val="nil"/>
              <w:bottom w:val="nil"/>
              <w:right w:val="nil"/>
            </w:tcBorders>
            <w:shd w:val="clear" w:color="000000" w:fill="D9D9D9"/>
            <w:noWrap/>
            <w:vAlign w:val="bottom"/>
            <w:hideMark/>
          </w:tcPr>
          <w:p w14:paraId="1BF6047C"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77.5 (13.19)</w:t>
            </w:r>
          </w:p>
        </w:tc>
        <w:tc>
          <w:tcPr>
            <w:tcW w:w="1060" w:type="dxa"/>
            <w:tcBorders>
              <w:top w:val="nil"/>
              <w:left w:val="nil"/>
              <w:bottom w:val="nil"/>
              <w:right w:val="nil"/>
            </w:tcBorders>
            <w:shd w:val="clear" w:color="000000" w:fill="D9D9D9"/>
            <w:noWrap/>
            <w:vAlign w:val="bottom"/>
            <w:hideMark/>
          </w:tcPr>
          <w:p w14:paraId="4816C6B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79.2 (14.68)</w:t>
            </w:r>
          </w:p>
        </w:tc>
        <w:tc>
          <w:tcPr>
            <w:tcW w:w="1060" w:type="dxa"/>
            <w:tcBorders>
              <w:top w:val="nil"/>
              <w:left w:val="nil"/>
              <w:bottom w:val="nil"/>
              <w:right w:val="nil"/>
            </w:tcBorders>
            <w:shd w:val="clear" w:color="000000" w:fill="D9D9D9"/>
            <w:noWrap/>
            <w:vAlign w:val="bottom"/>
            <w:hideMark/>
          </w:tcPr>
          <w:p w14:paraId="2CD220C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79.5 (13.76)</w:t>
            </w:r>
          </w:p>
        </w:tc>
        <w:tc>
          <w:tcPr>
            <w:tcW w:w="1060" w:type="dxa"/>
            <w:tcBorders>
              <w:top w:val="nil"/>
              <w:left w:val="nil"/>
              <w:bottom w:val="nil"/>
              <w:right w:val="single" w:sz="4" w:space="0" w:color="auto"/>
            </w:tcBorders>
            <w:shd w:val="clear" w:color="000000" w:fill="D9D9D9"/>
            <w:noWrap/>
            <w:vAlign w:val="bottom"/>
            <w:hideMark/>
          </w:tcPr>
          <w:p w14:paraId="143FC13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40547326" w14:textId="77777777" w:rsidTr="00C26C4B">
        <w:trPr>
          <w:trHeight w:val="200"/>
        </w:trPr>
        <w:tc>
          <w:tcPr>
            <w:tcW w:w="2328" w:type="dxa"/>
            <w:tcBorders>
              <w:top w:val="nil"/>
              <w:left w:val="single" w:sz="4" w:space="0" w:color="auto"/>
              <w:bottom w:val="nil"/>
              <w:right w:val="single" w:sz="4" w:space="0" w:color="auto"/>
            </w:tcBorders>
            <w:shd w:val="clear" w:color="auto" w:fill="auto"/>
            <w:noWrap/>
            <w:vAlign w:val="bottom"/>
            <w:hideMark/>
          </w:tcPr>
          <w:p w14:paraId="09F08C49" w14:textId="77777777" w:rsidR="00E30D79" w:rsidRPr="00A23275" w:rsidRDefault="00E30D79" w:rsidP="00C26C4B">
            <w:pPr>
              <w:rPr>
                <w:rFonts w:ascii="Calibri" w:eastAsia="Times New Roman" w:hAnsi="Calibri"/>
                <w:b/>
                <w:bCs/>
                <w:color w:val="000000"/>
                <w:sz w:val="14"/>
                <w:szCs w:val="14"/>
              </w:rPr>
            </w:pPr>
            <w:r w:rsidRPr="00A23275">
              <w:rPr>
                <w:rFonts w:ascii="Calibri" w:eastAsia="Times New Roman" w:hAnsi="Calibri"/>
                <w:b/>
                <w:bCs/>
                <w:color w:val="000000"/>
                <w:sz w:val="14"/>
                <w:szCs w:val="14"/>
              </w:rPr>
              <w:t>LVEF (%)</w:t>
            </w:r>
          </w:p>
        </w:tc>
        <w:tc>
          <w:tcPr>
            <w:tcW w:w="1060" w:type="dxa"/>
            <w:tcBorders>
              <w:top w:val="nil"/>
              <w:left w:val="nil"/>
              <w:bottom w:val="nil"/>
              <w:right w:val="nil"/>
            </w:tcBorders>
            <w:shd w:val="clear" w:color="auto" w:fill="auto"/>
            <w:noWrap/>
            <w:vAlign w:val="bottom"/>
            <w:hideMark/>
          </w:tcPr>
          <w:p w14:paraId="6C42706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28.2 (6.61)</w:t>
            </w:r>
          </w:p>
        </w:tc>
        <w:tc>
          <w:tcPr>
            <w:tcW w:w="1060" w:type="dxa"/>
            <w:tcBorders>
              <w:top w:val="nil"/>
              <w:left w:val="nil"/>
              <w:bottom w:val="nil"/>
              <w:right w:val="nil"/>
            </w:tcBorders>
            <w:shd w:val="clear" w:color="auto" w:fill="auto"/>
            <w:noWrap/>
            <w:vAlign w:val="bottom"/>
            <w:hideMark/>
          </w:tcPr>
          <w:p w14:paraId="4BDF4635"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27.8 (7.17)</w:t>
            </w:r>
          </w:p>
        </w:tc>
        <w:tc>
          <w:tcPr>
            <w:tcW w:w="1060" w:type="dxa"/>
            <w:tcBorders>
              <w:top w:val="nil"/>
              <w:left w:val="nil"/>
              <w:bottom w:val="nil"/>
              <w:right w:val="nil"/>
            </w:tcBorders>
            <w:shd w:val="clear" w:color="auto" w:fill="auto"/>
            <w:noWrap/>
            <w:vAlign w:val="bottom"/>
            <w:hideMark/>
          </w:tcPr>
          <w:p w14:paraId="4F9545FB"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27.7 (7.25)</w:t>
            </w:r>
          </w:p>
        </w:tc>
        <w:tc>
          <w:tcPr>
            <w:tcW w:w="1060" w:type="dxa"/>
            <w:tcBorders>
              <w:top w:val="nil"/>
              <w:left w:val="nil"/>
              <w:bottom w:val="nil"/>
              <w:right w:val="nil"/>
            </w:tcBorders>
            <w:shd w:val="clear" w:color="auto" w:fill="auto"/>
            <w:noWrap/>
            <w:vAlign w:val="bottom"/>
            <w:hideMark/>
          </w:tcPr>
          <w:p w14:paraId="2CAA8926"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28.3 (7.37)</w:t>
            </w:r>
          </w:p>
        </w:tc>
        <w:tc>
          <w:tcPr>
            <w:tcW w:w="1060" w:type="dxa"/>
            <w:tcBorders>
              <w:top w:val="nil"/>
              <w:left w:val="nil"/>
              <w:bottom w:val="nil"/>
              <w:right w:val="nil"/>
            </w:tcBorders>
            <w:shd w:val="clear" w:color="auto" w:fill="auto"/>
            <w:noWrap/>
            <w:vAlign w:val="bottom"/>
            <w:hideMark/>
          </w:tcPr>
          <w:p w14:paraId="255C3DEA"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28.3 (6.55)</w:t>
            </w:r>
          </w:p>
        </w:tc>
        <w:tc>
          <w:tcPr>
            <w:tcW w:w="1060" w:type="dxa"/>
            <w:tcBorders>
              <w:top w:val="nil"/>
              <w:left w:val="nil"/>
              <w:bottom w:val="nil"/>
              <w:right w:val="nil"/>
            </w:tcBorders>
            <w:shd w:val="clear" w:color="auto" w:fill="auto"/>
            <w:noWrap/>
            <w:vAlign w:val="bottom"/>
            <w:hideMark/>
          </w:tcPr>
          <w:p w14:paraId="5EBFFBF1"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29.1 (7.13)</w:t>
            </w:r>
          </w:p>
        </w:tc>
        <w:tc>
          <w:tcPr>
            <w:tcW w:w="1060" w:type="dxa"/>
            <w:tcBorders>
              <w:top w:val="nil"/>
              <w:left w:val="nil"/>
              <w:bottom w:val="nil"/>
              <w:right w:val="nil"/>
            </w:tcBorders>
            <w:shd w:val="clear" w:color="auto" w:fill="auto"/>
            <w:noWrap/>
            <w:vAlign w:val="bottom"/>
            <w:hideMark/>
          </w:tcPr>
          <w:p w14:paraId="063146C3"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 (7.48)</w:t>
            </w:r>
          </w:p>
        </w:tc>
        <w:tc>
          <w:tcPr>
            <w:tcW w:w="1060" w:type="dxa"/>
            <w:tcBorders>
              <w:top w:val="nil"/>
              <w:left w:val="nil"/>
              <w:bottom w:val="nil"/>
              <w:right w:val="nil"/>
            </w:tcBorders>
            <w:shd w:val="clear" w:color="auto" w:fill="auto"/>
            <w:noWrap/>
            <w:vAlign w:val="bottom"/>
            <w:hideMark/>
          </w:tcPr>
          <w:p w14:paraId="2B746422"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28.3 (7.22)</w:t>
            </w:r>
          </w:p>
        </w:tc>
        <w:tc>
          <w:tcPr>
            <w:tcW w:w="1060" w:type="dxa"/>
            <w:tcBorders>
              <w:top w:val="nil"/>
              <w:left w:val="nil"/>
              <w:bottom w:val="nil"/>
              <w:right w:val="single" w:sz="4" w:space="0" w:color="auto"/>
            </w:tcBorders>
            <w:shd w:val="clear" w:color="auto" w:fill="auto"/>
            <w:noWrap/>
            <w:vAlign w:val="bottom"/>
            <w:hideMark/>
          </w:tcPr>
          <w:p w14:paraId="2B323628"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49FC6CB9" w14:textId="77777777" w:rsidTr="00C26C4B">
        <w:trPr>
          <w:trHeight w:val="200"/>
        </w:trPr>
        <w:tc>
          <w:tcPr>
            <w:tcW w:w="2328" w:type="dxa"/>
            <w:tcBorders>
              <w:top w:val="nil"/>
              <w:left w:val="single" w:sz="4" w:space="0" w:color="auto"/>
              <w:right w:val="single" w:sz="4" w:space="0" w:color="auto"/>
            </w:tcBorders>
            <w:shd w:val="clear" w:color="000000" w:fill="D9D9D9"/>
            <w:noWrap/>
            <w:vAlign w:val="bottom"/>
            <w:hideMark/>
          </w:tcPr>
          <w:p w14:paraId="02D251C0" w14:textId="77777777" w:rsidR="00E30D79" w:rsidRPr="00A23275" w:rsidRDefault="00E30D79" w:rsidP="00C26C4B">
            <w:pPr>
              <w:rPr>
                <w:rFonts w:ascii="Calibri" w:eastAsia="Times New Roman" w:hAnsi="Calibri"/>
                <w:b/>
                <w:bCs/>
                <w:color w:val="000000"/>
                <w:sz w:val="14"/>
                <w:szCs w:val="14"/>
              </w:rPr>
            </w:pPr>
            <w:proofErr w:type="spellStart"/>
            <w:r w:rsidRPr="00A23275">
              <w:rPr>
                <w:rFonts w:ascii="Calibri" w:eastAsia="Times New Roman" w:hAnsi="Calibri"/>
                <w:b/>
                <w:bCs/>
                <w:color w:val="000000"/>
                <w:sz w:val="14"/>
                <w:szCs w:val="14"/>
              </w:rPr>
              <w:t>NT-proBNP</w:t>
            </w:r>
            <w:proofErr w:type="spellEnd"/>
            <w:r w:rsidRPr="00A23275">
              <w:rPr>
                <w:rFonts w:ascii="Calibri" w:eastAsia="Times New Roman" w:hAnsi="Calibri"/>
                <w:b/>
                <w:bCs/>
                <w:color w:val="000000"/>
                <w:sz w:val="14"/>
                <w:szCs w:val="14"/>
              </w:rPr>
              <w:t xml:space="preserve"> (</w:t>
            </w:r>
            <w:proofErr w:type="spellStart"/>
            <w:r w:rsidRPr="00A23275">
              <w:rPr>
                <w:rFonts w:ascii="Calibri" w:eastAsia="Times New Roman" w:hAnsi="Calibri"/>
                <w:b/>
                <w:bCs/>
                <w:color w:val="000000"/>
                <w:sz w:val="14"/>
                <w:szCs w:val="14"/>
              </w:rPr>
              <w:t>ng</w:t>
            </w:r>
            <w:proofErr w:type="spellEnd"/>
            <w:r w:rsidRPr="00A23275">
              <w:rPr>
                <w:rFonts w:ascii="Calibri" w:eastAsia="Times New Roman" w:hAnsi="Calibri"/>
                <w:b/>
                <w:bCs/>
                <w:color w:val="000000"/>
                <w:sz w:val="14"/>
                <w:szCs w:val="14"/>
              </w:rPr>
              <w:t>/L)</w:t>
            </w:r>
          </w:p>
        </w:tc>
        <w:tc>
          <w:tcPr>
            <w:tcW w:w="1060" w:type="dxa"/>
            <w:tcBorders>
              <w:top w:val="nil"/>
              <w:left w:val="nil"/>
              <w:right w:val="nil"/>
            </w:tcBorders>
            <w:shd w:val="clear" w:color="000000" w:fill="D9D9D9"/>
            <w:noWrap/>
            <w:vAlign w:val="bottom"/>
            <w:hideMark/>
          </w:tcPr>
          <w:p w14:paraId="5996D72A"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3282 (1567-7729)</w:t>
            </w:r>
          </w:p>
        </w:tc>
        <w:tc>
          <w:tcPr>
            <w:tcW w:w="1060" w:type="dxa"/>
            <w:tcBorders>
              <w:top w:val="nil"/>
              <w:left w:val="nil"/>
              <w:right w:val="nil"/>
            </w:tcBorders>
            <w:shd w:val="clear" w:color="000000" w:fill="D9D9D9"/>
            <w:noWrap/>
            <w:vAlign w:val="bottom"/>
            <w:hideMark/>
          </w:tcPr>
          <w:p w14:paraId="0AC94ABE"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3596 (1852-7378)</w:t>
            </w:r>
          </w:p>
        </w:tc>
        <w:tc>
          <w:tcPr>
            <w:tcW w:w="1060" w:type="dxa"/>
            <w:tcBorders>
              <w:top w:val="nil"/>
              <w:left w:val="nil"/>
              <w:right w:val="nil"/>
            </w:tcBorders>
            <w:shd w:val="clear" w:color="000000" w:fill="D9D9D9"/>
            <w:noWrap/>
            <w:vAlign w:val="bottom"/>
            <w:hideMark/>
          </w:tcPr>
          <w:p w14:paraId="67451564"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3048 (1547-6907)</w:t>
            </w:r>
          </w:p>
        </w:tc>
        <w:tc>
          <w:tcPr>
            <w:tcW w:w="1060" w:type="dxa"/>
            <w:tcBorders>
              <w:top w:val="nil"/>
              <w:left w:val="nil"/>
              <w:right w:val="nil"/>
            </w:tcBorders>
            <w:shd w:val="clear" w:color="000000" w:fill="D9D9D9"/>
            <w:noWrap/>
            <w:vAlign w:val="bottom"/>
            <w:hideMark/>
          </w:tcPr>
          <w:p w14:paraId="60528A46"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4241 (2399-8523)</w:t>
            </w:r>
          </w:p>
        </w:tc>
        <w:tc>
          <w:tcPr>
            <w:tcW w:w="1060" w:type="dxa"/>
            <w:tcBorders>
              <w:top w:val="nil"/>
              <w:left w:val="nil"/>
              <w:right w:val="nil"/>
            </w:tcBorders>
            <w:shd w:val="clear" w:color="000000" w:fill="D9D9D9"/>
            <w:noWrap/>
            <w:vAlign w:val="bottom"/>
            <w:hideMark/>
          </w:tcPr>
          <w:p w14:paraId="598F7D50"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1998 (1235-4910)</w:t>
            </w:r>
          </w:p>
        </w:tc>
        <w:tc>
          <w:tcPr>
            <w:tcW w:w="1060" w:type="dxa"/>
            <w:tcBorders>
              <w:top w:val="nil"/>
              <w:left w:val="nil"/>
              <w:right w:val="nil"/>
            </w:tcBorders>
            <w:shd w:val="clear" w:color="000000" w:fill="D9D9D9"/>
            <w:noWrap/>
            <w:vAlign w:val="bottom"/>
            <w:hideMark/>
          </w:tcPr>
          <w:p w14:paraId="70C756C1"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3274 (2008-6441)</w:t>
            </w:r>
          </w:p>
        </w:tc>
        <w:tc>
          <w:tcPr>
            <w:tcW w:w="1060" w:type="dxa"/>
            <w:tcBorders>
              <w:top w:val="nil"/>
              <w:left w:val="nil"/>
              <w:right w:val="nil"/>
            </w:tcBorders>
            <w:shd w:val="clear" w:color="000000" w:fill="D9D9D9"/>
            <w:noWrap/>
            <w:vAlign w:val="bottom"/>
            <w:hideMark/>
          </w:tcPr>
          <w:p w14:paraId="2A580B26"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3457 (1936-6121)</w:t>
            </w:r>
          </w:p>
        </w:tc>
        <w:tc>
          <w:tcPr>
            <w:tcW w:w="1060" w:type="dxa"/>
            <w:tcBorders>
              <w:top w:val="nil"/>
              <w:left w:val="nil"/>
              <w:right w:val="nil"/>
            </w:tcBorders>
            <w:shd w:val="clear" w:color="000000" w:fill="D9D9D9"/>
            <w:noWrap/>
            <w:vAlign w:val="bottom"/>
            <w:hideMark/>
          </w:tcPr>
          <w:p w14:paraId="0EB06CFA" w14:textId="77777777" w:rsidR="00E30D79" w:rsidRPr="003B17C5" w:rsidRDefault="00E30D79" w:rsidP="00C26C4B">
            <w:pPr>
              <w:rPr>
                <w:rFonts w:ascii="Calibri" w:hAnsi="Calibri" w:cs="Calibri"/>
                <w:color w:val="000000"/>
                <w:sz w:val="14"/>
                <w:szCs w:val="14"/>
              </w:rPr>
            </w:pPr>
            <w:r w:rsidRPr="003B17C5">
              <w:rPr>
                <w:rFonts w:ascii="Calibri" w:hAnsi="Calibri" w:cs="Calibri"/>
                <w:color w:val="000000"/>
                <w:sz w:val="14"/>
                <w:szCs w:val="14"/>
              </w:rPr>
              <w:t>2496 (1200-5145)</w:t>
            </w:r>
          </w:p>
        </w:tc>
        <w:tc>
          <w:tcPr>
            <w:tcW w:w="1060" w:type="dxa"/>
            <w:tcBorders>
              <w:top w:val="nil"/>
              <w:left w:val="nil"/>
              <w:right w:val="single" w:sz="4" w:space="0" w:color="auto"/>
            </w:tcBorders>
            <w:shd w:val="clear" w:color="000000" w:fill="D9D9D9"/>
            <w:noWrap/>
            <w:vAlign w:val="bottom"/>
            <w:hideMark/>
          </w:tcPr>
          <w:p w14:paraId="215160D4" w14:textId="77777777" w:rsidR="00E30D79" w:rsidRPr="00A23275" w:rsidRDefault="00E30D79" w:rsidP="00C26C4B">
            <w:pPr>
              <w:rPr>
                <w:rFonts w:ascii="Calibri" w:eastAsia="Times New Roman" w:hAnsi="Calibri"/>
                <w:color w:val="000000"/>
                <w:sz w:val="14"/>
                <w:szCs w:val="14"/>
              </w:rPr>
            </w:pPr>
            <w:r w:rsidRPr="00A23275">
              <w:rPr>
                <w:rFonts w:ascii="Calibri" w:eastAsia="Times New Roman" w:hAnsi="Calibri"/>
                <w:color w:val="000000"/>
                <w:sz w:val="14"/>
                <w:szCs w:val="14"/>
              </w:rPr>
              <w:t>&lt;0.0001</w:t>
            </w:r>
          </w:p>
        </w:tc>
      </w:tr>
      <w:tr w:rsidR="00E30D79" w:rsidRPr="00A23275" w14:paraId="6BA54105" w14:textId="77777777" w:rsidTr="00C26C4B">
        <w:trPr>
          <w:trHeight w:val="200"/>
        </w:trPr>
        <w:tc>
          <w:tcPr>
            <w:tcW w:w="2328" w:type="dxa"/>
            <w:tcBorders>
              <w:top w:val="nil"/>
              <w:left w:val="single" w:sz="4" w:space="0" w:color="auto"/>
              <w:right w:val="single" w:sz="4" w:space="0" w:color="auto"/>
            </w:tcBorders>
            <w:shd w:val="clear" w:color="auto" w:fill="auto"/>
            <w:noWrap/>
            <w:vAlign w:val="bottom"/>
            <w:hideMark/>
          </w:tcPr>
          <w:p w14:paraId="73E3C886" w14:textId="77777777" w:rsidR="00E30D79" w:rsidRPr="003B1EE6" w:rsidRDefault="00E30D79" w:rsidP="00C26C4B">
            <w:pPr>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eGFR</w:t>
            </w:r>
            <w:proofErr w:type="spellEnd"/>
            <w:r w:rsidRPr="003B1EE6">
              <w:rPr>
                <w:rFonts w:ascii="Calibri" w:eastAsia="Times New Roman" w:hAnsi="Calibri" w:cs="Calibri"/>
                <w:b/>
                <w:bCs/>
                <w:color w:val="000000"/>
                <w:sz w:val="14"/>
                <w:szCs w:val="14"/>
              </w:rPr>
              <w:t xml:space="preserve"> (ml/min/1.73m^2)</w:t>
            </w:r>
          </w:p>
        </w:tc>
        <w:tc>
          <w:tcPr>
            <w:tcW w:w="1060" w:type="dxa"/>
            <w:tcBorders>
              <w:top w:val="nil"/>
              <w:left w:val="nil"/>
              <w:right w:val="nil"/>
            </w:tcBorders>
            <w:shd w:val="clear" w:color="auto" w:fill="auto"/>
            <w:noWrap/>
            <w:vAlign w:val="bottom"/>
            <w:hideMark/>
          </w:tcPr>
          <w:p w14:paraId="0490BC49"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72 (27.77)</w:t>
            </w:r>
          </w:p>
        </w:tc>
        <w:tc>
          <w:tcPr>
            <w:tcW w:w="1060" w:type="dxa"/>
            <w:tcBorders>
              <w:top w:val="nil"/>
              <w:left w:val="nil"/>
              <w:right w:val="nil"/>
            </w:tcBorders>
            <w:shd w:val="clear" w:color="auto" w:fill="auto"/>
            <w:noWrap/>
            <w:vAlign w:val="bottom"/>
            <w:hideMark/>
          </w:tcPr>
          <w:p w14:paraId="3F93FCE2"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72.2 (25.86)</w:t>
            </w:r>
          </w:p>
        </w:tc>
        <w:tc>
          <w:tcPr>
            <w:tcW w:w="1060" w:type="dxa"/>
            <w:tcBorders>
              <w:top w:val="nil"/>
              <w:left w:val="nil"/>
              <w:right w:val="nil"/>
            </w:tcBorders>
            <w:shd w:val="clear" w:color="auto" w:fill="auto"/>
            <w:noWrap/>
            <w:vAlign w:val="bottom"/>
            <w:hideMark/>
          </w:tcPr>
          <w:p w14:paraId="2B594511"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73.3 (26.06)</w:t>
            </w:r>
          </w:p>
        </w:tc>
        <w:tc>
          <w:tcPr>
            <w:tcW w:w="1060" w:type="dxa"/>
            <w:tcBorders>
              <w:top w:val="nil"/>
              <w:left w:val="nil"/>
              <w:right w:val="nil"/>
            </w:tcBorders>
            <w:shd w:val="clear" w:color="auto" w:fill="auto"/>
            <w:noWrap/>
            <w:vAlign w:val="bottom"/>
            <w:hideMark/>
          </w:tcPr>
          <w:p w14:paraId="1ABB6449"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69.7 (28.3)</w:t>
            </w:r>
          </w:p>
        </w:tc>
        <w:tc>
          <w:tcPr>
            <w:tcW w:w="1060" w:type="dxa"/>
            <w:tcBorders>
              <w:top w:val="nil"/>
              <w:left w:val="nil"/>
              <w:right w:val="nil"/>
            </w:tcBorders>
            <w:shd w:val="clear" w:color="auto" w:fill="auto"/>
            <w:noWrap/>
            <w:vAlign w:val="bottom"/>
            <w:hideMark/>
          </w:tcPr>
          <w:p w14:paraId="22030675"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71.3 (23.83)</w:t>
            </w:r>
          </w:p>
        </w:tc>
        <w:tc>
          <w:tcPr>
            <w:tcW w:w="1060" w:type="dxa"/>
            <w:tcBorders>
              <w:top w:val="nil"/>
              <w:left w:val="nil"/>
              <w:right w:val="nil"/>
            </w:tcBorders>
            <w:shd w:val="clear" w:color="auto" w:fill="auto"/>
            <w:noWrap/>
            <w:vAlign w:val="bottom"/>
            <w:hideMark/>
          </w:tcPr>
          <w:p w14:paraId="691B8A59"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74 (29.45)</w:t>
            </w:r>
          </w:p>
        </w:tc>
        <w:tc>
          <w:tcPr>
            <w:tcW w:w="1060" w:type="dxa"/>
            <w:tcBorders>
              <w:top w:val="nil"/>
              <w:left w:val="nil"/>
              <w:right w:val="nil"/>
            </w:tcBorders>
            <w:shd w:val="clear" w:color="auto" w:fill="auto"/>
            <w:noWrap/>
            <w:vAlign w:val="bottom"/>
            <w:hideMark/>
          </w:tcPr>
          <w:p w14:paraId="60975BFC"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71.9 (28.5)</w:t>
            </w:r>
          </w:p>
        </w:tc>
        <w:tc>
          <w:tcPr>
            <w:tcW w:w="1060" w:type="dxa"/>
            <w:tcBorders>
              <w:top w:val="nil"/>
              <w:left w:val="nil"/>
              <w:right w:val="nil"/>
            </w:tcBorders>
            <w:shd w:val="clear" w:color="auto" w:fill="auto"/>
            <w:noWrap/>
            <w:vAlign w:val="bottom"/>
            <w:hideMark/>
          </w:tcPr>
          <w:p w14:paraId="29B0C2B7"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75.6 (28.64)</w:t>
            </w:r>
          </w:p>
        </w:tc>
        <w:tc>
          <w:tcPr>
            <w:tcW w:w="1060" w:type="dxa"/>
            <w:tcBorders>
              <w:top w:val="nil"/>
              <w:left w:val="nil"/>
              <w:right w:val="single" w:sz="4" w:space="0" w:color="auto"/>
            </w:tcBorders>
            <w:shd w:val="clear" w:color="auto" w:fill="auto"/>
            <w:noWrap/>
            <w:vAlign w:val="bottom"/>
            <w:hideMark/>
          </w:tcPr>
          <w:p w14:paraId="7D2ABD18" w14:textId="77777777" w:rsidR="00E30D79" w:rsidRPr="003B1EE6" w:rsidRDefault="00E30D79" w:rsidP="00C26C4B">
            <w:pPr>
              <w:rPr>
                <w:rFonts w:ascii="Calibri" w:eastAsia="Times New Roman" w:hAnsi="Calibri" w:cs="Calibri"/>
                <w:color w:val="000000"/>
                <w:sz w:val="14"/>
                <w:szCs w:val="14"/>
              </w:rPr>
            </w:pPr>
            <w:r w:rsidRPr="003B1EE6">
              <w:rPr>
                <w:rFonts w:ascii="Calibri" w:eastAsia="Times New Roman" w:hAnsi="Calibri" w:cs="Calibri"/>
                <w:color w:val="000000"/>
                <w:sz w:val="14"/>
                <w:szCs w:val="14"/>
              </w:rPr>
              <w:t>&lt;0.0001</w:t>
            </w:r>
          </w:p>
        </w:tc>
      </w:tr>
      <w:tr w:rsidR="00E30D79" w:rsidRPr="00A23275" w14:paraId="73D353DE" w14:textId="77777777" w:rsidTr="00C26C4B">
        <w:trPr>
          <w:trHeight w:val="200"/>
        </w:trPr>
        <w:tc>
          <w:tcPr>
            <w:tcW w:w="2328" w:type="dxa"/>
            <w:tcBorders>
              <w:left w:val="single" w:sz="4" w:space="0" w:color="auto"/>
              <w:right w:val="single" w:sz="4" w:space="0" w:color="auto"/>
            </w:tcBorders>
            <w:shd w:val="clear" w:color="auto" w:fill="D9D9D9" w:themeFill="background1" w:themeFillShade="D9"/>
            <w:noWrap/>
            <w:vAlign w:val="bottom"/>
          </w:tcPr>
          <w:p w14:paraId="3DBC4E09" w14:textId="77777777" w:rsidR="00E30D79" w:rsidRPr="003B1EE6" w:rsidRDefault="00E30D79" w:rsidP="00C26C4B">
            <w:pPr>
              <w:ind w:left="-567" w:firstLine="567"/>
              <w:rPr>
                <w:rFonts w:ascii="Calibri" w:eastAsia="Times New Roman" w:hAnsi="Calibri" w:cs="Calibri"/>
                <w:b/>
                <w:bCs/>
                <w:color w:val="000000"/>
                <w:sz w:val="14"/>
                <w:szCs w:val="14"/>
              </w:rPr>
            </w:pPr>
            <w:proofErr w:type="spellStart"/>
            <w:r w:rsidRPr="003B1EE6">
              <w:rPr>
                <w:rFonts w:ascii="Calibri" w:eastAsia="Times New Roman" w:hAnsi="Calibri" w:cs="Calibri"/>
                <w:b/>
                <w:bCs/>
                <w:color w:val="000000"/>
                <w:sz w:val="14"/>
                <w:szCs w:val="14"/>
              </w:rPr>
              <w:t>Potassium</w:t>
            </w:r>
            <w:proofErr w:type="spellEnd"/>
            <w:r>
              <w:rPr>
                <w:rFonts w:ascii="Calibri" w:eastAsia="Times New Roman" w:hAnsi="Calibri" w:cs="Calibri"/>
                <w:b/>
                <w:bCs/>
                <w:color w:val="000000"/>
                <w:sz w:val="14"/>
                <w:szCs w:val="14"/>
              </w:rPr>
              <w:t xml:space="preserve"> </w:t>
            </w:r>
            <w:r w:rsidRPr="00194670">
              <w:rPr>
                <w:rFonts w:ascii="Calibri" w:eastAsia="Times New Roman" w:hAnsi="Calibri" w:cs="Calibri"/>
                <w:b/>
                <w:bCs/>
                <w:color w:val="000000"/>
                <w:sz w:val="14"/>
                <w:szCs w:val="14"/>
              </w:rPr>
              <w:t>(</w:t>
            </w:r>
            <w:proofErr w:type="spellStart"/>
            <w:r w:rsidRPr="00194670">
              <w:rPr>
                <w:rFonts w:ascii="Calibri" w:eastAsia="Times New Roman" w:hAnsi="Calibri" w:cs="Calibri"/>
                <w:b/>
                <w:bCs/>
                <w:color w:val="000000"/>
                <w:sz w:val="14"/>
                <w:szCs w:val="14"/>
              </w:rPr>
              <w:t>mmol</w:t>
            </w:r>
            <w:proofErr w:type="spellEnd"/>
            <w:r w:rsidRPr="00194670">
              <w:rPr>
                <w:rFonts w:ascii="Calibri" w:eastAsia="Times New Roman" w:hAnsi="Calibri" w:cs="Calibri"/>
                <w:b/>
                <w:bCs/>
                <w:color w:val="000000"/>
                <w:sz w:val="14"/>
                <w:szCs w:val="14"/>
              </w:rPr>
              <w:t>/L)</w:t>
            </w:r>
          </w:p>
        </w:tc>
        <w:tc>
          <w:tcPr>
            <w:tcW w:w="1060" w:type="dxa"/>
            <w:tcBorders>
              <w:left w:val="nil"/>
              <w:right w:val="nil"/>
            </w:tcBorders>
            <w:shd w:val="clear" w:color="auto" w:fill="D9D9D9" w:themeFill="background1" w:themeFillShade="D9"/>
            <w:noWrap/>
          </w:tcPr>
          <w:p w14:paraId="7C0A746D"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4.2 (0.58)</w:t>
            </w:r>
          </w:p>
        </w:tc>
        <w:tc>
          <w:tcPr>
            <w:tcW w:w="1060" w:type="dxa"/>
            <w:tcBorders>
              <w:left w:val="nil"/>
              <w:right w:val="nil"/>
            </w:tcBorders>
            <w:shd w:val="clear" w:color="auto" w:fill="D9D9D9" w:themeFill="background1" w:themeFillShade="D9"/>
            <w:noWrap/>
          </w:tcPr>
          <w:p w14:paraId="38216C8A"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(0.56)</w:t>
            </w:r>
          </w:p>
        </w:tc>
        <w:tc>
          <w:tcPr>
            <w:tcW w:w="1060" w:type="dxa"/>
            <w:tcBorders>
              <w:left w:val="nil"/>
              <w:right w:val="nil"/>
            </w:tcBorders>
            <w:shd w:val="clear" w:color="auto" w:fill="D9D9D9" w:themeFill="background1" w:themeFillShade="D9"/>
            <w:noWrap/>
          </w:tcPr>
          <w:p w14:paraId="754DB62F"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(0.53)</w:t>
            </w:r>
          </w:p>
        </w:tc>
        <w:tc>
          <w:tcPr>
            <w:tcW w:w="1060" w:type="dxa"/>
            <w:tcBorders>
              <w:left w:val="nil"/>
              <w:right w:val="nil"/>
            </w:tcBorders>
            <w:shd w:val="clear" w:color="auto" w:fill="D9D9D9" w:themeFill="background1" w:themeFillShade="D9"/>
            <w:noWrap/>
          </w:tcPr>
          <w:p w14:paraId="415310ED"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4.2 (0.55)</w:t>
            </w:r>
          </w:p>
        </w:tc>
        <w:tc>
          <w:tcPr>
            <w:tcW w:w="1060" w:type="dxa"/>
            <w:tcBorders>
              <w:left w:val="nil"/>
              <w:right w:val="nil"/>
            </w:tcBorders>
            <w:shd w:val="clear" w:color="auto" w:fill="D9D9D9" w:themeFill="background1" w:themeFillShade="D9"/>
            <w:noWrap/>
          </w:tcPr>
          <w:p w14:paraId="2ABD24A6"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(0.62)</w:t>
            </w:r>
          </w:p>
        </w:tc>
        <w:tc>
          <w:tcPr>
            <w:tcW w:w="1060" w:type="dxa"/>
            <w:tcBorders>
              <w:left w:val="nil"/>
              <w:right w:val="nil"/>
            </w:tcBorders>
            <w:shd w:val="clear" w:color="auto" w:fill="D9D9D9" w:themeFill="background1" w:themeFillShade="D9"/>
            <w:noWrap/>
          </w:tcPr>
          <w:p w14:paraId="3533B1E6"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(0.59)</w:t>
            </w:r>
          </w:p>
        </w:tc>
        <w:tc>
          <w:tcPr>
            <w:tcW w:w="1060" w:type="dxa"/>
            <w:tcBorders>
              <w:left w:val="nil"/>
              <w:right w:val="nil"/>
            </w:tcBorders>
            <w:shd w:val="clear" w:color="auto" w:fill="D9D9D9" w:themeFill="background1" w:themeFillShade="D9"/>
            <w:noWrap/>
          </w:tcPr>
          <w:p w14:paraId="1B3C83DF"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(0.53)</w:t>
            </w:r>
          </w:p>
        </w:tc>
        <w:tc>
          <w:tcPr>
            <w:tcW w:w="1060" w:type="dxa"/>
            <w:tcBorders>
              <w:left w:val="nil"/>
              <w:right w:val="nil"/>
            </w:tcBorders>
            <w:shd w:val="clear" w:color="auto" w:fill="D9D9D9" w:themeFill="background1" w:themeFillShade="D9"/>
            <w:noWrap/>
          </w:tcPr>
          <w:p w14:paraId="7B9BC824"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4.3 (0.49)</w:t>
            </w:r>
          </w:p>
        </w:tc>
        <w:tc>
          <w:tcPr>
            <w:tcW w:w="1060" w:type="dxa"/>
            <w:tcBorders>
              <w:left w:val="nil"/>
              <w:right w:val="single" w:sz="4" w:space="0" w:color="auto"/>
            </w:tcBorders>
            <w:shd w:val="clear" w:color="auto" w:fill="D9D9D9" w:themeFill="background1" w:themeFillShade="D9"/>
            <w:noWrap/>
          </w:tcPr>
          <w:p w14:paraId="225A0DE2" w14:textId="77777777" w:rsidR="00E30D79" w:rsidRPr="003B1EE6" w:rsidRDefault="00E30D79" w:rsidP="00C26C4B">
            <w:pPr>
              <w:ind w:left="-567" w:firstLine="567"/>
              <w:jc w:val="center"/>
              <w:rPr>
                <w:rFonts w:ascii="Calibri" w:eastAsia="Times New Roman" w:hAnsi="Calibri" w:cs="Calibri"/>
                <w:color w:val="000000"/>
                <w:sz w:val="14"/>
                <w:szCs w:val="14"/>
              </w:rPr>
            </w:pPr>
            <w:r w:rsidRPr="003B1EE6">
              <w:rPr>
                <w:rFonts w:ascii="Calibri" w:hAnsi="Calibri" w:cs="Calibri"/>
                <w:color w:val="000000"/>
                <w:sz w:val="14"/>
                <w:szCs w:val="14"/>
              </w:rPr>
              <w:t>0.4695</w:t>
            </w:r>
          </w:p>
        </w:tc>
      </w:tr>
      <w:tr w:rsidR="00E30D79" w:rsidRPr="00A23275" w14:paraId="0B474F78" w14:textId="77777777" w:rsidTr="00C26C4B">
        <w:trPr>
          <w:trHeight w:val="200"/>
        </w:trPr>
        <w:tc>
          <w:tcPr>
            <w:tcW w:w="2328" w:type="dxa"/>
            <w:tcBorders>
              <w:left w:val="single" w:sz="4" w:space="0" w:color="auto"/>
              <w:bottom w:val="single" w:sz="4" w:space="0" w:color="auto"/>
              <w:right w:val="single" w:sz="4" w:space="0" w:color="auto"/>
            </w:tcBorders>
            <w:shd w:val="clear" w:color="auto" w:fill="FFFFFF" w:themeFill="background1"/>
            <w:noWrap/>
            <w:vAlign w:val="bottom"/>
          </w:tcPr>
          <w:p w14:paraId="0D455168" w14:textId="77777777" w:rsidR="00E30D79" w:rsidRPr="003B1EE6" w:rsidRDefault="00E30D79" w:rsidP="00C26C4B">
            <w:pPr>
              <w:ind w:left="-567" w:firstLine="567"/>
              <w:rPr>
                <w:rFonts w:ascii="Calibri" w:eastAsia="Times New Roman" w:hAnsi="Calibri" w:cs="Calibri"/>
                <w:b/>
                <w:bCs/>
                <w:color w:val="000000"/>
                <w:sz w:val="14"/>
                <w:szCs w:val="14"/>
              </w:rPr>
            </w:pPr>
            <w:r w:rsidRPr="003B1EE6">
              <w:rPr>
                <w:rFonts w:ascii="Calibri" w:eastAsia="Times New Roman" w:hAnsi="Calibri" w:cs="Calibri"/>
                <w:b/>
                <w:bCs/>
                <w:color w:val="000000"/>
                <w:sz w:val="14"/>
                <w:szCs w:val="14"/>
              </w:rPr>
              <w:t xml:space="preserve">MRA </w:t>
            </w:r>
            <w:proofErr w:type="spellStart"/>
            <w:r w:rsidRPr="003B1EE6">
              <w:rPr>
                <w:rFonts w:ascii="Calibri" w:eastAsia="Times New Roman" w:hAnsi="Calibri" w:cs="Calibri"/>
                <w:b/>
                <w:bCs/>
                <w:color w:val="000000"/>
                <w:sz w:val="14"/>
                <w:szCs w:val="14"/>
              </w:rPr>
              <w:t>use</w:t>
            </w:r>
            <w:proofErr w:type="spellEnd"/>
          </w:p>
        </w:tc>
        <w:tc>
          <w:tcPr>
            <w:tcW w:w="1060" w:type="dxa"/>
            <w:tcBorders>
              <w:left w:val="nil"/>
              <w:bottom w:val="single" w:sz="4" w:space="0" w:color="auto"/>
              <w:right w:val="nil"/>
            </w:tcBorders>
            <w:shd w:val="clear" w:color="auto" w:fill="FFFFFF" w:themeFill="background1"/>
            <w:noWrap/>
          </w:tcPr>
          <w:p w14:paraId="3750A9AB"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124 (53%)</w:t>
            </w:r>
          </w:p>
        </w:tc>
        <w:tc>
          <w:tcPr>
            <w:tcW w:w="1060" w:type="dxa"/>
            <w:tcBorders>
              <w:left w:val="nil"/>
              <w:bottom w:val="single" w:sz="4" w:space="0" w:color="auto"/>
              <w:right w:val="nil"/>
            </w:tcBorders>
            <w:shd w:val="clear" w:color="auto" w:fill="FFFFFF" w:themeFill="background1"/>
            <w:noWrap/>
          </w:tcPr>
          <w:p w14:paraId="2C89E960"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481 (60%)</w:t>
            </w:r>
          </w:p>
        </w:tc>
        <w:tc>
          <w:tcPr>
            <w:tcW w:w="1060" w:type="dxa"/>
            <w:tcBorders>
              <w:left w:val="nil"/>
              <w:bottom w:val="single" w:sz="4" w:space="0" w:color="auto"/>
              <w:right w:val="nil"/>
            </w:tcBorders>
            <w:shd w:val="clear" w:color="auto" w:fill="FFFFFF" w:themeFill="background1"/>
            <w:noWrap/>
          </w:tcPr>
          <w:p w14:paraId="41CAE310"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185 (54%)</w:t>
            </w:r>
          </w:p>
        </w:tc>
        <w:tc>
          <w:tcPr>
            <w:tcW w:w="1060" w:type="dxa"/>
            <w:tcBorders>
              <w:left w:val="nil"/>
              <w:bottom w:val="single" w:sz="4" w:space="0" w:color="auto"/>
              <w:right w:val="nil"/>
            </w:tcBorders>
            <w:shd w:val="clear" w:color="auto" w:fill="FFFFFF" w:themeFill="background1"/>
            <w:noWrap/>
          </w:tcPr>
          <w:p w14:paraId="1F75B8D4"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97 (54%)</w:t>
            </w:r>
          </w:p>
        </w:tc>
        <w:tc>
          <w:tcPr>
            <w:tcW w:w="1060" w:type="dxa"/>
            <w:tcBorders>
              <w:left w:val="nil"/>
              <w:bottom w:val="single" w:sz="4" w:space="0" w:color="auto"/>
              <w:right w:val="nil"/>
            </w:tcBorders>
            <w:shd w:val="clear" w:color="auto" w:fill="FFFFFF" w:themeFill="background1"/>
            <w:noWrap/>
          </w:tcPr>
          <w:p w14:paraId="02405298"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78 (58%)</w:t>
            </w:r>
          </w:p>
        </w:tc>
        <w:tc>
          <w:tcPr>
            <w:tcW w:w="1060" w:type="dxa"/>
            <w:tcBorders>
              <w:left w:val="nil"/>
              <w:bottom w:val="single" w:sz="4" w:space="0" w:color="auto"/>
              <w:right w:val="nil"/>
            </w:tcBorders>
            <w:shd w:val="clear" w:color="auto" w:fill="FFFFFF" w:themeFill="background1"/>
            <w:noWrap/>
          </w:tcPr>
          <w:p w14:paraId="78AD3FD2"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249 (58%)</w:t>
            </w:r>
          </w:p>
        </w:tc>
        <w:tc>
          <w:tcPr>
            <w:tcW w:w="1060" w:type="dxa"/>
            <w:tcBorders>
              <w:left w:val="nil"/>
              <w:bottom w:val="single" w:sz="4" w:space="0" w:color="auto"/>
              <w:right w:val="nil"/>
            </w:tcBorders>
            <w:shd w:val="clear" w:color="auto" w:fill="FFFFFF" w:themeFill="background1"/>
            <w:noWrap/>
          </w:tcPr>
          <w:p w14:paraId="29765ABF"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160 (59%)</w:t>
            </w:r>
          </w:p>
        </w:tc>
        <w:tc>
          <w:tcPr>
            <w:tcW w:w="1060" w:type="dxa"/>
            <w:tcBorders>
              <w:left w:val="nil"/>
              <w:bottom w:val="single" w:sz="4" w:space="0" w:color="auto"/>
              <w:right w:val="nil"/>
            </w:tcBorders>
            <w:shd w:val="clear" w:color="auto" w:fill="FFFFFF" w:themeFill="background1"/>
            <w:noWrap/>
          </w:tcPr>
          <w:p w14:paraId="3C841ABE" w14:textId="77777777" w:rsidR="00E30D79" w:rsidRPr="003B1EE6" w:rsidRDefault="00E30D79" w:rsidP="00C26C4B">
            <w:pPr>
              <w:ind w:left="-567" w:firstLine="567"/>
              <w:rPr>
                <w:rFonts w:ascii="Calibri" w:eastAsia="Times New Roman" w:hAnsi="Calibri" w:cs="Calibri"/>
                <w:color w:val="000000"/>
                <w:sz w:val="14"/>
                <w:szCs w:val="14"/>
              </w:rPr>
            </w:pPr>
            <w:r w:rsidRPr="003B1EE6">
              <w:rPr>
                <w:rFonts w:ascii="Calibri" w:hAnsi="Calibri" w:cs="Calibri"/>
                <w:color w:val="000000"/>
                <w:sz w:val="14"/>
                <w:szCs w:val="14"/>
              </w:rPr>
              <w:t>109 (57%)</w:t>
            </w:r>
          </w:p>
        </w:tc>
        <w:tc>
          <w:tcPr>
            <w:tcW w:w="1060" w:type="dxa"/>
            <w:tcBorders>
              <w:left w:val="nil"/>
              <w:bottom w:val="single" w:sz="4" w:space="0" w:color="auto"/>
              <w:right w:val="single" w:sz="4" w:space="0" w:color="auto"/>
            </w:tcBorders>
            <w:shd w:val="clear" w:color="auto" w:fill="FFFFFF" w:themeFill="background1"/>
            <w:noWrap/>
          </w:tcPr>
          <w:p w14:paraId="3302BE32" w14:textId="77777777" w:rsidR="00E30D79" w:rsidRPr="003B1EE6" w:rsidRDefault="00E30D79" w:rsidP="00C26C4B">
            <w:pPr>
              <w:ind w:left="-567" w:firstLine="567"/>
              <w:jc w:val="center"/>
              <w:rPr>
                <w:rFonts w:ascii="Calibri" w:eastAsia="Times New Roman" w:hAnsi="Calibri" w:cs="Calibri"/>
                <w:color w:val="000000"/>
                <w:sz w:val="14"/>
                <w:szCs w:val="14"/>
              </w:rPr>
            </w:pPr>
            <w:r w:rsidRPr="003B1EE6">
              <w:rPr>
                <w:rFonts w:ascii="Calibri" w:eastAsia="Times New Roman" w:hAnsi="Calibri" w:cs="Calibri"/>
                <w:color w:val="000000"/>
                <w:sz w:val="14"/>
                <w:szCs w:val="14"/>
              </w:rPr>
              <w:t>&lt;0.001</w:t>
            </w:r>
          </w:p>
        </w:tc>
      </w:tr>
      <w:tr w:rsidR="00E30D79" w:rsidRPr="001662D0" w14:paraId="77A6D9DE" w14:textId="77777777" w:rsidTr="00C26C4B">
        <w:trPr>
          <w:trHeight w:val="200"/>
        </w:trPr>
        <w:tc>
          <w:tcPr>
            <w:tcW w:w="11868" w:type="dxa"/>
            <w:gridSpan w:val="10"/>
            <w:tcBorders>
              <w:top w:val="single" w:sz="4" w:space="0" w:color="auto"/>
              <w:bottom w:val="nil"/>
            </w:tcBorders>
            <w:shd w:val="clear" w:color="auto" w:fill="auto"/>
            <w:noWrap/>
            <w:vAlign w:val="bottom"/>
          </w:tcPr>
          <w:p w14:paraId="49C07720" w14:textId="77777777" w:rsidR="00E30D79" w:rsidRPr="001E2205" w:rsidRDefault="00E30D79" w:rsidP="00C26C4B">
            <w:pPr>
              <w:rPr>
                <w:rFonts w:ascii="Calibri" w:eastAsia="Times New Roman" w:hAnsi="Calibri"/>
                <w:color w:val="000000"/>
                <w:sz w:val="14"/>
                <w:szCs w:val="14"/>
                <w:lang w:val="en-US"/>
              </w:rPr>
            </w:pPr>
            <w:r w:rsidRPr="00C515A5">
              <w:rPr>
                <w:rFonts w:ascii="Calibri" w:eastAsia="Times New Roman" w:hAnsi="Calibri"/>
                <w:color w:val="000000"/>
                <w:sz w:val="16"/>
                <w:szCs w:val="16"/>
                <w:lang w:val="en-US"/>
              </w:rPr>
              <w:t>A0=</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 0%;A1=</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 1-49%; A2=</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/ARB-50-99%; A3=</w:t>
            </w:r>
            <w:proofErr w:type="spellStart"/>
            <w:r w:rsidRPr="00C515A5">
              <w:rPr>
                <w:rFonts w:ascii="Calibri" w:eastAsia="Times New Roman" w:hAnsi="Calibri"/>
                <w:color w:val="000000"/>
                <w:sz w:val="16"/>
                <w:szCs w:val="16"/>
                <w:lang w:val="en-US"/>
              </w:rPr>
              <w:t>ACEi</w:t>
            </w:r>
            <w:proofErr w:type="spellEnd"/>
            <w:r w:rsidRPr="00C515A5">
              <w:rPr>
                <w:rFonts w:ascii="Calibri" w:eastAsia="Times New Roman" w:hAnsi="Calibri"/>
                <w:color w:val="000000"/>
                <w:sz w:val="16"/>
                <w:szCs w:val="16"/>
                <w:lang w:val="en-US"/>
              </w:rPr>
              <w:t>/ARB≥100%</w:t>
            </w:r>
          </w:p>
        </w:tc>
      </w:tr>
      <w:tr w:rsidR="00E30D79" w:rsidRPr="001662D0" w14:paraId="5F273F14" w14:textId="77777777" w:rsidTr="00C26C4B">
        <w:trPr>
          <w:trHeight w:val="200"/>
        </w:trPr>
        <w:tc>
          <w:tcPr>
            <w:tcW w:w="11868" w:type="dxa"/>
            <w:gridSpan w:val="10"/>
            <w:tcBorders>
              <w:top w:val="nil"/>
            </w:tcBorders>
            <w:shd w:val="clear" w:color="auto" w:fill="auto"/>
            <w:noWrap/>
            <w:vAlign w:val="bottom"/>
          </w:tcPr>
          <w:p w14:paraId="57011248" w14:textId="77777777" w:rsidR="00E30D79" w:rsidRPr="001E2205" w:rsidRDefault="00E30D79" w:rsidP="00C26C4B">
            <w:pPr>
              <w:rPr>
                <w:rFonts w:ascii="Calibri" w:eastAsia="Times New Roman" w:hAnsi="Calibri"/>
                <w:color w:val="000000"/>
                <w:sz w:val="14"/>
                <w:szCs w:val="14"/>
                <w:lang w:val="en-US"/>
              </w:rPr>
            </w:pPr>
            <w:r w:rsidRPr="00C515A5">
              <w:rPr>
                <w:rFonts w:ascii="Calibri" w:eastAsia="Times New Roman" w:hAnsi="Calibri"/>
                <w:color w:val="000000"/>
                <w:sz w:val="16"/>
                <w:szCs w:val="16"/>
                <w:lang w:val="en-US"/>
              </w:rPr>
              <w:t>B0=BB 0%; B1=BB 1-49%; B2=BB-50-99%; B3=BB≥100%</w:t>
            </w:r>
          </w:p>
        </w:tc>
      </w:tr>
    </w:tbl>
    <w:p w14:paraId="7FABC3D2" w14:textId="77777777" w:rsidR="00E30D79" w:rsidRDefault="00E30D79" w:rsidP="00E30D79">
      <w:pPr>
        <w:rPr>
          <w:b/>
          <w:bCs/>
          <w:lang w:val="en-US"/>
        </w:rPr>
      </w:pPr>
    </w:p>
    <w:p w14:paraId="7B843C28" w14:textId="77777777" w:rsidR="00E30D79" w:rsidRDefault="00E30D79" w:rsidP="00E30D79">
      <w:pPr>
        <w:rPr>
          <w:b/>
          <w:bCs/>
          <w:lang w:val="en-US"/>
        </w:rPr>
      </w:pPr>
      <w:r>
        <w:rPr>
          <w:b/>
          <w:bCs/>
          <w:lang w:val="en-US"/>
        </w:rPr>
        <w:br w:type="page"/>
      </w:r>
    </w:p>
    <w:p w14:paraId="1B04C7E4" w14:textId="77777777" w:rsidR="00E30D79" w:rsidRDefault="00E30D79" w:rsidP="00E30D79">
      <w:pPr>
        <w:rPr>
          <w:b/>
          <w:bCs/>
          <w:lang w:val="en-GB"/>
        </w:rPr>
      </w:pPr>
      <w:r w:rsidRPr="003F41E9">
        <w:rPr>
          <w:b/>
          <w:bCs/>
          <w:lang w:val="en-US"/>
        </w:rPr>
        <w:lastRenderedPageBreak/>
        <w:t xml:space="preserve">Table S4: Results of multivariate </w:t>
      </w:r>
      <w:r>
        <w:rPr>
          <w:b/>
          <w:bCs/>
          <w:lang w:val="en-US"/>
        </w:rPr>
        <w:t xml:space="preserve">logistic </w:t>
      </w:r>
      <w:r w:rsidRPr="003F41E9">
        <w:rPr>
          <w:b/>
          <w:bCs/>
          <w:lang w:val="en-US"/>
        </w:rPr>
        <w:t xml:space="preserve">analyses predicting </w:t>
      </w:r>
      <w:r w:rsidRPr="003F41E9">
        <w:rPr>
          <w:b/>
          <w:bCs/>
          <w:lang w:val="en-GB"/>
        </w:rPr>
        <w:t xml:space="preserve">attainment of ≥50% GRTD for either </w:t>
      </w:r>
      <w:proofErr w:type="spellStart"/>
      <w:r w:rsidRPr="003F41E9">
        <w:rPr>
          <w:b/>
          <w:bCs/>
          <w:lang w:val="en-GB"/>
        </w:rPr>
        <w:t>ACEi</w:t>
      </w:r>
      <w:proofErr w:type="spellEnd"/>
      <w:r w:rsidRPr="003F41E9">
        <w:rPr>
          <w:b/>
          <w:bCs/>
          <w:lang w:val="en-GB"/>
        </w:rPr>
        <w:t>/ARB or β-blockers</w:t>
      </w:r>
    </w:p>
    <w:p w14:paraId="217524F6" w14:textId="77777777" w:rsidR="00E30D79" w:rsidRPr="003F41E9" w:rsidRDefault="00E30D79" w:rsidP="00E30D79">
      <w:pPr>
        <w:rPr>
          <w:b/>
          <w:bCs/>
          <w:lang w:val="en-US"/>
        </w:rPr>
      </w:pPr>
    </w:p>
    <w:tbl>
      <w:tblPr>
        <w:tblW w:w="6760" w:type="dxa"/>
        <w:tblCellMar>
          <w:left w:w="70" w:type="dxa"/>
          <w:right w:w="70" w:type="dxa"/>
        </w:tblCellMar>
        <w:tblLook w:val="04A0" w:firstRow="1" w:lastRow="0" w:firstColumn="1" w:lastColumn="0" w:noHBand="0" w:noVBand="1"/>
      </w:tblPr>
      <w:tblGrid>
        <w:gridCol w:w="3440"/>
        <w:gridCol w:w="620"/>
        <w:gridCol w:w="1680"/>
        <w:gridCol w:w="1020"/>
      </w:tblGrid>
      <w:tr w:rsidR="00E30D79" w:rsidRPr="003F41E9" w14:paraId="5B071175" w14:textId="77777777" w:rsidTr="00C26C4B">
        <w:trPr>
          <w:trHeight w:val="260"/>
        </w:trPr>
        <w:tc>
          <w:tcPr>
            <w:tcW w:w="3440" w:type="dxa"/>
            <w:tcBorders>
              <w:top w:val="single" w:sz="4" w:space="0" w:color="auto"/>
              <w:left w:val="single" w:sz="4" w:space="0" w:color="auto"/>
              <w:bottom w:val="single" w:sz="4" w:space="0" w:color="auto"/>
              <w:right w:val="nil"/>
            </w:tcBorders>
            <w:shd w:val="clear" w:color="auto" w:fill="auto"/>
            <w:noWrap/>
            <w:hideMark/>
          </w:tcPr>
          <w:p w14:paraId="2617AE83" w14:textId="77777777" w:rsidR="00E30D79" w:rsidRPr="003F41E9" w:rsidRDefault="00E30D79" w:rsidP="00C26C4B">
            <w:pPr>
              <w:rPr>
                <w:rFonts w:ascii="Helvetica Neue" w:eastAsia="Times New Roman" w:hAnsi="Helvetica Neue"/>
                <w:b/>
                <w:bCs/>
                <w:color w:val="0D0D0D"/>
                <w:sz w:val="20"/>
                <w:szCs w:val="20"/>
              </w:rPr>
            </w:pPr>
            <w:proofErr w:type="spellStart"/>
            <w:r w:rsidRPr="003F41E9">
              <w:rPr>
                <w:rFonts w:ascii="Helvetica Neue" w:eastAsia="Times New Roman" w:hAnsi="Helvetica Neue"/>
                <w:b/>
                <w:bCs/>
                <w:color w:val="0D0D0D"/>
                <w:sz w:val="20"/>
                <w:szCs w:val="20"/>
              </w:rPr>
              <w:t>Variable</w:t>
            </w:r>
            <w:proofErr w:type="spellEnd"/>
          </w:p>
        </w:tc>
        <w:tc>
          <w:tcPr>
            <w:tcW w:w="620" w:type="dxa"/>
            <w:tcBorders>
              <w:top w:val="single" w:sz="4" w:space="0" w:color="auto"/>
              <w:left w:val="nil"/>
              <w:bottom w:val="single" w:sz="4" w:space="0" w:color="auto"/>
              <w:right w:val="nil"/>
            </w:tcBorders>
            <w:shd w:val="clear" w:color="auto" w:fill="auto"/>
            <w:noWrap/>
            <w:hideMark/>
          </w:tcPr>
          <w:p w14:paraId="758E9374" w14:textId="77777777" w:rsidR="00E30D79" w:rsidRPr="003F41E9" w:rsidRDefault="00E30D79" w:rsidP="00C26C4B">
            <w:pPr>
              <w:rPr>
                <w:rFonts w:ascii="Helvetica Neue" w:eastAsia="Times New Roman" w:hAnsi="Helvetica Neue"/>
                <w:b/>
                <w:bCs/>
                <w:color w:val="0D0D0D"/>
                <w:sz w:val="20"/>
                <w:szCs w:val="20"/>
              </w:rPr>
            </w:pPr>
            <w:r w:rsidRPr="003F41E9">
              <w:rPr>
                <w:rFonts w:ascii="Helvetica Neue" w:eastAsia="Times New Roman" w:hAnsi="Helvetica Neue"/>
                <w:b/>
                <w:bCs/>
                <w:color w:val="0D0D0D"/>
                <w:sz w:val="20"/>
                <w:szCs w:val="20"/>
              </w:rPr>
              <w:t>OR</w:t>
            </w:r>
          </w:p>
        </w:tc>
        <w:tc>
          <w:tcPr>
            <w:tcW w:w="1680" w:type="dxa"/>
            <w:tcBorders>
              <w:top w:val="single" w:sz="4" w:space="0" w:color="auto"/>
              <w:left w:val="nil"/>
              <w:bottom w:val="single" w:sz="4" w:space="0" w:color="auto"/>
              <w:right w:val="nil"/>
            </w:tcBorders>
            <w:shd w:val="clear" w:color="auto" w:fill="auto"/>
            <w:noWrap/>
            <w:vAlign w:val="center"/>
            <w:hideMark/>
          </w:tcPr>
          <w:p w14:paraId="79BBCE5C" w14:textId="77777777" w:rsidR="00E30D79" w:rsidRPr="003F41E9" w:rsidRDefault="00E30D79" w:rsidP="00C26C4B">
            <w:pPr>
              <w:jc w:val="center"/>
              <w:rPr>
                <w:rFonts w:ascii="Helvetica Neue" w:eastAsia="Times New Roman" w:hAnsi="Helvetica Neue"/>
                <w:b/>
                <w:bCs/>
                <w:color w:val="0D0D0D"/>
                <w:sz w:val="20"/>
                <w:szCs w:val="20"/>
              </w:rPr>
            </w:pPr>
            <w:r w:rsidRPr="003F41E9">
              <w:rPr>
                <w:rFonts w:ascii="Helvetica Neue" w:eastAsia="Times New Roman" w:hAnsi="Helvetica Neue"/>
                <w:b/>
                <w:bCs/>
                <w:color w:val="0D0D0D"/>
                <w:sz w:val="20"/>
                <w:szCs w:val="20"/>
              </w:rPr>
              <w:t>95% CI</w:t>
            </w:r>
          </w:p>
        </w:tc>
        <w:tc>
          <w:tcPr>
            <w:tcW w:w="1020" w:type="dxa"/>
            <w:tcBorders>
              <w:top w:val="single" w:sz="4" w:space="0" w:color="auto"/>
              <w:left w:val="nil"/>
              <w:bottom w:val="single" w:sz="4" w:space="0" w:color="000000"/>
              <w:right w:val="single" w:sz="4" w:space="0" w:color="auto"/>
            </w:tcBorders>
            <w:shd w:val="clear" w:color="auto" w:fill="auto"/>
            <w:noWrap/>
            <w:hideMark/>
          </w:tcPr>
          <w:p w14:paraId="34E89E20" w14:textId="77777777" w:rsidR="00E30D79" w:rsidRPr="003F41E9" w:rsidRDefault="00E30D79" w:rsidP="00C26C4B">
            <w:pPr>
              <w:rPr>
                <w:rFonts w:ascii="Helvetica Neue" w:eastAsia="Times New Roman" w:hAnsi="Helvetica Neue"/>
                <w:b/>
                <w:bCs/>
                <w:color w:val="0D0D0D"/>
                <w:sz w:val="20"/>
                <w:szCs w:val="20"/>
              </w:rPr>
            </w:pPr>
            <w:r w:rsidRPr="003F41E9">
              <w:rPr>
                <w:rFonts w:ascii="Helvetica Neue" w:eastAsia="Times New Roman" w:hAnsi="Helvetica Neue"/>
                <w:b/>
                <w:bCs/>
                <w:color w:val="0D0D0D"/>
                <w:sz w:val="20"/>
                <w:szCs w:val="20"/>
              </w:rPr>
              <w:t>p-</w:t>
            </w:r>
            <w:proofErr w:type="spellStart"/>
            <w:r w:rsidRPr="003F41E9">
              <w:rPr>
                <w:rFonts w:ascii="Helvetica Neue" w:eastAsia="Times New Roman" w:hAnsi="Helvetica Neue"/>
                <w:b/>
                <w:bCs/>
                <w:color w:val="0D0D0D"/>
                <w:sz w:val="20"/>
                <w:szCs w:val="20"/>
              </w:rPr>
              <w:t>value</w:t>
            </w:r>
            <w:proofErr w:type="spellEnd"/>
          </w:p>
        </w:tc>
      </w:tr>
      <w:tr w:rsidR="00E30D79" w:rsidRPr="003F41E9" w14:paraId="7123DEAF" w14:textId="77777777" w:rsidTr="00C26C4B">
        <w:trPr>
          <w:trHeight w:val="260"/>
        </w:trPr>
        <w:tc>
          <w:tcPr>
            <w:tcW w:w="3440" w:type="dxa"/>
            <w:tcBorders>
              <w:top w:val="nil"/>
              <w:left w:val="single" w:sz="4" w:space="0" w:color="auto"/>
              <w:bottom w:val="nil"/>
              <w:right w:val="nil"/>
            </w:tcBorders>
            <w:shd w:val="clear" w:color="D9D9D9" w:fill="D9D9D9"/>
            <w:noWrap/>
            <w:hideMark/>
          </w:tcPr>
          <w:p w14:paraId="39359B8F"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w:t>
            </w:r>
            <w:proofErr w:type="spellStart"/>
            <w:r w:rsidRPr="003F41E9">
              <w:rPr>
                <w:rFonts w:ascii="Helvetica Neue" w:eastAsia="Times New Roman" w:hAnsi="Helvetica Neue"/>
                <w:b/>
                <w:bCs/>
                <w:color w:val="000000"/>
                <w:sz w:val="16"/>
                <w:szCs w:val="16"/>
              </w:rPr>
              <w:t>Intercept</w:t>
            </w:r>
            <w:proofErr w:type="spellEnd"/>
            <w:r w:rsidRPr="003F41E9">
              <w:rPr>
                <w:rFonts w:ascii="Helvetica Neue" w:eastAsia="Times New Roman" w:hAnsi="Helvetica Neue"/>
                <w:b/>
                <w:bCs/>
                <w:color w:val="000000"/>
                <w:sz w:val="16"/>
                <w:szCs w:val="16"/>
              </w:rPr>
              <w:t>)</w:t>
            </w:r>
          </w:p>
        </w:tc>
        <w:tc>
          <w:tcPr>
            <w:tcW w:w="620" w:type="dxa"/>
            <w:tcBorders>
              <w:top w:val="nil"/>
              <w:left w:val="nil"/>
              <w:bottom w:val="nil"/>
              <w:right w:val="nil"/>
            </w:tcBorders>
            <w:shd w:val="clear" w:color="D9D9D9" w:fill="D9D9D9"/>
            <w:hideMark/>
          </w:tcPr>
          <w:p w14:paraId="589D7F8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0.00</w:t>
            </w:r>
          </w:p>
        </w:tc>
        <w:tc>
          <w:tcPr>
            <w:tcW w:w="1680" w:type="dxa"/>
            <w:tcBorders>
              <w:top w:val="nil"/>
              <w:left w:val="nil"/>
              <w:bottom w:val="nil"/>
              <w:right w:val="nil"/>
            </w:tcBorders>
            <w:shd w:val="clear" w:color="D9D9D9" w:fill="D9D9D9"/>
            <w:vAlign w:val="center"/>
            <w:hideMark/>
          </w:tcPr>
          <w:p w14:paraId="2D337D2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(0-30.45)</w:t>
            </w:r>
          </w:p>
        </w:tc>
        <w:tc>
          <w:tcPr>
            <w:tcW w:w="1020" w:type="dxa"/>
            <w:tcBorders>
              <w:top w:val="nil"/>
              <w:left w:val="nil"/>
              <w:bottom w:val="nil"/>
              <w:right w:val="single" w:sz="4" w:space="0" w:color="auto"/>
            </w:tcBorders>
            <w:shd w:val="clear" w:color="D9D9D9" w:fill="D9D9D9"/>
            <w:hideMark/>
          </w:tcPr>
          <w:p w14:paraId="2B54D95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0.11</w:t>
            </w:r>
          </w:p>
        </w:tc>
      </w:tr>
      <w:tr w:rsidR="00E30D79" w:rsidRPr="003F41E9" w14:paraId="05691458" w14:textId="77777777" w:rsidTr="00C26C4B">
        <w:trPr>
          <w:trHeight w:val="260"/>
        </w:trPr>
        <w:tc>
          <w:tcPr>
            <w:tcW w:w="3440" w:type="dxa"/>
            <w:tcBorders>
              <w:top w:val="nil"/>
              <w:left w:val="single" w:sz="4" w:space="0" w:color="auto"/>
              <w:bottom w:val="nil"/>
              <w:right w:val="nil"/>
            </w:tcBorders>
            <w:shd w:val="clear" w:color="auto" w:fill="auto"/>
            <w:noWrap/>
            <w:hideMark/>
          </w:tcPr>
          <w:p w14:paraId="0822E33A"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(China)</w:t>
            </w:r>
          </w:p>
        </w:tc>
        <w:tc>
          <w:tcPr>
            <w:tcW w:w="620" w:type="dxa"/>
            <w:tcBorders>
              <w:top w:val="nil"/>
              <w:left w:val="nil"/>
              <w:bottom w:val="nil"/>
              <w:right w:val="nil"/>
            </w:tcBorders>
            <w:shd w:val="clear" w:color="auto" w:fill="auto"/>
            <w:noWrap/>
            <w:hideMark/>
          </w:tcPr>
          <w:p w14:paraId="3D73E117" w14:textId="77777777" w:rsidR="00E30D79" w:rsidRPr="003F41E9" w:rsidRDefault="00E30D79" w:rsidP="00C26C4B">
            <w:pP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c>
          <w:tcPr>
            <w:tcW w:w="1680" w:type="dxa"/>
            <w:tcBorders>
              <w:top w:val="nil"/>
              <w:left w:val="nil"/>
              <w:bottom w:val="nil"/>
              <w:right w:val="nil"/>
            </w:tcBorders>
            <w:shd w:val="clear" w:color="auto" w:fill="auto"/>
            <w:noWrap/>
            <w:vAlign w:val="center"/>
            <w:hideMark/>
          </w:tcPr>
          <w:p w14:paraId="218F11F7"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c>
          <w:tcPr>
            <w:tcW w:w="1020" w:type="dxa"/>
            <w:tcBorders>
              <w:top w:val="nil"/>
              <w:left w:val="nil"/>
              <w:bottom w:val="nil"/>
              <w:right w:val="single" w:sz="4" w:space="0" w:color="auto"/>
            </w:tcBorders>
            <w:shd w:val="clear" w:color="auto" w:fill="auto"/>
            <w:noWrap/>
            <w:hideMark/>
          </w:tcPr>
          <w:p w14:paraId="08B0E5B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r>
      <w:tr w:rsidR="00E30D79" w:rsidRPr="003F41E9" w14:paraId="27AC6484" w14:textId="77777777" w:rsidTr="00C26C4B">
        <w:trPr>
          <w:trHeight w:val="260"/>
        </w:trPr>
        <w:tc>
          <w:tcPr>
            <w:tcW w:w="3440" w:type="dxa"/>
            <w:tcBorders>
              <w:top w:val="nil"/>
              <w:left w:val="single" w:sz="4" w:space="0" w:color="auto"/>
              <w:bottom w:val="nil"/>
              <w:right w:val="nil"/>
            </w:tcBorders>
            <w:shd w:val="clear" w:color="D9D9D9" w:fill="D9D9D9"/>
            <w:noWrap/>
            <w:hideMark/>
          </w:tcPr>
          <w:p w14:paraId="2B3E214D"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(Hong Kong)</w:t>
            </w:r>
          </w:p>
        </w:tc>
        <w:tc>
          <w:tcPr>
            <w:tcW w:w="620" w:type="dxa"/>
            <w:tcBorders>
              <w:top w:val="nil"/>
              <w:left w:val="nil"/>
              <w:bottom w:val="nil"/>
              <w:right w:val="nil"/>
            </w:tcBorders>
            <w:shd w:val="clear" w:color="D9D9D9" w:fill="D9D9D9"/>
            <w:hideMark/>
          </w:tcPr>
          <w:p w14:paraId="09905CB2"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12.48</w:t>
            </w:r>
          </w:p>
        </w:tc>
        <w:tc>
          <w:tcPr>
            <w:tcW w:w="1680" w:type="dxa"/>
            <w:tcBorders>
              <w:top w:val="nil"/>
              <w:left w:val="nil"/>
              <w:bottom w:val="nil"/>
              <w:right w:val="nil"/>
            </w:tcBorders>
            <w:shd w:val="clear" w:color="D9D9D9" w:fill="D9D9D9"/>
            <w:vAlign w:val="center"/>
            <w:hideMark/>
          </w:tcPr>
          <w:p w14:paraId="0240C45A"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(3.88-40.10)</w:t>
            </w:r>
          </w:p>
        </w:tc>
        <w:tc>
          <w:tcPr>
            <w:tcW w:w="1020" w:type="dxa"/>
            <w:tcBorders>
              <w:top w:val="nil"/>
              <w:left w:val="nil"/>
              <w:bottom w:val="nil"/>
              <w:right w:val="single" w:sz="4" w:space="0" w:color="auto"/>
            </w:tcBorders>
            <w:shd w:val="clear" w:color="D9D9D9" w:fill="D9D9D9"/>
            <w:hideMark/>
          </w:tcPr>
          <w:p w14:paraId="09B9603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42580DCF" w14:textId="77777777" w:rsidTr="00C26C4B">
        <w:trPr>
          <w:trHeight w:val="260"/>
        </w:trPr>
        <w:tc>
          <w:tcPr>
            <w:tcW w:w="3440" w:type="dxa"/>
            <w:tcBorders>
              <w:top w:val="nil"/>
              <w:left w:val="single" w:sz="4" w:space="0" w:color="auto"/>
              <w:bottom w:val="nil"/>
              <w:right w:val="nil"/>
            </w:tcBorders>
            <w:shd w:val="clear" w:color="auto" w:fill="auto"/>
            <w:noWrap/>
            <w:hideMark/>
          </w:tcPr>
          <w:p w14:paraId="1B98DA36"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(India)</w:t>
            </w:r>
          </w:p>
        </w:tc>
        <w:tc>
          <w:tcPr>
            <w:tcW w:w="620" w:type="dxa"/>
            <w:tcBorders>
              <w:top w:val="nil"/>
              <w:left w:val="nil"/>
              <w:bottom w:val="nil"/>
              <w:right w:val="nil"/>
            </w:tcBorders>
            <w:shd w:val="clear" w:color="auto" w:fill="auto"/>
            <w:hideMark/>
          </w:tcPr>
          <w:p w14:paraId="51F81209"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6.78</w:t>
            </w:r>
          </w:p>
        </w:tc>
        <w:tc>
          <w:tcPr>
            <w:tcW w:w="1680" w:type="dxa"/>
            <w:tcBorders>
              <w:top w:val="nil"/>
              <w:left w:val="nil"/>
              <w:bottom w:val="nil"/>
              <w:right w:val="nil"/>
            </w:tcBorders>
            <w:shd w:val="clear" w:color="auto" w:fill="auto"/>
            <w:vAlign w:val="center"/>
            <w:hideMark/>
          </w:tcPr>
          <w:p w14:paraId="34D8BF3F"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(3.07-14.96)</w:t>
            </w:r>
          </w:p>
        </w:tc>
        <w:tc>
          <w:tcPr>
            <w:tcW w:w="1020" w:type="dxa"/>
            <w:tcBorders>
              <w:top w:val="nil"/>
              <w:left w:val="nil"/>
              <w:bottom w:val="nil"/>
              <w:right w:val="single" w:sz="4" w:space="0" w:color="auto"/>
            </w:tcBorders>
            <w:shd w:val="clear" w:color="auto" w:fill="auto"/>
            <w:hideMark/>
          </w:tcPr>
          <w:p w14:paraId="7A2D991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00688C4F" w14:textId="77777777" w:rsidTr="00C26C4B">
        <w:trPr>
          <w:trHeight w:val="260"/>
        </w:trPr>
        <w:tc>
          <w:tcPr>
            <w:tcW w:w="3440" w:type="dxa"/>
            <w:tcBorders>
              <w:top w:val="nil"/>
              <w:left w:val="single" w:sz="4" w:space="0" w:color="auto"/>
              <w:bottom w:val="nil"/>
              <w:right w:val="nil"/>
            </w:tcBorders>
            <w:shd w:val="clear" w:color="D9D9D9" w:fill="D9D9D9"/>
            <w:noWrap/>
            <w:hideMark/>
          </w:tcPr>
          <w:p w14:paraId="4716860E"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(Indonesia)</w:t>
            </w:r>
          </w:p>
        </w:tc>
        <w:tc>
          <w:tcPr>
            <w:tcW w:w="620" w:type="dxa"/>
            <w:tcBorders>
              <w:top w:val="nil"/>
              <w:left w:val="nil"/>
              <w:bottom w:val="nil"/>
              <w:right w:val="nil"/>
            </w:tcBorders>
            <w:shd w:val="clear" w:color="D9D9D9" w:fill="D9D9D9"/>
            <w:hideMark/>
          </w:tcPr>
          <w:p w14:paraId="4621A85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11.80</w:t>
            </w:r>
          </w:p>
        </w:tc>
        <w:tc>
          <w:tcPr>
            <w:tcW w:w="1680" w:type="dxa"/>
            <w:tcBorders>
              <w:top w:val="nil"/>
              <w:left w:val="nil"/>
              <w:bottom w:val="nil"/>
              <w:right w:val="nil"/>
            </w:tcBorders>
            <w:shd w:val="clear" w:color="D9D9D9" w:fill="D9D9D9"/>
            <w:vAlign w:val="center"/>
            <w:hideMark/>
          </w:tcPr>
          <w:p w14:paraId="144408F8"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(4.73-29.46)</w:t>
            </w:r>
          </w:p>
        </w:tc>
        <w:tc>
          <w:tcPr>
            <w:tcW w:w="1020" w:type="dxa"/>
            <w:tcBorders>
              <w:top w:val="nil"/>
              <w:left w:val="nil"/>
              <w:bottom w:val="nil"/>
              <w:right w:val="single" w:sz="4" w:space="0" w:color="auto"/>
            </w:tcBorders>
            <w:shd w:val="clear" w:color="D9D9D9" w:fill="D9D9D9"/>
            <w:hideMark/>
          </w:tcPr>
          <w:p w14:paraId="1118D322"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2F1A3A78" w14:textId="77777777" w:rsidTr="00C26C4B">
        <w:trPr>
          <w:trHeight w:val="260"/>
        </w:trPr>
        <w:tc>
          <w:tcPr>
            <w:tcW w:w="3440" w:type="dxa"/>
            <w:tcBorders>
              <w:top w:val="nil"/>
              <w:left w:val="single" w:sz="4" w:space="0" w:color="auto"/>
              <w:bottom w:val="nil"/>
              <w:right w:val="nil"/>
            </w:tcBorders>
            <w:shd w:val="clear" w:color="auto" w:fill="auto"/>
            <w:noWrap/>
            <w:hideMark/>
          </w:tcPr>
          <w:p w14:paraId="45DB54B7"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(Japan)</w:t>
            </w:r>
          </w:p>
        </w:tc>
        <w:tc>
          <w:tcPr>
            <w:tcW w:w="620" w:type="dxa"/>
            <w:tcBorders>
              <w:top w:val="nil"/>
              <w:left w:val="nil"/>
              <w:bottom w:val="nil"/>
              <w:right w:val="nil"/>
            </w:tcBorders>
            <w:shd w:val="clear" w:color="auto" w:fill="auto"/>
            <w:hideMark/>
          </w:tcPr>
          <w:p w14:paraId="0A4DDC2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3.15</w:t>
            </w:r>
          </w:p>
        </w:tc>
        <w:tc>
          <w:tcPr>
            <w:tcW w:w="1680" w:type="dxa"/>
            <w:tcBorders>
              <w:top w:val="nil"/>
              <w:left w:val="nil"/>
              <w:bottom w:val="nil"/>
              <w:right w:val="nil"/>
            </w:tcBorders>
            <w:shd w:val="clear" w:color="auto" w:fill="auto"/>
            <w:vAlign w:val="center"/>
            <w:hideMark/>
          </w:tcPr>
          <w:p w14:paraId="6803AD11"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(1.29-7.69)</w:t>
            </w:r>
          </w:p>
        </w:tc>
        <w:tc>
          <w:tcPr>
            <w:tcW w:w="1020" w:type="dxa"/>
            <w:tcBorders>
              <w:top w:val="nil"/>
              <w:left w:val="nil"/>
              <w:bottom w:val="nil"/>
              <w:right w:val="single" w:sz="4" w:space="0" w:color="auto"/>
            </w:tcBorders>
            <w:shd w:val="clear" w:color="auto" w:fill="auto"/>
            <w:hideMark/>
          </w:tcPr>
          <w:p w14:paraId="70134A67"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0.01</w:t>
            </w:r>
          </w:p>
        </w:tc>
      </w:tr>
      <w:tr w:rsidR="00E30D79" w:rsidRPr="003F41E9" w14:paraId="4F8F35DA" w14:textId="77777777" w:rsidTr="00C26C4B">
        <w:trPr>
          <w:trHeight w:val="260"/>
        </w:trPr>
        <w:tc>
          <w:tcPr>
            <w:tcW w:w="3440" w:type="dxa"/>
            <w:tcBorders>
              <w:top w:val="nil"/>
              <w:left w:val="single" w:sz="4" w:space="0" w:color="auto"/>
              <w:bottom w:val="nil"/>
              <w:right w:val="nil"/>
            </w:tcBorders>
            <w:shd w:val="clear" w:color="D9D9D9" w:fill="D9D9D9"/>
            <w:noWrap/>
            <w:hideMark/>
          </w:tcPr>
          <w:p w14:paraId="1C41DA8C"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(Korea)</w:t>
            </w:r>
          </w:p>
        </w:tc>
        <w:tc>
          <w:tcPr>
            <w:tcW w:w="620" w:type="dxa"/>
            <w:tcBorders>
              <w:top w:val="nil"/>
              <w:left w:val="nil"/>
              <w:bottom w:val="nil"/>
              <w:right w:val="nil"/>
            </w:tcBorders>
            <w:shd w:val="clear" w:color="D9D9D9" w:fill="D9D9D9"/>
            <w:hideMark/>
          </w:tcPr>
          <w:p w14:paraId="2569F53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25.78</w:t>
            </w:r>
          </w:p>
        </w:tc>
        <w:tc>
          <w:tcPr>
            <w:tcW w:w="1680" w:type="dxa"/>
            <w:tcBorders>
              <w:top w:val="nil"/>
              <w:left w:val="nil"/>
              <w:bottom w:val="nil"/>
              <w:right w:val="nil"/>
            </w:tcBorders>
            <w:shd w:val="clear" w:color="D9D9D9" w:fill="D9D9D9"/>
            <w:vAlign w:val="center"/>
            <w:hideMark/>
          </w:tcPr>
          <w:p w14:paraId="6CF210D4"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(11.39-58.35)</w:t>
            </w:r>
          </w:p>
        </w:tc>
        <w:tc>
          <w:tcPr>
            <w:tcW w:w="1020" w:type="dxa"/>
            <w:tcBorders>
              <w:top w:val="nil"/>
              <w:left w:val="nil"/>
              <w:bottom w:val="nil"/>
              <w:right w:val="single" w:sz="4" w:space="0" w:color="auto"/>
            </w:tcBorders>
            <w:shd w:val="clear" w:color="D9D9D9" w:fill="D9D9D9"/>
            <w:hideMark/>
          </w:tcPr>
          <w:p w14:paraId="1D7C95E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400DDC1B" w14:textId="77777777" w:rsidTr="00C26C4B">
        <w:trPr>
          <w:trHeight w:val="260"/>
        </w:trPr>
        <w:tc>
          <w:tcPr>
            <w:tcW w:w="3440" w:type="dxa"/>
            <w:tcBorders>
              <w:top w:val="nil"/>
              <w:left w:val="single" w:sz="4" w:space="0" w:color="auto"/>
              <w:bottom w:val="nil"/>
              <w:right w:val="nil"/>
            </w:tcBorders>
            <w:shd w:val="clear" w:color="auto" w:fill="auto"/>
            <w:noWrap/>
            <w:hideMark/>
          </w:tcPr>
          <w:p w14:paraId="4411C6DC"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(Malaysia)</w:t>
            </w:r>
          </w:p>
        </w:tc>
        <w:tc>
          <w:tcPr>
            <w:tcW w:w="620" w:type="dxa"/>
            <w:tcBorders>
              <w:top w:val="nil"/>
              <w:left w:val="nil"/>
              <w:bottom w:val="nil"/>
              <w:right w:val="nil"/>
            </w:tcBorders>
            <w:shd w:val="clear" w:color="auto" w:fill="auto"/>
            <w:hideMark/>
          </w:tcPr>
          <w:p w14:paraId="7906B78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14.21</w:t>
            </w:r>
          </w:p>
        </w:tc>
        <w:tc>
          <w:tcPr>
            <w:tcW w:w="1680" w:type="dxa"/>
            <w:tcBorders>
              <w:top w:val="nil"/>
              <w:left w:val="nil"/>
              <w:bottom w:val="nil"/>
              <w:right w:val="nil"/>
            </w:tcBorders>
            <w:shd w:val="clear" w:color="auto" w:fill="auto"/>
            <w:vAlign w:val="center"/>
            <w:hideMark/>
          </w:tcPr>
          <w:p w14:paraId="11BB3BB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(6.33-31.94)</w:t>
            </w:r>
          </w:p>
        </w:tc>
        <w:tc>
          <w:tcPr>
            <w:tcW w:w="1020" w:type="dxa"/>
            <w:tcBorders>
              <w:top w:val="nil"/>
              <w:left w:val="nil"/>
              <w:bottom w:val="nil"/>
              <w:right w:val="single" w:sz="4" w:space="0" w:color="auto"/>
            </w:tcBorders>
            <w:shd w:val="clear" w:color="auto" w:fill="auto"/>
            <w:hideMark/>
          </w:tcPr>
          <w:p w14:paraId="56EF9401"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0CF6284E" w14:textId="77777777" w:rsidTr="00C26C4B">
        <w:trPr>
          <w:trHeight w:val="260"/>
        </w:trPr>
        <w:tc>
          <w:tcPr>
            <w:tcW w:w="3440" w:type="dxa"/>
            <w:tcBorders>
              <w:top w:val="nil"/>
              <w:left w:val="single" w:sz="4" w:space="0" w:color="auto"/>
              <w:bottom w:val="nil"/>
              <w:right w:val="nil"/>
            </w:tcBorders>
            <w:shd w:val="clear" w:color="D9D9D9" w:fill="D9D9D9"/>
            <w:noWrap/>
            <w:hideMark/>
          </w:tcPr>
          <w:p w14:paraId="6EC1C74E"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(Philippines)</w:t>
            </w:r>
          </w:p>
        </w:tc>
        <w:tc>
          <w:tcPr>
            <w:tcW w:w="620" w:type="dxa"/>
            <w:tcBorders>
              <w:top w:val="nil"/>
              <w:left w:val="nil"/>
              <w:bottom w:val="nil"/>
              <w:right w:val="nil"/>
            </w:tcBorders>
            <w:shd w:val="clear" w:color="D9D9D9" w:fill="D9D9D9"/>
            <w:hideMark/>
          </w:tcPr>
          <w:p w14:paraId="1B07F0D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6.58</w:t>
            </w:r>
          </w:p>
        </w:tc>
        <w:tc>
          <w:tcPr>
            <w:tcW w:w="1680" w:type="dxa"/>
            <w:tcBorders>
              <w:top w:val="nil"/>
              <w:left w:val="nil"/>
              <w:bottom w:val="nil"/>
              <w:right w:val="nil"/>
            </w:tcBorders>
            <w:shd w:val="clear" w:color="D9D9D9" w:fill="D9D9D9"/>
            <w:vAlign w:val="center"/>
            <w:hideMark/>
          </w:tcPr>
          <w:p w14:paraId="1AAEA14D"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(1.26-34.41)</w:t>
            </w:r>
          </w:p>
        </w:tc>
        <w:tc>
          <w:tcPr>
            <w:tcW w:w="1020" w:type="dxa"/>
            <w:tcBorders>
              <w:top w:val="nil"/>
              <w:left w:val="nil"/>
              <w:bottom w:val="nil"/>
              <w:right w:val="single" w:sz="4" w:space="0" w:color="auto"/>
            </w:tcBorders>
            <w:shd w:val="clear" w:color="D9D9D9" w:fill="D9D9D9"/>
            <w:hideMark/>
          </w:tcPr>
          <w:p w14:paraId="386EC7DD"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0.03</w:t>
            </w:r>
          </w:p>
        </w:tc>
      </w:tr>
      <w:tr w:rsidR="00E30D79" w:rsidRPr="003F41E9" w14:paraId="37620920" w14:textId="77777777" w:rsidTr="00C26C4B">
        <w:trPr>
          <w:trHeight w:val="260"/>
        </w:trPr>
        <w:tc>
          <w:tcPr>
            <w:tcW w:w="3440" w:type="dxa"/>
            <w:tcBorders>
              <w:top w:val="nil"/>
              <w:left w:val="single" w:sz="4" w:space="0" w:color="auto"/>
              <w:bottom w:val="nil"/>
              <w:right w:val="nil"/>
            </w:tcBorders>
            <w:shd w:val="clear" w:color="auto" w:fill="auto"/>
            <w:noWrap/>
            <w:hideMark/>
          </w:tcPr>
          <w:p w14:paraId="5A74E298"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(Singapore)</w:t>
            </w:r>
          </w:p>
        </w:tc>
        <w:tc>
          <w:tcPr>
            <w:tcW w:w="620" w:type="dxa"/>
            <w:tcBorders>
              <w:top w:val="nil"/>
              <w:left w:val="nil"/>
              <w:bottom w:val="nil"/>
              <w:right w:val="nil"/>
            </w:tcBorders>
            <w:shd w:val="clear" w:color="auto" w:fill="auto"/>
            <w:hideMark/>
          </w:tcPr>
          <w:p w14:paraId="5125CC2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7.94</w:t>
            </w:r>
          </w:p>
        </w:tc>
        <w:tc>
          <w:tcPr>
            <w:tcW w:w="1680" w:type="dxa"/>
            <w:tcBorders>
              <w:top w:val="nil"/>
              <w:left w:val="nil"/>
              <w:bottom w:val="nil"/>
              <w:right w:val="nil"/>
            </w:tcBorders>
            <w:shd w:val="clear" w:color="auto" w:fill="auto"/>
            <w:vAlign w:val="center"/>
            <w:hideMark/>
          </w:tcPr>
          <w:p w14:paraId="321562A3"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(3.57-17.65)</w:t>
            </w:r>
          </w:p>
        </w:tc>
        <w:tc>
          <w:tcPr>
            <w:tcW w:w="1020" w:type="dxa"/>
            <w:tcBorders>
              <w:top w:val="nil"/>
              <w:left w:val="nil"/>
              <w:bottom w:val="nil"/>
              <w:right w:val="single" w:sz="4" w:space="0" w:color="auto"/>
            </w:tcBorders>
            <w:shd w:val="clear" w:color="auto" w:fill="auto"/>
            <w:hideMark/>
          </w:tcPr>
          <w:p w14:paraId="7975CDB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588DBAC4" w14:textId="77777777" w:rsidTr="00C26C4B">
        <w:trPr>
          <w:trHeight w:val="260"/>
        </w:trPr>
        <w:tc>
          <w:tcPr>
            <w:tcW w:w="3440" w:type="dxa"/>
            <w:tcBorders>
              <w:top w:val="nil"/>
              <w:left w:val="single" w:sz="4" w:space="0" w:color="auto"/>
              <w:bottom w:val="nil"/>
              <w:right w:val="nil"/>
            </w:tcBorders>
            <w:shd w:val="clear" w:color="D9D9D9" w:fill="D9D9D9"/>
            <w:noWrap/>
            <w:hideMark/>
          </w:tcPr>
          <w:p w14:paraId="4704DF13"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(Taiwan)</w:t>
            </w:r>
          </w:p>
        </w:tc>
        <w:tc>
          <w:tcPr>
            <w:tcW w:w="620" w:type="dxa"/>
            <w:tcBorders>
              <w:top w:val="nil"/>
              <w:left w:val="nil"/>
              <w:bottom w:val="nil"/>
              <w:right w:val="nil"/>
            </w:tcBorders>
            <w:shd w:val="clear" w:color="D9D9D9" w:fill="D9D9D9"/>
            <w:hideMark/>
          </w:tcPr>
          <w:p w14:paraId="20EEBC9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3.94</w:t>
            </w:r>
          </w:p>
        </w:tc>
        <w:tc>
          <w:tcPr>
            <w:tcW w:w="1680" w:type="dxa"/>
            <w:tcBorders>
              <w:top w:val="nil"/>
              <w:left w:val="nil"/>
              <w:bottom w:val="nil"/>
              <w:right w:val="nil"/>
            </w:tcBorders>
            <w:shd w:val="clear" w:color="D9D9D9" w:fill="D9D9D9"/>
            <w:vAlign w:val="center"/>
            <w:hideMark/>
          </w:tcPr>
          <w:p w14:paraId="01C49FE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(1.55-9.99)</w:t>
            </w:r>
          </w:p>
        </w:tc>
        <w:tc>
          <w:tcPr>
            <w:tcW w:w="1020" w:type="dxa"/>
            <w:tcBorders>
              <w:top w:val="nil"/>
              <w:left w:val="nil"/>
              <w:bottom w:val="nil"/>
              <w:right w:val="single" w:sz="4" w:space="0" w:color="auto"/>
            </w:tcBorders>
            <w:shd w:val="clear" w:color="D9D9D9" w:fill="D9D9D9"/>
            <w:hideMark/>
          </w:tcPr>
          <w:p w14:paraId="6F38291A"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0.004</w:t>
            </w:r>
          </w:p>
        </w:tc>
      </w:tr>
      <w:tr w:rsidR="00E30D79" w:rsidRPr="003F41E9" w14:paraId="5A7956CD" w14:textId="77777777" w:rsidTr="00C26C4B">
        <w:trPr>
          <w:trHeight w:val="260"/>
        </w:trPr>
        <w:tc>
          <w:tcPr>
            <w:tcW w:w="3440" w:type="dxa"/>
            <w:tcBorders>
              <w:top w:val="nil"/>
              <w:left w:val="single" w:sz="4" w:space="0" w:color="auto"/>
              <w:bottom w:val="nil"/>
              <w:right w:val="nil"/>
            </w:tcBorders>
            <w:shd w:val="clear" w:color="auto" w:fill="auto"/>
            <w:noWrap/>
            <w:hideMark/>
          </w:tcPr>
          <w:p w14:paraId="5042C665"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(Thailand)</w:t>
            </w:r>
          </w:p>
        </w:tc>
        <w:tc>
          <w:tcPr>
            <w:tcW w:w="620" w:type="dxa"/>
            <w:tcBorders>
              <w:top w:val="nil"/>
              <w:left w:val="nil"/>
              <w:bottom w:val="nil"/>
              <w:right w:val="nil"/>
            </w:tcBorders>
            <w:shd w:val="clear" w:color="auto" w:fill="auto"/>
            <w:hideMark/>
          </w:tcPr>
          <w:p w14:paraId="2CC1FEB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9.10</w:t>
            </w:r>
          </w:p>
        </w:tc>
        <w:tc>
          <w:tcPr>
            <w:tcW w:w="1680" w:type="dxa"/>
            <w:tcBorders>
              <w:top w:val="nil"/>
              <w:left w:val="nil"/>
              <w:bottom w:val="nil"/>
              <w:right w:val="nil"/>
            </w:tcBorders>
            <w:shd w:val="clear" w:color="auto" w:fill="auto"/>
            <w:vAlign w:val="center"/>
            <w:hideMark/>
          </w:tcPr>
          <w:p w14:paraId="2954724B"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(3.51-23.61)</w:t>
            </w:r>
          </w:p>
        </w:tc>
        <w:tc>
          <w:tcPr>
            <w:tcW w:w="1020" w:type="dxa"/>
            <w:tcBorders>
              <w:top w:val="nil"/>
              <w:left w:val="nil"/>
              <w:bottom w:val="nil"/>
              <w:right w:val="single" w:sz="4" w:space="0" w:color="auto"/>
            </w:tcBorders>
            <w:shd w:val="clear" w:color="auto" w:fill="auto"/>
            <w:hideMark/>
          </w:tcPr>
          <w:p w14:paraId="27B15E3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3B0DE576" w14:textId="77777777" w:rsidTr="00C26C4B">
        <w:trPr>
          <w:trHeight w:val="260"/>
        </w:trPr>
        <w:tc>
          <w:tcPr>
            <w:tcW w:w="3440" w:type="dxa"/>
            <w:tcBorders>
              <w:top w:val="nil"/>
              <w:left w:val="single" w:sz="4" w:space="0" w:color="auto"/>
              <w:bottom w:val="nil"/>
              <w:right w:val="nil"/>
            </w:tcBorders>
            <w:shd w:val="clear" w:color="D9D9D9" w:fill="D9D9D9"/>
            <w:noWrap/>
            <w:hideMark/>
          </w:tcPr>
          <w:p w14:paraId="7C03CDFC"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(Netherlands)</w:t>
            </w:r>
          </w:p>
        </w:tc>
        <w:tc>
          <w:tcPr>
            <w:tcW w:w="620" w:type="dxa"/>
            <w:tcBorders>
              <w:top w:val="nil"/>
              <w:left w:val="nil"/>
              <w:bottom w:val="nil"/>
              <w:right w:val="nil"/>
            </w:tcBorders>
            <w:shd w:val="clear" w:color="D9D9D9" w:fill="D9D9D9"/>
            <w:hideMark/>
          </w:tcPr>
          <w:p w14:paraId="390242B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32.56</w:t>
            </w:r>
          </w:p>
        </w:tc>
        <w:tc>
          <w:tcPr>
            <w:tcW w:w="1680" w:type="dxa"/>
            <w:tcBorders>
              <w:top w:val="nil"/>
              <w:left w:val="nil"/>
              <w:bottom w:val="nil"/>
              <w:right w:val="nil"/>
            </w:tcBorders>
            <w:shd w:val="clear" w:color="D9D9D9" w:fill="D9D9D9"/>
            <w:vAlign w:val="center"/>
            <w:hideMark/>
          </w:tcPr>
          <w:p w14:paraId="26C75927"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(14.20-74.63)</w:t>
            </w:r>
          </w:p>
        </w:tc>
        <w:tc>
          <w:tcPr>
            <w:tcW w:w="1020" w:type="dxa"/>
            <w:tcBorders>
              <w:top w:val="nil"/>
              <w:left w:val="nil"/>
              <w:bottom w:val="nil"/>
              <w:right w:val="single" w:sz="4" w:space="0" w:color="auto"/>
            </w:tcBorders>
            <w:shd w:val="clear" w:color="D9D9D9" w:fill="D9D9D9"/>
            <w:hideMark/>
          </w:tcPr>
          <w:p w14:paraId="48B3F6B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729235AA" w14:textId="77777777" w:rsidTr="00C26C4B">
        <w:trPr>
          <w:trHeight w:val="260"/>
        </w:trPr>
        <w:tc>
          <w:tcPr>
            <w:tcW w:w="3440" w:type="dxa"/>
            <w:tcBorders>
              <w:top w:val="nil"/>
              <w:left w:val="single" w:sz="4" w:space="0" w:color="auto"/>
              <w:bottom w:val="nil"/>
              <w:right w:val="nil"/>
            </w:tcBorders>
            <w:shd w:val="clear" w:color="auto" w:fill="auto"/>
            <w:noWrap/>
            <w:hideMark/>
          </w:tcPr>
          <w:p w14:paraId="1F28C52C"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(Germany)</w:t>
            </w:r>
          </w:p>
        </w:tc>
        <w:tc>
          <w:tcPr>
            <w:tcW w:w="620" w:type="dxa"/>
            <w:tcBorders>
              <w:top w:val="nil"/>
              <w:left w:val="nil"/>
              <w:bottom w:val="nil"/>
              <w:right w:val="nil"/>
            </w:tcBorders>
            <w:shd w:val="clear" w:color="auto" w:fill="auto"/>
            <w:hideMark/>
          </w:tcPr>
          <w:p w14:paraId="7A20F2A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25.64</w:t>
            </w:r>
          </w:p>
        </w:tc>
        <w:tc>
          <w:tcPr>
            <w:tcW w:w="1680" w:type="dxa"/>
            <w:tcBorders>
              <w:top w:val="nil"/>
              <w:left w:val="nil"/>
              <w:bottom w:val="nil"/>
              <w:right w:val="nil"/>
            </w:tcBorders>
            <w:shd w:val="clear" w:color="auto" w:fill="auto"/>
            <w:vAlign w:val="center"/>
            <w:hideMark/>
          </w:tcPr>
          <w:p w14:paraId="5D094642"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(10.08-65.22)</w:t>
            </w:r>
          </w:p>
        </w:tc>
        <w:tc>
          <w:tcPr>
            <w:tcW w:w="1020" w:type="dxa"/>
            <w:tcBorders>
              <w:top w:val="nil"/>
              <w:left w:val="nil"/>
              <w:bottom w:val="nil"/>
              <w:right w:val="single" w:sz="4" w:space="0" w:color="auto"/>
            </w:tcBorders>
            <w:shd w:val="clear" w:color="auto" w:fill="auto"/>
            <w:hideMark/>
          </w:tcPr>
          <w:p w14:paraId="47D9334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78E4E931" w14:textId="77777777" w:rsidTr="00C26C4B">
        <w:trPr>
          <w:trHeight w:val="260"/>
        </w:trPr>
        <w:tc>
          <w:tcPr>
            <w:tcW w:w="3440" w:type="dxa"/>
            <w:tcBorders>
              <w:top w:val="nil"/>
              <w:left w:val="single" w:sz="4" w:space="0" w:color="auto"/>
              <w:bottom w:val="nil"/>
              <w:right w:val="nil"/>
            </w:tcBorders>
            <w:shd w:val="clear" w:color="D9D9D9" w:fill="D9D9D9"/>
            <w:noWrap/>
            <w:hideMark/>
          </w:tcPr>
          <w:p w14:paraId="6E219E09"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(France)</w:t>
            </w:r>
          </w:p>
        </w:tc>
        <w:tc>
          <w:tcPr>
            <w:tcW w:w="620" w:type="dxa"/>
            <w:tcBorders>
              <w:top w:val="nil"/>
              <w:left w:val="nil"/>
              <w:bottom w:val="nil"/>
              <w:right w:val="nil"/>
            </w:tcBorders>
            <w:shd w:val="clear" w:color="D9D9D9" w:fill="D9D9D9"/>
            <w:hideMark/>
          </w:tcPr>
          <w:p w14:paraId="1AB8B309"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39.42</w:t>
            </w:r>
          </w:p>
        </w:tc>
        <w:tc>
          <w:tcPr>
            <w:tcW w:w="1680" w:type="dxa"/>
            <w:tcBorders>
              <w:top w:val="nil"/>
              <w:left w:val="nil"/>
              <w:bottom w:val="nil"/>
              <w:right w:val="nil"/>
            </w:tcBorders>
            <w:shd w:val="clear" w:color="D9D9D9" w:fill="D9D9D9"/>
            <w:vAlign w:val="center"/>
            <w:hideMark/>
          </w:tcPr>
          <w:p w14:paraId="3AB92C2C"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(17.09-90.89)</w:t>
            </w:r>
          </w:p>
        </w:tc>
        <w:tc>
          <w:tcPr>
            <w:tcW w:w="1020" w:type="dxa"/>
            <w:tcBorders>
              <w:top w:val="nil"/>
              <w:left w:val="nil"/>
              <w:bottom w:val="nil"/>
              <w:right w:val="single" w:sz="4" w:space="0" w:color="auto"/>
            </w:tcBorders>
            <w:shd w:val="clear" w:color="D9D9D9" w:fill="D9D9D9"/>
            <w:hideMark/>
          </w:tcPr>
          <w:p w14:paraId="6CE06DE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6051E5CA" w14:textId="77777777" w:rsidTr="00C26C4B">
        <w:trPr>
          <w:trHeight w:val="260"/>
        </w:trPr>
        <w:tc>
          <w:tcPr>
            <w:tcW w:w="3440" w:type="dxa"/>
            <w:tcBorders>
              <w:top w:val="nil"/>
              <w:left w:val="single" w:sz="4" w:space="0" w:color="auto"/>
              <w:bottom w:val="nil"/>
              <w:right w:val="nil"/>
            </w:tcBorders>
            <w:shd w:val="clear" w:color="auto" w:fill="auto"/>
            <w:noWrap/>
            <w:hideMark/>
          </w:tcPr>
          <w:p w14:paraId="00D2F883"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(Greece)</w:t>
            </w:r>
          </w:p>
        </w:tc>
        <w:tc>
          <w:tcPr>
            <w:tcW w:w="620" w:type="dxa"/>
            <w:tcBorders>
              <w:top w:val="nil"/>
              <w:left w:val="nil"/>
              <w:bottom w:val="nil"/>
              <w:right w:val="nil"/>
            </w:tcBorders>
            <w:shd w:val="clear" w:color="auto" w:fill="auto"/>
            <w:hideMark/>
          </w:tcPr>
          <w:p w14:paraId="389468D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3.23</w:t>
            </w:r>
          </w:p>
        </w:tc>
        <w:tc>
          <w:tcPr>
            <w:tcW w:w="1680" w:type="dxa"/>
            <w:tcBorders>
              <w:top w:val="nil"/>
              <w:left w:val="nil"/>
              <w:bottom w:val="nil"/>
              <w:right w:val="nil"/>
            </w:tcBorders>
            <w:shd w:val="clear" w:color="auto" w:fill="auto"/>
            <w:vAlign w:val="center"/>
            <w:hideMark/>
          </w:tcPr>
          <w:p w14:paraId="3087FE18"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(1.27-8.22)</w:t>
            </w:r>
          </w:p>
        </w:tc>
        <w:tc>
          <w:tcPr>
            <w:tcW w:w="1020" w:type="dxa"/>
            <w:tcBorders>
              <w:top w:val="nil"/>
              <w:left w:val="nil"/>
              <w:bottom w:val="nil"/>
              <w:right w:val="single" w:sz="4" w:space="0" w:color="auto"/>
            </w:tcBorders>
            <w:shd w:val="clear" w:color="auto" w:fill="auto"/>
            <w:hideMark/>
          </w:tcPr>
          <w:p w14:paraId="6C2B9DC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0.01</w:t>
            </w:r>
          </w:p>
        </w:tc>
      </w:tr>
      <w:tr w:rsidR="00E30D79" w:rsidRPr="003F41E9" w14:paraId="7B081E96" w14:textId="77777777" w:rsidTr="00C26C4B">
        <w:trPr>
          <w:trHeight w:val="260"/>
        </w:trPr>
        <w:tc>
          <w:tcPr>
            <w:tcW w:w="3440" w:type="dxa"/>
            <w:tcBorders>
              <w:top w:val="nil"/>
              <w:left w:val="single" w:sz="4" w:space="0" w:color="auto"/>
              <w:bottom w:val="nil"/>
              <w:right w:val="nil"/>
            </w:tcBorders>
            <w:shd w:val="clear" w:color="D9D9D9" w:fill="D9D9D9"/>
            <w:noWrap/>
            <w:hideMark/>
          </w:tcPr>
          <w:p w14:paraId="40E95D42"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(Italy)</w:t>
            </w:r>
          </w:p>
        </w:tc>
        <w:tc>
          <w:tcPr>
            <w:tcW w:w="620" w:type="dxa"/>
            <w:tcBorders>
              <w:top w:val="nil"/>
              <w:left w:val="nil"/>
              <w:bottom w:val="nil"/>
              <w:right w:val="nil"/>
            </w:tcBorders>
            <w:shd w:val="clear" w:color="D9D9D9" w:fill="D9D9D9"/>
            <w:hideMark/>
          </w:tcPr>
          <w:p w14:paraId="53AB95E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15.82</w:t>
            </w:r>
          </w:p>
        </w:tc>
        <w:tc>
          <w:tcPr>
            <w:tcW w:w="1680" w:type="dxa"/>
            <w:tcBorders>
              <w:top w:val="nil"/>
              <w:left w:val="nil"/>
              <w:bottom w:val="nil"/>
              <w:right w:val="nil"/>
            </w:tcBorders>
            <w:shd w:val="clear" w:color="D9D9D9" w:fill="D9D9D9"/>
            <w:vAlign w:val="center"/>
            <w:hideMark/>
          </w:tcPr>
          <w:p w14:paraId="78A1979A"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(6.81-36.78)</w:t>
            </w:r>
          </w:p>
        </w:tc>
        <w:tc>
          <w:tcPr>
            <w:tcW w:w="1020" w:type="dxa"/>
            <w:tcBorders>
              <w:top w:val="nil"/>
              <w:left w:val="nil"/>
              <w:bottom w:val="nil"/>
              <w:right w:val="single" w:sz="4" w:space="0" w:color="auto"/>
            </w:tcBorders>
            <w:shd w:val="clear" w:color="D9D9D9" w:fill="D9D9D9"/>
            <w:hideMark/>
          </w:tcPr>
          <w:p w14:paraId="6A41D7F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2E62B5B6" w14:textId="77777777" w:rsidTr="00C26C4B">
        <w:trPr>
          <w:trHeight w:val="260"/>
        </w:trPr>
        <w:tc>
          <w:tcPr>
            <w:tcW w:w="3440" w:type="dxa"/>
            <w:tcBorders>
              <w:top w:val="nil"/>
              <w:left w:val="single" w:sz="4" w:space="0" w:color="auto"/>
              <w:bottom w:val="nil"/>
              <w:right w:val="nil"/>
            </w:tcBorders>
            <w:shd w:val="clear" w:color="auto" w:fill="auto"/>
            <w:noWrap/>
            <w:hideMark/>
          </w:tcPr>
          <w:p w14:paraId="018A4F3E"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(Norway)</w:t>
            </w:r>
          </w:p>
        </w:tc>
        <w:tc>
          <w:tcPr>
            <w:tcW w:w="620" w:type="dxa"/>
            <w:tcBorders>
              <w:top w:val="nil"/>
              <w:left w:val="nil"/>
              <w:bottom w:val="nil"/>
              <w:right w:val="nil"/>
            </w:tcBorders>
            <w:shd w:val="clear" w:color="auto" w:fill="auto"/>
            <w:hideMark/>
          </w:tcPr>
          <w:p w14:paraId="320E9C9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37.68</w:t>
            </w:r>
          </w:p>
        </w:tc>
        <w:tc>
          <w:tcPr>
            <w:tcW w:w="1680" w:type="dxa"/>
            <w:tcBorders>
              <w:top w:val="nil"/>
              <w:left w:val="nil"/>
              <w:bottom w:val="nil"/>
              <w:right w:val="nil"/>
            </w:tcBorders>
            <w:shd w:val="clear" w:color="auto" w:fill="auto"/>
            <w:vAlign w:val="center"/>
            <w:hideMark/>
          </w:tcPr>
          <w:p w14:paraId="759B41D9"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(15.33-92.61)</w:t>
            </w:r>
          </w:p>
        </w:tc>
        <w:tc>
          <w:tcPr>
            <w:tcW w:w="1020" w:type="dxa"/>
            <w:tcBorders>
              <w:top w:val="nil"/>
              <w:left w:val="nil"/>
              <w:bottom w:val="nil"/>
              <w:right w:val="single" w:sz="4" w:space="0" w:color="auto"/>
            </w:tcBorders>
            <w:shd w:val="clear" w:color="auto" w:fill="auto"/>
            <w:hideMark/>
          </w:tcPr>
          <w:p w14:paraId="603A0F1D"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2E76888F" w14:textId="77777777" w:rsidTr="00C26C4B">
        <w:trPr>
          <w:trHeight w:val="260"/>
        </w:trPr>
        <w:tc>
          <w:tcPr>
            <w:tcW w:w="3440" w:type="dxa"/>
            <w:tcBorders>
              <w:top w:val="nil"/>
              <w:left w:val="single" w:sz="4" w:space="0" w:color="auto"/>
              <w:bottom w:val="nil"/>
              <w:right w:val="nil"/>
            </w:tcBorders>
            <w:shd w:val="clear" w:color="D9D9D9" w:fill="D9D9D9"/>
            <w:noWrap/>
            <w:hideMark/>
          </w:tcPr>
          <w:p w14:paraId="1BE1C95B"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(Poland)</w:t>
            </w:r>
          </w:p>
        </w:tc>
        <w:tc>
          <w:tcPr>
            <w:tcW w:w="620" w:type="dxa"/>
            <w:tcBorders>
              <w:top w:val="nil"/>
              <w:left w:val="nil"/>
              <w:bottom w:val="nil"/>
              <w:right w:val="nil"/>
            </w:tcBorders>
            <w:shd w:val="clear" w:color="D9D9D9" w:fill="D9D9D9"/>
            <w:hideMark/>
          </w:tcPr>
          <w:p w14:paraId="3FF6716A"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17.24</w:t>
            </w:r>
          </w:p>
        </w:tc>
        <w:tc>
          <w:tcPr>
            <w:tcW w:w="1680" w:type="dxa"/>
            <w:tcBorders>
              <w:top w:val="nil"/>
              <w:left w:val="nil"/>
              <w:bottom w:val="nil"/>
              <w:right w:val="nil"/>
            </w:tcBorders>
            <w:shd w:val="clear" w:color="D9D9D9" w:fill="D9D9D9"/>
            <w:vAlign w:val="center"/>
            <w:hideMark/>
          </w:tcPr>
          <w:p w14:paraId="6C69C2AD"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(7.44-39.96)</w:t>
            </w:r>
          </w:p>
        </w:tc>
        <w:tc>
          <w:tcPr>
            <w:tcW w:w="1020" w:type="dxa"/>
            <w:tcBorders>
              <w:top w:val="nil"/>
              <w:left w:val="nil"/>
              <w:bottom w:val="nil"/>
              <w:right w:val="single" w:sz="4" w:space="0" w:color="auto"/>
            </w:tcBorders>
            <w:shd w:val="clear" w:color="D9D9D9" w:fill="D9D9D9"/>
            <w:hideMark/>
          </w:tcPr>
          <w:p w14:paraId="305E588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01336477" w14:textId="77777777" w:rsidTr="00C26C4B">
        <w:trPr>
          <w:trHeight w:val="260"/>
        </w:trPr>
        <w:tc>
          <w:tcPr>
            <w:tcW w:w="3440" w:type="dxa"/>
            <w:tcBorders>
              <w:top w:val="nil"/>
              <w:left w:val="single" w:sz="4" w:space="0" w:color="auto"/>
              <w:bottom w:val="nil"/>
              <w:right w:val="nil"/>
            </w:tcBorders>
            <w:shd w:val="clear" w:color="auto" w:fill="auto"/>
            <w:noWrap/>
            <w:hideMark/>
          </w:tcPr>
          <w:p w14:paraId="1461B02A"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w:t>
            </w:r>
            <w:proofErr w:type="spellStart"/>
            <w:r w:rsidRPr="003F41E9">
              <w:rPr>
                <w:rFonts w:ascii="Helvetica Neue" w:eastAsia="Times New Roman" w:hAnsi="Helvetica Neue"/>
                <w:b/>
                <w:bCs/>
                <w:color w:val="000000"/>
                <w:sz w:val="16"/>
                <w:szCs w:val="16"/>
              </w:rPr>
              <w:t>Serbia</w:t>
            </w:r>
            <w:proofErr w:type="spellEnd"/>
            <w:r w:rsidRPr="003F41E9">
              <w:rPr>
                <w:rFonts w:ascii="Helvetica Neue" w:eastAsia="Times New Roman" w:hAnsi="Helvetica Neue"/>
                <w:b/>
                <w:bCs/>
                <w:color w:val="000000"/>
                <w:sz w:val="16"/>
                <w:szCs w:val="16"/>
              </w:rPr>
              <w:t>)</w:t>
            </w:r>
          </w:p>
        </w:tc>
        <w:tc>
          <w:tcPr>
            <w:tcW w:w="620" w:type="dxa"/>
            <w:tcBorders>
              <w:top w:val="nil"/>
              <w:left w:val="nil"/>
              <w:bottom w:val="nil"/>
              <w:right w:val="nil"/>
            </w:tcBorders>
            <w:shd w:val="clear" w:color="auto" w:fill="auto"/>
            <w:hideMark/>
          </w:tcPr>
          <w:p w14:paraId="02B00969"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12.72</w:t>
            </w:r>
          </w:p>
        </w:tc>
        <w:tc>
          <w:tcPr>
            <w:tcW w:w="1680" w:type="dxa"/>
            <w:tcBorders>
              <w:top w:val="nil"/>
              <w:left w:val="nil"/>
              <w:bottom w:val="nil"/>
              <w:right w:val="nil"/>
            </w:tcBorders>
            <w:shd w:val="clear" w:color="auto" w:fill="auto"/>
            <w:vAlign w:val="center"/>
            <w:hideMark/>
          </w:tcPr>
          <w:p w14:paraId="3665C5E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(5.62-28.78)</w:t>
            </w:r>
          </w:p>
        </w:tc>
        <w:tc>
          <w:tcPr>
            <w:tcW w:w="1020" w:type="dxa"/>
            <w:tcBorders>
              <w:top w:val="nil"/>
              <w:left w:val="nil"/>
              <w:bottom w:val="nil"/>
              <w:right w:val="single" w:sz="4" w:space="0" w:color="auto"/>
            </w:tcBorders>
            <w:shd w:val="clear" w:color="auto" w:fill="auto"/>
            <w:hideMark/>
          </w:tcPr>
          <w:p w14:paraId="79670B8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2D29FA5B" w14:textId="77777777" w:rsidTr="00C26C4B">
        <w:trPr>
          <w:trHeight w:val="260"/>
        </w:trPr>
        <w:tc>
          <w:tcPr>
            <w:tcW w:w="3440" w:type="dxa"/>
            <w:tcBorders>
              <w:top w:val="nil"/>
              <w:left w:val="single" w:sz="4" w:space="0" w:color="auto"/>
              <w:bottom w:val="nil"/>
              <w:right w:val="nil"/>
            </w:tcBorders>
            <w:shd w:val="clear" w:color="D9D9D9" w:fill="D9D9D9"/>
            <w:noWrap/>
            <w:hideMark/>
          </w:tcPr>
          <w:p w14:paraId="2BA1D1EB"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(Slovenia)</w:t>
            </w:r>
          </w:p>
        </w:tc>
        <w:tc>
          <w:tcPr>
            <w:tcW w:w="620" w:type="dxa"/>
            <w:tcBorders>
              <w:top w:val="nil"/>
              <w:left w:val="nil"/>
              <w:bottom w:val="nil"/>
              <w:right w:val="nil"/>
            </w:tcBorders>
            <w:shd w:val="clear" w:color="D9D9D9" w:fill="D9D9D9"/>
            <w:hideMark/>
          </w:tcPr>
          <w:p w14:paraId="79FEF00C"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31.65</w:t>
            </w:r>
          </w:p>
        </w:tc>
        <w:tc>
          <w:tcPr>
            <w:tcW w:w="1680" w:type="dxa"/>
            <w:tcBorders>
              <w:top w:val="nil"/>
              <w:left w:val="nil"/>
              <w:bottom w:val="nil"/>
              <w:right w:val="nil"/>
            </w:tcBorders>
            <w:shd w:val="clear" w:color="D9D9D9" w:fill="D9D9D9"/>
            <w:vAlign w:val="center"/>
            <w:hideMark/>
          </w:tcPr>
          <w:p w14:paraId="444BF33C"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(9.70-103.22)</w:t>
            </w:r>
          </w:p>
        </w:tc>
        <w:tc>
          <w:tcPr>
            <w:tcW w:w="1020" w:type="dxa"/>
            <w:tcBorders>
              <w:top w:val="nil"/>
              <w:left w:val="nil"/>
              <w:bottom w:val="nil"/>
              <w:right w:val="single" w:sz="4" w:space="0" w:color="auto"/>
            </w:tcBorders>
            <w:shd w:val="clear" w:color="D9D9D9" w:fill="D9D9D9"/>
            <w:hideMark/>
          </w:tcPr>
          <w:p w14:paraId="30BF123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369BDC86" w14:textId="77777777" w:rsidTr="00C26C4B">
        <w:trPr>
          <w:trHeight w:val="260"/>
        </w:trPr>
        <w:tc>
          <w:tcPr>
            <w:tcW w:w="3440" w:type="dxa"/>
            <w:tcBorders>
              <w:top w:val="nil"/>
              <w:left w:val="single" w:sz="4" w:space="0" w:color="auto"/>
              <w:bottom w:val="nil"/>
              <w:right w:val="nil"/>
            </w:tcBorders>
            <w:shd w:val="clear" w:color="auto" w:fill="auto"/>
            <w:noWrap/>
            <w:hideMark/>
          </w:tcPr>
          <w:p w14:paraId="3E764801"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(Sweden)</w:t>
            </w:r>
          </w:p>
        </w:tc>
        <w:tc>
          <w:tcPr>
            <w:tcW w:w="620" w:type="dxa"/>
            <w:tcBorders>
              <w:top w:val="nil"/>
              <w:left w:val="nil"/>
              <w:bottom w:val="nil"/>
              <w:right w:val="nil"/>
            </w:tcBorders>
            <w:shd w:val="clear" w:color="auto" w:fill="auto"/>
            <w:hideMark/>
          </w:tcPr>
          <w:p w14:paraId="5AB52B2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71.73</w:t>
            </w:r>
          </w:p>
        </w:tc>
        <w:tc>
          <w:tcPr>
            <w:tcW w:w="1680" w:type="dxa"/>
            <w:tcBorders>
              <w:top w:val="nil"/>
              <w:left w:val="nil"/>
              <w:bottom w:val="nil"/>
              <w:right w:val="nil"/>
            </w:tcBorders>
            <w:shd w:val="clear" w:color="auto" w:fill="auto"/>
            <w:vAlign w:val="center"/>
            <w:hideMark/>
          </w:tcPr>
          <w:p w14:paraId="73443F84"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(29.56-174.05)</w:t>
            </w:r>
          </w:p>
        </w:tc>
        <w:tc>
          <w:tcPr>
            <w:tcW w:w="1020" w:type="dxa"/>
            <w:tcBorders>
              <w:top w:val="nil"/>
              <w:left w:val="nil"/>
              <w:bottom w:val="nil"/>
              <w:right w:val="single" w:sz="4" w:space="0" w:color="auto"/>
            </w:tcBorders>
            <w:shd w:val="clear" w:color="auto" w:fill="auto"/>
            <w:hideMark/>
          </w:tcPr>
          <w:p w14:paraId="1C45A371"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501FEF3E" w14:textId="77777777" w:rsidTr="00C26C4B">
        <w:trPr>
          <w:trHeight w:val="260"/>
        </w:trPr>
        <w:tc>
          <w:tcPr>
            <w:tcW w:w="3440" w:type="dxa"/>
            <w:tcBorders>
              <w:top w:val="nil"/>
              <w:left w:val="single" w:sz="4" w:space="0" w:color="auto"/>
              <w:bottom w:val="nil"/>
              <w:right w:val="nil"/>
            </w:tcBorders>
            <w:shd w:val="clear" w:color="D9D9D9" w:fill="D9D9D9"/>
            <w:noWrap/>
            <w:hideMark/>
          </w:tcPr>
          <w:p w14:paraId="1467DC8B"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Country (UK)</w:t>
            </w:r>
          </w:p>
        </w:tc>
        <w:tc>
          <w:tcPr>
            <w:tcW w:w="620" w:type="dxa"/>
            <w:tcBorders>
              <w:top w:val="nil"/>
              <w:left w:val="nil"/>
              <w:bottom w:val="nil"/>
              <w:right w:val="nil"/>
            </w:tcBorders>
            <w:shd w:val="clear" w:color="D9D9D9" w:fill="D9D9D9"/>
            <w:hideMark/>
          </w:tcPr>
          <w:p w14:paraId="6F848E7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8.82</w:t>
            </w:r>
          </w:p>
        </w:tc>
        <w:tc>
          <w:tcPr>
            <w:tcW w:w="1680" w:type="dxa"/>
            <w:tcBorders>
              <w:top w:val="nil"/>
              <w:left w:val="nil"/>
              <w:bottom w:val="nil"/>
              <w:right w:val="nil"/>
            </w:tcBorders>
            <w:shd w:val="clear" w:color="D9D9D9" w:fill="D9D9D9"/>
            <w:vAlign w:val="center"/>
            <w:hideMark/>
          </w:tcPr>
          <w:p w14:paraId="4B5B7B59"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(3.46-22.50)</w:t>
            </w:r>
          </w:p>
        </w:tc>
        <w:tc>
          <w:tcPr>
            <w:tcW w:w="1020" w:type="dxa"/>
            <w:tcBorders>
              <w:top w:val="nil"/>
              <w:left w:val="nil"/>
              <w:bottom w:val="nil"/>
              <w:right w:val="single" w:sz="4" w:space="0" w:color="auto"/>
            </w:tcBorders>
            <w:shd w:val="clear" w:color="D9D9D9" w:fill="D9D9D9"/>
            <w:hideMark/>
          </w:tcPr>
          <w:p w14:paraId="0F97DDAD"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7B389073" w14:textId="77777777" w:rsidTr="00C26C4B">
        <w:trPr>
          <w:trHeight w:val="260"/>
        </w:trPr>
        <w:tc>
          <w:tcPr>
            <w:tcW w:w="3440" w:type="dxa"/>
            <w:tcBorders>
              <w:top w:val="nil"/>
              <w:left w:val="single" w:sz="4" w:space="0" w:color="auto"/>
              <w:bottom w:val="nil"/>
              <w:right w:val="nil"/>
            </w:tcBorders>
            <w:shd w:val="clear" w:color="auto" w:fill="auto"/>
            <w:noWrap/>
            <w:hideMark/>
          </w:tcPr>
          <w:p w14:paraId="7429FC9B"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Age (</w:t>
            </w:r>
            <w:proofErr w:type="spellStart"/>
            <w:r w:rsidRPr="003F41E9">
              <w:rPr>
                <w:rFonts w:ascii="Helvetica Neue" w:eastAsia="Times New Roman" w:hAnsi="Helvetica Neue"/>
                <w:b/>
                <w:bCs/>
                <w:color w:val="000000"/>
                <w:sz w:val="16"/>
                <w:szCs w:val="16"/>
              </w:rPr>
              <w:t>years</w:t>
            </w:r>
            <w:proofErr w:type="spellEnd"/>
            <w:r w:rsidRPr="003F41E9">
              <w:rPr>
                <w:rFonts w:ascii="Helvetica Neue" w:eastAsia="Times New Roman" w:hAnsi="Helvetica Neue"/>
                <w:b/>
                <w:bCs/>
                <w:color w:val="000000"/>
                <w:sz w:val="16"/>
                <w:szCs w:val="16"/>
              </w:rPr>
              <w:t>)</w:t>
            </w:r>
          </w:p>
        </w:tc>
        <w:tc>
          <w:tcPr>
            <w:tcW w:w="620" w:type="dxa"/>
            <w:tcBorders>
              <w:top w:val="nil"/>
              <w:left w:val="nil"/>
              <w:bottom w:val="nil"/>
              <w:right w:val="nil"/>
            </w:tcBorders>
            <w:shd w:val="clear" w:color="auto" w:fill="auto"/>
            <w:hideMark/>
          </w:tcPr>
          <w:p w14:paraId="09CCB36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0.98</w:t>
            </w:r>
          </w:p>
        </w:tc>
        <w:tc>
          <w:tcPr>
            <w:tcW w:w="1680" w:type="dxa"/>
            <w:tcBorders>
              <w:top w:val="nil"/>
              <w:left w:val="nil"/>
              <w:bottom w:val="nil"/>
              <w:right w:val="nil"/>
            </w:tcBorders>
            <w:shd w:val="clear" w:color="auto" w:fill="auto"/>
            <w:vAlign w:val="center"/>
            <w:hideMark/>
          </w:tcPr>
          <w:p w14:paraId="0D0B623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(0.97-0.99)</w:t>
            </w:r>
          </w:p>
        </w:tc>
        <w:tc>
          <w:tcPr>
            <w:tcW w:w="1020" w:type="dxa"/>
            <w:tcBorders>
              <w:top w:val="nil"/>
              <w:left w:val="nil"/>
              <w:bottom w:val="nil"/>
              <w:right w:val="single" w:sz="4" w:space="0" w:color="auto"/>
            </w:tcBorders>
            <w:shd w:val="clear" w:color="auto" w:fill="auto"/>
            <w:hideMark/>
          </w:tcPr>
          <w:p w14:paraId="08C4A69D"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7B543E70" w14:textId="77777777" w:rsidTr="00C26C4B">
        <w:trPr>
          <w:trHeight w:val="260"/>
        </w:trPr>
        <w:tc>
          <w:tcPr>
            <w:tcW w:w="3440" w:type="dxa"/>
            <w:tcBorders>
              <w:top w:val="nil"/>
              <w:left w:val="single" w:sz="4" w:space="0" w:color="auto"/>
              <w:bottom w:val="nil"/>
              <w:right w:val="nil"/>
            </w:tcBorders>
            <w:shd w:val="clear" w:color="D9D9D9" w:fill="D9D9D9"/>
            <w:noWrap/>
            <w:hideMark/>
          </w:tcPr>
          <w:p w14:paraId="440A8D8E"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Sex</w:t>
            </w:r>
            <w:proofErr w:type="spellEnd"/>
            <w:r w:rsidRPr="003F41E9">
              <w:rPr>
                <w:rFonts w:ascii="Helvetica Neue" w:eastAsia="Times New Roman" w:hAnsi="Helvetica Neue"/>
                <w:b/>
                <w:bCs/>
                <w:color w:val="000000"/>
                <w:sz w:val="16"/>
                <w:szCs w:val="16"/>
              </w:rPr>
              <w:t xml:space="preserve"> (male)</w:t>
            </w:r>
          </w:p>
        </w:tc>
        <w:tc>
          <w:tcPr>
            <w:tcW w:w="620" w:type="dxa"/>
            <w:tcBorders>
              <w:top w:val="nil"/>
              <w:left w:val="nil"/>
              <w:bottom w:val="nil"/>
              <w:right w:val="nil"/>
            </w:tcBorders>
            <w:shd w:val="clear" w:color="D9D9D9" w:fill="D9D9D9"/>
            <w:hideMark/>
          </w:tcPr>
          <w:p w14:paraId="63E54B2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1.06</w:t>
            </w:r>
          </w:p>
        </w:tc>
        <w:tc>
          <w:tcPr>
            <w:tcW w:w="1680" w:type="dxa"/>
            <w:tcBorders>
              <w:top w:val="nil"/>
              <w:left w:val="nil"/>
              <w:bottom w:val="nil"/>
              <w:right w:val="nil"/>
            </w:tcBorders>
            <w:shd w:val="clear" w:color="D9D9D9" w:fill="D9D9D9"/>
            <w:vAlign w:val="center"/>
            <w:hideMark/>
          </w:tcPr>
          <w:p w14:paraId="6E8073A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(0.83-1.35)</w:t>
            </w:r>
          </w:p>
        </w:tc>
        <w:tc>
          <w:tcPr>
            <w:tcW w:w="1020" w:type="dxa"/>
            <w:tcBorders>
              <w:top w:val="nil"/>
              <w:left w:val="nil"/>
              <w:bottom w:val="nil"/>
              <w:right w:val="single" w:sz="4" w:space="0" w:color="auto"/>
            </w:tcBorders>
            <w:shd w:val="clear" w:color="D9D9D9" w:fill="D9D9D9"/>
            <w:hideMark/>
          </w:tcPr>
          <w:p w14:paraId="50E1A3C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0.63</w:t>
            </w:r>
          </w:p>
        </w:tc>
      </w:tr>
      <w:tr w:rsidR="00E30D79" w:rsidRPr="003F41E9" w14:paraId="46D8BF20" w14:textId="77777777" w:rsidTr="00C26C4B">
        <w:trPr>
          <w:trHeight w:val="260"/>
        </w:trPr>
        <w:tc>
          <w:tcPr>
            <w:tcW w:w="3440" w:type="dxa"/>
            <w:tcBorders>
              <w:top w:val="nil"/>
              <w:left w:val="single" w:sz="4" w:space="0" w:color="auto"/>
              <w:bottom w:val="nil"/>
              <w:right w:val="nil"/>
            </w:tcBorders>
            <w:shd w:val="clear" w:color="auto" w:fill="auto"/>
            <w:noWrap/>
            <w:hideMark/>
          </w:tcPr>
          <w:p w14:paraId="69EC3D48"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LVEF (%)</w:t>
            </w:r>
          </w:p>
        </w:tc>
        <w:tc>
          <w:tcPr>
            <w:tcW w:w="620" w:type="dxa"/>
            <w:tcBorders>
              <w:top w:val="nil"/>
              <w:left w:val="nil"/>
              <w:bottom w:val="nil"/>
              <w:right w:val="nil"/>
            </w:tcBorders>
            <w:shd w:val="clear" w:color="auto" w:fill="auto"/>
            <w:hideMark/>
          </w:tcPr>
          <w:p w14:paraId="26F7D0E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w:t>
            </w:r>
          </w:p>
        </w:tc>
        <w:tc>
          <w:tcPr>
            <w:tcW w:w="1680" w:type="dxa"/>
            <w:tcBorders>
              <w:top w:val="nil"/>
              <w:left w:val="nil"/>
              <w:bottom w:val="nil"/>
              <w:right w:val="nil"/>
            </w:tcBorders>
            <w:shd w:val="clear" w:color="auto" w:fill="auto"/>
            <w:vAlign w:val="center"/>
            <w:hideMark/>
          </w:tcPr>
          <w:p w14:paraId="0C159D9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(0.99-1.01)</w:t>
            </w:r>
          </w:p>
        </w:tc>
        <w:tc>
          <w:tcPr>
            <w:tcW w:w="1020" w:type="dxa"/>
            <w:tcBorders>
              <w:top w:val="nil"/>
              <w:left w:val="nil"/>
              <w:bottom w:val="nil"/>
              <w:right w:val="single" w:sz="4" w:space="0" w:color="auto"/>
            </w:tcBorders>
            <w:shd w:val="clear" w:color="auto" w:fill="auto"/>
            <w:hideMark/>
          </w:tcPr>
          <w:p w14:paraId="344B4667"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0.65</w:t>
            </w:r>
          </w:p>
        </w:tc>
      </w:tr>
      <w:tr w:rsidR="00E30D79" w:rsidRPr="003F41E9" w14:paraId="1D5F8649" w14:textId="77777777" w:rsidTr="00C26C4B">
        <w:trPr>
          <w:trHeight w:val="260"/>
        </w:trPr>
        <w:tc>
          <w:tcPr>
            <w:tcW w:w="3440" w:type="dxa"/>
            <w:tcBorders>
              <w:top w:val="nil"/>
              <w:left w:val="single" w:sz="4" w:space="0" w:color="auto"/>
              <w:bottom w:val="nil"/>
              <w:right w:val="nil"/>
            </w:tcBorders>
            <w:shd w:val="clear" w:color="D9D9D9" w:fill="D9D9D9"/>
            <w:noWrap/>
            <w:hideMark/>
          </w:tcPr>
          <w:p w14:paraId="04290313" w14:textId="77777777" w:rsidR="00E30D79" w:rsidRPr="003F41E9" w:rsidRDefault="00E30D79" w:rsidP="00C26C4B">
            <w:pPr>
              <w:rPr>
                <w:rFonts w:ascii="Helvetica Neue" w:eastAsia="Times New Roman" w:hAnsi="Helvetica Neue"/>
                <w:b/>
                <w:bCs/>
                <w:color w:val="000000"/>
                <w:sz w:val="16"/>
                <w:szCs w:val="16"/>
                <w:lang w:val="en-US"/>
              </w:rPr>
            </w:pPr>
            <w:r w:rsidRPr="003F41E9">
              <w:rPr>
                <w:rFonts w:ascii="Helvetica Neue" w:eastAsia="Times New Roman" w:hAnsi="Helvetica Neue"/>
                <w:b/>
                <w:bCs/>
                <w:color w:val="000000"/>
                <w:sz w:val="16"/>
                <w:szCs w:val="16"/>
                <w:lang w:val="en-US"/>
              </w:rPr>
              <w:t>HF-hospitalization in year before inclusion</w:t>
            </w:r>
          </w:p>
        </w:tc>
        <w:tc>
          <w:tcPr>
            <w:tcW w:w="620" w:type="dxa"/>
            <w:tcBorders>
              <w:top w:val="nil"/>
              <w:left w:val="nil"/>
              <w:bottom w:val="nil"/>
              <w:right w:val="nil"/>
            </w:tcBorders>
            <w:shd w:val="clear" w:color="D9D9D9" w:fill="D9D9D9"/>
            <w:hideMark/>
          </w:tcPr>
          <w:p w14:paraId="34679837"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0.87</w:t>
            </w:r>
          </w:p>
        </w:tc>
        <w:tc>
          <w:tcPr>
            <w:tcW w:w="1680" w:type="dxa"/>
            <w:tcBorders>
              <w:top w:val="nil"/>
              <w:left w:val="nil"/>
              <w:bottom w:val="nil"/>
              <w:right w:val="nil"/>
            </w:tcBorders>
            <w:shd w:val="clear" w:color="D9D9D9" w:fill="D9D9D9"/>
            <w:vAlign w:val="center"/>
            <w:hideMark/>
          </w:tcPr>
          <w:p w14:paraId="0547452F"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(0.71-1.06)</w:t>
            </w:r>
          </w:p>
        </w:tc>
        <w:tc>
          <w:tcPr>
            <w:tcW w:w="1020" w:type="dxa"/>
            <w:tcBorders>
              <w:top w:val="nil"/>
              <w:left w:val="nil"/>
              <w:bottom w:val="nil"/>
              <w:right w:val="single" w:sz="4" w:space="0" w:color="auto"/>
            </w:tcBorders>
            <w:shd w:val="clear" w:color="D9D9D9" w:fill="D9D9D9"/>
            <w:hideMark/>
          </w:tcPr>
          <w:p w14:paraId="1A35CF5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0.16</w:t>
            </w:r>
          </w:p>
        </w:tc>
      </w:tr>
      <w:tr w:rsidR="00E30D79" w:rsidRPr="003F41E9" w14:paraId="21000672" w14:textId="77777777" w:rsidTr="00C26C4B">
        <w:trPr>
          <w:trHeight w:val="260"/>
        </w:trPr>
        <w:tc>
          <w:tcPr>
            <w:tcW w:w="3440" w:type="dxa"/>
            <w:tcBorders>
              <w:top w:val="nil"/>
              <w:left w:val="single" w:sz="4" w:space="0" w:color="auto"/>
              <w:bottom w:val="nil"/>
              <w:right w:val="nil"/>
            </w:tcBorders>
            <w:shd w:val="clear" w:color="auto" w:fill="auto"/>
            <w:noWrap/>
            <w:hideMark/>
          </w:tcPr>
          <w:p w14:paraId="74AF5DE8"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Orthopnea</w:t>
            </w:r>
            <w:proofErr w:type="spellEnd"/>
            <w:r w:rsidRPr="003F41E9">
              <w:rPr>
                <w:rFonts w:ascii="Helvetica Neue" w:eastAsia="Times New Roman" w:hAnsi="Helvetica Neue"/>
                <w:b/>
                <w:bCs/>
                <w:color w:val="000000"/>
                <w:sz w:val="16"/>
                <w:szCs w:val="16"/>
              </w:rPr>
              <w:t xml:space="preserve"> present</w:t>
            </w:r>
          </w:p>
        </w:tc>
        <w:tc>
          <w:tcPr>
            <w:tcW w:w="620" w:type="dxa"/>
            <w:tcBorders>
              <w:top w:val="nil"/>
              <w:left w:val="nil"/>
              <w:bottom w:val="nil"/>
              <w:right w:val="nil"/>
            </w:tcBorders>
            <w:shd w:val="clear" w:color="auto" w:fill="auto"/>
            <w:hideMark/>
          </w:tcPr>
          <w:p w14:paraId="06B280C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0.83</w:t>
            </w:r>
          </w:p>
        </w:tc>
        <w:tc>
          <w:tcPr>
            <w:tcW w:w="1680" w:type="dxa"/>
            <w:tcBorders>
              <w:top w:val="nil"/>
              <w:left w:val="nil"/>
              <w:bottom w:val="nil"/>
              <w:right w:val="nil"/>
            </w:tcBorders>
            <w:shd w:val="clear" w:color="auto" w:fill="auto"/>
            <w:vAlign w:val="center"/>
            <w:hideMark/>
          </w:tcPr>
          <w:p w14:paraId="0901F5C8"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(0.67-1.03)</w:t>
            </w:r>
          </w:p>
        </w:tc>
        <w:tc>
          <w:tcPr>
            <w:tcW w:w="1020" w:type="dxa"/>
            <w:tcBorders>
              <w:top w:val="nil"/>
              <w:left w:val="nil"/>
              <w:bottom w:val="nil"/>
              <w:right w:val="single" w:sz="4" w:space="0" w:color="auto"/>
            </w:tcBorders>
            <w:shd w:val="clear" w:color="auto" w:fill="auto"/>
            <w:hideMark/>
          </w:tcPr>
          <w:p w14:paraId="2B3EBDB1"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0.1</w:t>
            </w:r>
          </w:p>
        </w:tc>
      </w:tr>
      <w:tr w:rsidR="00E30D79" w:rsidRPr="003F41E9" w14:paraId="1D3172B4" w14:textId="77777777" w:rsidTr="00C26C4B">
        <w:trPr>
          <w:trHeight w:val="260"/>
        </w:trPr>
        <w:tc>
          <w:tcPr>
            <w:tcW w:w="3440" w:type="dxa"/>
            <w:tcBorders>
              <w:top w:val="nil"/>
              <w:left w:val="single" w:sz="4" w:space="0" w:color="auto"/>
              <w:bottom w:val="nil"/>
              <w:right w:val="nil"/>
            </w:tcBorders>
            <w:shd w:val="clear" w:color="D9D9D9" w:fill="D9D9D9"/>
            <w:noWrap/>
            <w:hideMark/>
          </w:tcPr>
          <w:p w14:paraId="19040069"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Height</w:t>
            </w:r>
            <w:proofErr w:type="spellEnd"/>
            <w:r>
              <w:rPr>
                <w:rFonts w:ascii="Helvetica Neue" w:eastAsia="Times New Roman" w:hAnsi="Helvetica Neue"/>
                <w:b/>
                <w:bCs/>
                <w:color w:val="000000"/>
                <w:sz w:val="16"/>
                <w:szCs w:val="16"/>
              </w:rPr>
              <w:t xml:space="preserve"> (m)</w:t>
            </w:r>
          </w:p>
        </w:tc>
        <w:tc>
          <w:tcPr>
            <w:tcW w:w="620" w:type="dxa"/>
            <w:tcBorders>
              <w:top w:val="nil"/>
              <w:left w:val="nil"/>
              <w:bottom w:val="nil"/>
              <w:right w:val="nil"/>
            </w:tcBorders>
            <w:shd w:val="clear" w:color="D9D9D9" w:fill="D9D9D9"/>
            <w:hideMark/>
          </w:tcPr>
          <w:p w14:paraId="49906A1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1.01</w:t>
            </w:r>
          </w:p>
        </w:tc>
        <w:tc>
          <w:tcPr>
            <w:tcW w:w="1680" w:type="dxa"/>
            <w:tcBorders>
              <w:top w:val="nil"/>
              <w:left w:val="nil"/>
              <w:bottom w:val="nil"/>
              <w:right w:val="nil"/>
            </w:tcBorders>
            <w:shd w:val="clear" w:color="D9D9D9" w:fill="D9D9D9"/>
            <w:vAlign w:val="center"/>
            <w:hideMark/>
          </w:tcPr>
          <w:p w14:paraId="44424201"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(0.98-1.04)</w:t>
            </w:r>
          </w:p>
        </w:tc>
        <w:tc>
          <w:tcPr>
            <w:tcW w:w="1020" w:type="dxa"/>
            <w:tcBorders>
              <w:top w:val="nil"/>
              <w:left w:val="nil"/>
              <w:bottom w:val="nil"/>
              <w:right w:val="single" w:sz="4" w:space="0" w:color="auto"/>
            </w:tcBorders>
            <w:shd w:val="clear" w:color="D9D9D9" w:fill="D9D9D9"/>
            <w:hideMark/>
          </w:tcPr>
          <w:p w14:paraId="3CEAF7C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0.52</w:t>
            </w:r>
          </w:p>
        </w:tc>
      </w:tr>
      <w:tr w:rsidR="00E30D79" w:rsidRPr="003F41E9" w14:paraId="147BB262" w14:textId="77777777" w:rsidTr="00C26C4B">
        <w:trPr>
          <w:trHeight w:val="260"/>
        </w:trPr>
        <w:tc>
          <w:tcPr>
            <w:tcW w:w="3440" w:type="dxa"/>
            <w:tcBorders>
              <w:top w:val="nil"/>
              <w:left w:val="single" w:sz="4" w:space="0" w:color="auto"/>
              <w:bottom w:val="nil"/>
              <w:right w:val="nil"/>
            </w:tcBorders>
            <w:shd w:val="clear" w:color="auto" w:fill="auto"/>
            <w:noWrap/>
            <w:hideMark/>
          </w:tcPr>
          <w:p w14:paraId="0D0A2734"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lastRenderedPageBreak/>
              <w:t>Weight</w:t>
            </w:r>
            <w:proofErr w:type="spellEnd"/>
            <w:r>
              <w:rPr>
                <w:rFonts w:ascii="Helvetica Neue" w:eastAsia="Times New Roman" w:hAnsi="Helvetica Neue"/>
                <w:b/>
                <w:bCs/>
                <w:color w:val="000000"/>
                <w:sz w:val="16"/>
                <w:szCs w:val="16"/>
              </w:rPr>
              <w:t xml:space="preserve"> (kg)</w:t>
            </w:r>
          </w:p>
        </w:tc>
        <w:tc>
          <w:tcPr>
            <w:tcW w:w="620" w:type="dxa"/>
            <w:tcBorders>
              <w:top w:val="nil"/>
              <w:left w:val="nil"/>
              <w:bottom w:val="nil"/>
              <w:right w:val="nil"/>
            </w:tcBorders>
            <w:shd w:val="clear" w:color="auto" w:fill="auto"/>
            <w:hideMark/>
          </w:tcPr>
          <w:p w14:paraId="598EB82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1.01</w:t>
            </w:r>
          </w:p>
        </w:tc>
        <w:tc>
          <w:tcPr>
            <w:tcW w:w="1680" w:type="dxa"/>
            <w:tcBorders>
              <w:top w:val="nil"/>
              <w:left w:val="nil"/>
              <w:bottom w:val="nil"/>
              <w:right w:val="nil"/>
            </w:tcBorders>
            <w:shd w:val="clear" w:color="auto" w:fill="auto"/>
            <w:vAlign w:val="center"/>
            <w:hideMark/>
          </w:tcPr>
          <w:p w14:paraId="533A9358"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(0.98-1.04)</w:t>
            </w:r>
          </w:p>
        </w:tc>
        <w:tc>
          <w:tcPr>
            <w:tcW w:w="1020" w:type="dxa"/>
            <w:tcBorders>
              <w:top w:val="nil"/>
              <w:left w:val="nil"/>
              <w:bottom w:val="nil"/>
              <w:right w:val="single" w:sz="4" w:space="0" w:color="auto"/>
            </w:tcBorders>
            <w:shd w:val="clear" w:color="auto" w:fill="auto"/>
            <w:hideMark/>
          </w:tcPr>
          <w:p w14:paraId="09336A2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0.56</w:t>
            </w:r>
          </w:p>
        </w:tc>
      </w:tr>
      <w:tr w:rsidR="00E30D79" w:rsidRPr="003F41E9" w14:paraId="22D56ECA" w14:textId="77777777" w:rsidTr="00C26C4B">
        <w:trPr>
          <w:trHeight w:val="260"/>
        </w:trPr>
        <w:tc>
          <w:tcPr>
            <w:tcW w:w="3440" w:type="dxa"/>
            <w:tcBorders>
              <w:top w:val="nil"/>
              <w:left w:val="single" w:sz="4" w:space="0" w:color="auto"/>
              <w:bottom w:val="nil"/>
              <w:right w:val="nil"/>
            </w:tcBorders>
            <w:shd w:val="clear" w:color="D9D9D9" w:fill="D9D9D9"/>
            <w:noWrap/>
            <w:hideMark/>
          </w:tcPr>
          <w:p w14:paraId="68772221" w14:textId="77777777" w:rsidR="00E30D79" w:rsidRPr="003F41E9" w:rsidRDefault="00E30D79" w:rsidP="00C26C4B">
            <w:pPr>
              <w:rPr>
                <w:rFonts w:ascii="Helvetica Neue" w:eastAsia="Times New Roman" w:hAnsi="Helvetica Neue"/>
                <w:b/>
                <w:bCs/>
                <w:color w:val="000000"/>
                <w:sz w:val="16"/>
                <w:szCs w:val="16"/>
                <w:lang w:val="en-US"/>
              </w:rPr>
            </w:pPr>
            <w:r w:rsidRPr="003F41E9">
              <w:rPr>
                <w:rFonts w:ascii="Helvetica Neue" w:eastAsia="Times New Roman" w:hAnsi="Helvetica Neue"/>
                <w:b/>
                <w:bCs/>
                <w:color w:val="000000"/>
                <w:sz w:val="16"/>
                <w:szCs w:val="16"/>
                <w:lang w:val="en-US"/>
              </w:rPr>
              <w:t>Body mass index (kg/m2)</w:t>
            </w:r>
          </w:p>
        </w:tc>
        <w:tc>
          <w:tcPr>
            <w:tcW w:w="620" w:type="dxa"/>
            <w:tcBorders>
              <w:top w:val="nil"/>
              <w:left w:val="nil"/>
              <w:bottom w:val="nil"/>
              <w:right w:val="nil"/>
            </w:tcBorders>
            <w:shd w:val="clear" w:color="D9D9D9" w:fill="D9D9D9"/>
            <w:hideMark/>
          </w:tcPr>
          <w:p w14:paraId="3D654599"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1.02</w:t>
            </w:r>
          </w:p>
        </w:tc>
        <w:tc>
          <w:tcPr>
            <w:tcW w:w="1680" w:type="dxa"/>
            <w:tcBorders>
              <w:top w:val="nil"/>
              <w:left w:val="nil"/>
              <w:bottom w:val="nil"/>
              <w:right w:val="nil"/>
            </w:tcBorders>
            <w:shd w:val="clear" w:color="D9D9D9" w:fill="D9D9D9"/>
            <w:vAlign w:val="center"/>
            <w:hideMark/>
          </w:tcPr>
          <w:p w14:paraId="712BD0DA"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(0.94-1.11)</w:t>
            </w:r>
          </w:p>
        </w:tc>
        <w:tc>
          <w:tcPr>
            <w:tcW w:w="1020" w:type="dxa"/>
            <w:tcBorders>
              <w:top w:val="nil"/>
              <w:left w:val="nil"/>
              <w:bottom w:val="nil"/>
              <w:right w:val="single" w:sz="4" w:space="0" w:color="auto"/>
            </w:tcBorders>
            <w:shd w:val="clear" w:color="D9D9D9" w:fill="D9D9D9"/>
            <w:hideMark/>
          </w:tcPr>
          <w:p w14:paraId="38F825F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0.64</w:t>
            </w:r>
          </w:p>
        </w:tc>
      </w:tr>
      <w:tr w:rsidR="00E30D79" w:rsidRPr="003F41E9" w14:paraId="45CFB5D4" w14:textId="77777777" w:rsidTr="00C26C4B">
        <w:trPr>
          <w:trHeight w:val="260"/>
        </w:trPr>
        <w:tc>
          <w:tcPr>
            <w:tcW w:w="3440" w:type="dxa"/>
            <w:tcBorders>
              <w:top w:val="nil"/>
              <w:left w:val="single" w:sz="4" w:space="0" w:color="auto"/>
              <w:bottom w:val="nil"/>
              <w:right w:val="nil"/>
            </w:tcBorders>
            <w:shd w:val="clear" w:color="auto" w:fill="auto"/>
            <w:hideMark/>
          </w:tcPr>
          <w:p w14:paraId="71081119"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Rales</w:t>
            </w:r>
            <w:proofErr w:type="spellEnd"/>
          </w:p>
        </w:tc>
        <w:tc>
          <w:tcPr>
            <w:tcW w:w="620" w:type="dxa"/>
            <w:tcBorders>
              <w:top w:val="nil"/>
              <w:left w:val="nil"/>
              <w:bottom w:val="nil"/>
              <w:right w:val="nil"/>
            </w:tcBorders>
            <w:shd w:val="clear" w:color="auto" w:fill="auto"/>
            <w:hideMark/>
          </w:tcPr>
          <w:p w14:paraId="5D84E47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0.91</w:t>
            </w:r>
          </w:p>
        </w:tc>
        <w:tc>
          <w:tcPr>
            <w:tcW w:w="1680" w:type="dxa"/>
            <w:tcBorders>
              <w:top w:val="nil"/>
              <w:left w:val="nil"/>
              <w:bottom w:val="nil"/>
              <w:right w:val="nil"/>
            </w:tcBorders>
            <w:shd w:val="clear" w:color="auto" w:fill="auto"/>
            <w:vAlign w:val="center"/>
            <w:hideMark/>
          </w:tcPr>
          <w:p w14:paraId="4E3E8BB7"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(0.72-1.16)</w:t>
            </w:r>
          </w:p>
        </w:tc>
        <w:tc>
          <w:tcPr>
            <w:tcW w:w="1020" w:type="dxa"/>
            <w:tcBorders>
              <w:top w:val="nil"/>
              <w:left w:val="nil"/>
              <w:bottom w:val="nil"/>
              <w:right w:val="single" w:sz="4" w:space="0" w:color="auto"/>
            </w:tcBorders>
            <w:shd w:val="clear" w:color="auto" w:fill="auto"/>
            <w:hideMark/>
          </w:tcPr>
          <w:p w14:paraId="5082D26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0.46</w:t>
            </w:r>
          </w:p>
        </w:tc>
      </w:tr>
      <w:tr w:rsidR="00E30D79" w:rsidRPr="003F41E9" w14:paraId="47B44849" w14:textId="77777777" w:rsidTr="00C26C4B">
        <w:trPr>
          <w:trHeight w:val="260"/>
        </w:trPr>
        <w:tc>
          <w:tcPr>
            <w:tcW w:w="3440" w:type="dxa"/>
            <w:tcBorders>
              <w:top w:val="nil"/>
              <w:left w:val="single" w:sz="4" w:space="0" w:color="auto"/>
              <w:bottom w:val="nil"/>
              <w:right w:val="nil"/>
            </w:tcBorders>
            <w:shd w:val="clear" w:color="D9D9D9" w:fill="D9D9D9"/>
            <w:hideMark/>
          </w:tcPr>
          <w:p w14:paraId="4C7F671F"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Ischemic</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aetiology</w:t>
            </w:r>
            <w:proofErr w:type="spellEnd"/>
          </w:p>
        </w:tc>
        <w:tc>
          <w:tcPr>
            <w:tcW w:w="620" w:type="dxa"/>
            <w:tcBorders>
              <w:top w:val="nil"/>
              <w:left w:val="nil"/>
              <w:bottom w:val="nil"/>
              <w:right w:val="nil"/>
            </w:tcBorders>
            <w:shd w:val="clear" w:color="D9D9D9" w:fill="D9D9D9"/>
            <w:hideMark/>
          </w:tcPr>
          <w:p w14:paraId="4EA3F9A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0.90</w:t>
            </w:r>
          </w:p>
        </w:tc>
        <w:tc>
          <w:tcPr>
            <w:tcW w:w="1680" w:type="dxa"/>
            <w:tcBorders>
              <w:top w:val="nil"/>
              <w:left w:val="nil"/>
              <w:bottom w:val="nil"/>
              <w:right w:val="nil"/>
            </w:tcBorders>
            <w:shd w:val="clear" w:color="D9D9D9" w:fill="D9D9D9"/>
            <w:vAlign w:val="center"/>
            <w:hideMark/>
          </w:tcPr>
          <w:p w14:paraId="03AE9E39"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(0.74-1.08)</w:t>
            </w:r>
          </w:p>
        </w:tc>
        <w:tc>
          <w:tcPr>
            <w:tcW w:w="1020" w:type="dxa"/>
            <w:tcBorders>
              <w:top w:val="nil"/>
              <w:left w:val="nil"/>
              <w:bottom w:val="nil"/>
              <w:right w:val="single" w:sz="4" w:space="0" w:color="auto"/>
            </w:tcBorders>
            <w:shd w:val="clear" w:color="D9D9D9" w:fill="D9D9D9"/>
            <w:hideMark/>
          </w:tcPr>
          <w:p w14:paraId="5CF8968B"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0.26</w:t>
            </w:r>
          </w:p>
        </w:tc>
      </w:tr>
      <w:tr w:rsidR="00E30D79" w:rsidRPr="003F41E9" w14:paraId="052BA4BA" w14:textId="77777777" w:rsidTr="00C26C4B">
        <w:trPr>
          <w:trHeight w:val="260"/>
        </w:trPr>
        <w:tc>
          <w:tcPr>
            <w:tcW w:w="3440" w:type="dxa"/>
            <w:tcBorders>
              <w:top w:val="nil"/>
              <w:left w:val="single" w:sz="4" w:space="0" w:color="auto"/>
              <w:bottom w:val="nil"/>
              <w:right w:val="nil"/>
            </w:tcBorders>
            <w:shd w:val="clear" w:color="auto" w:fill="auto"/>
            <w:hideMark/>
          </w:tcPr>
          <w:p w14:paraId="6A45E0AC"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Percutaneous</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coronary</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intervention</w:t>
            </w:r>
            <w:proofErr w:type="spellEnd"/>
            <w:r w:rsidRPr="003F41E9">
              <w:rPr>
                <w:rFonts w:ascii="Helvetica Neue" w:eastAsia="Times New Roman" w:hAnsi="Helvetica Neue"/>
                <w:b/>
                <w:bCs/>
                <w:color w:val="000000"/>
                <w:sz w:val="16"/>
                <w:szCs w:val="16"/>
              </w:rPr>
              <w:t xml:space="preserve"> </w:t>
            </w:r>
          </w:p>
        </w:tc>
        <w:tc>
          <w:tcPr>
            <w:tcW w:w="620" w:type="dxa"/>
            <w:tcBorders>
              <w:top w:val="nil"/>
              <w:left w:val="nil"/>
              <w:bottom w:val="nil"/>
              <w:right w:val="nil"/>
            </w:tcBorders>
            <w:shd w:val="clear" w:color="auto" w:fill="auto"/>
            <w:hideMark/>
          </w:tcPr>
          <w:p w14:paraId="15C9239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1.14</w:t>
            </w:r>
          </w:p>
        </w:tc>
        <w:tc>
          <w:tcPr>
            <w:tcW w:w="1680" w:type="dxa"/>
            <w:tcBorders>
              <w:top w:val="nil"/>
              <w:left w:val="nil"/>
              <w:bottom w:val="nil"/>
              <w:right w:val="nil"/>
            </w:tcBorders>
            <w:shd w:val="clear" w:color="auto" w:fill="auto"/>
            <w:vAlign w:val="center"/>
            <w:hideMark/>
          </w:tcPr>
          <w:p w14:paraId="606824E9"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(0.95-1.38)</w:t>
            </w:r>
          </w:p>
        </w:tc>
        <w:tc>
          <w:tcPr>
            <w:tcW w:w="1020" w:type="dxa"/>
            <w:tcBorders>
              <w:top w:val="nil"/>
              <w:left w:val="nil"/>
              <w:bottom w:val="nil"/>
              <w:right w:val="single" w:sz="4" w:space="0" w:color="auto"/>
            </w:tcBorders>
            <w:shd w:val="clear" w:color="auto" w:fill="auto"/>
            <w:hideMark/>
          </w:tcPr>
          <w:p w14:paraId="165CE78C"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0.17</w:t>
            </w:r>
          </w:p>
        </w:tc>
      </w:tr>
      <w:tr w:rsidR="00E30D79" w:rsidRPr="003F41E9" w14:paraId="24C6354B" w14:textId="77777777" w:rsidTr="00C26C4B">
        <w:trPr>
          <w:trHeight w:val="260"/>
        </w:trPr>
        <w:tc>
          <w:tcPr>
            <w:tcW w:w="3440" w:type="dxa"/>
            <w:tcBorders>
              <w:top w:val="nil"/>
              <w:left w:val="single" w:sz="4" w:space="0" w:color="auto"/>
              <w:bottom w:val="nil"/>
              <w:right w:val="nil"/>
            </w:tcBorders>
            <w:shd w:val="clear" w:color="D9D9D9" w:fill="D9D9D9"/>
            <w:hideMark/>
          </w:tcPr>
          <w:p w14:paraId="765B3641"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 xml:space="preserve">Alcohol </w:t>
            </w:r>
            <w:proofErr w:type="spellStart"/>
            <w:r w:rsidRPr="003F41E9">
              <w:rPr>
                <w:rFonts w:ascii="Helvetica Neue" w:eastAsia="Times New Roman" w:hAnsi="Helvetica Neue"/>
                <w:b/>
                <w:bCs/>
                <w:color w:val="000000"/>
                <w:sz w:val="16"/>
                <w:szCs w:val="16"/>
              </w:rPr>
              <w:t>usage</w:t>
            </w:r>
            <w:proofErr w:type="spellEnd"/>
          </w:p>
        </w:tc>
        <w:tc>
          <w:tcPr>
            <w:tcW w:w="620" w:type="dxa"/>
            <w:tcBorders>
              <w:top w:val="nil"/>
              <w:left w:val="nil"/>
              <w:bottom w:val="nil"/>
              <w:right w:val="nil"/>
            </w:tcBorders>
            <w:shd w:val="clear" w:color="D9D9D9" w:fill="D9D9D9"/>
            <w:hideMark/>
          </w:tcPr>
          <w:p w14:paraId="243D4EC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1.02</w:t>
            </w:r>
          </w:p>
        </w:tc>
        <w:tc>
          <w:tcPr>
            <w:tcW w:w="1680" w:type="dxa"/>
            <w:tcBorders>
              <w:top w:val="nil"/>
              <w:left w:val="nil"/>
              <w:bottom w:val="nil"/>
              <w:right w:val="nil"/>
            </w:tcBorders>
            <w:shd w:val="clear" w:color="D9D9D9" w:fill="D9D9D9"/>
            <w:vAlign w:val="center"/>
            <w:hideMark/>
          </w:tcPr>
          <w:p w14:paraId="5F04092C"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(0.83-1.25)</w:t>
            </w:r>
          </w:p>
        </w:tc>
        <w:tc>
          <w:tcPr>
            <w:tcW w:w="1020" w:type="dxa"/>
            <w:tcBorders>
              <w:top w:val="nil"/>
              <w:left w:val="nil"/>
              <w:bottom w:val="nil"/>
              <w:right w:val="single" w:sz="4" w:space="0" w:color="auto"/>
            </w:tcBorders>
            <w:shd w:val="clear" w:color="D9D9D9" w:fill="D9D9D9"/>
            <w:hideMark/>
          </w:tcPr>
          <w:p w14:paraId="38E0D7D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0.84</w:t>
            </w:r>
          </w:p>
        </w:tc>
      </w:tr>
      <w:tr w:rsidR="00E30D79" w:rsidRPr="003F41E9" w14:paraId="74AE570A" w14:textId="77777777" w:rsidTr="00C26C4B">
        <w:trPr>
          <w:trHeight w:val="260"/>
        </w:trPr>
        <w:tc>
          <w:tcPr>
            <w:tcW w:w="3440" w:type="dxa"/>
            <w:tcBorders>
              <w:top w:val="nil"/>
              <w:left w:val="single" w:sz="4" w:space="0" w:color="auto"/>
              <w:bottom w:val="nil"/>
              <w:right w:val="nil"/>
            </w:tcBorders>
            <w:shd w:val="clear" w:color="auto" w:fill="auto"/>
            <w:noWrap/>
            <w:hideMark/>
          </w:tcPr>
          <w:p w14:paraId="62F74953"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NYHA class I</w:t>
            </w:r>
          </w:p>
        </w:tc>
        <w:tc>
          <w:tcPr>
            <w:tcW w:w="620" w:type="dxa"/>
            <w:tcBorders>
              <w:top w:val="nil"/>
              <w:left w:val="nil"/>
              <w:bottom w:val="nil"/>
              <w:right w:val="nil"/>
            </w:tcBorders>
            <w:shd w:val="clear" w:color="auto" w:fill="auto"/>
            <w:noWrap/>
            <w:hideMark/>
          </w:tcPr>
          <w:p w14:paraId="43C4CF24" w14:textId="77777777" w:rsidR="00E30D79" w:rsidRPr="003F41E9" w:rsidRDefault="00E30D79" w:rsidP="00C26C4B">
            <w:pP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c>
          <w:tcPr>
            <w:tcW w:w="1680" w:type="dxa"/>
            <w:tcBorders>
              <w:top w:val="nil"/>
              <w:left w:val="nil"/>
              <w:bottom w:val="nil"/>
              <w:right w:val="nil"/>
            </w:tcBorders>
            <w:shd w:val="clear" w:color="auto" w:fill="auto"/>
            <w:noWrap/>
            <w:vAlign w:val="center"/>
            <w:hideMark/>
          </w:tcPr>
          <w:p w14:paraId="704B77AF"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c>
          <w:tcPr>
            <w:tcW w:w="1020" w:type="dxa"/>
            <w:tcBorders>
              <w:top w:val="nil"/>
              <w:left w:val="nil"/>
              <w:bottom w:val="nil"/>
              <w:right w:val="single" w:sz="4" w:space="0" w:color="auto"/>
            </w:tcBorders>
            <w:shd w:val="clear" w:color="auto" w:fill="auto"/>
            <w:noWrap/>
            <w:hideMark/>
          </w:tcPr>
          <w:p w14:paraId="1A3B6C16"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r>
      <w:tr w:rsidR="00E30D79" w:rsidRPr="003F41E9" w14:paraId="537DF113" w14:textId="77777777" w:rsidTr="00C26C4B">
        <w:trPr>
          <w:trHeight w:val="260"/>
        </w:trPr>
        <w:tc>
          <w:tcPr>
            <w:tcW w:w="3440" w:type="dxa"/>
            <w:tcBorders>
              <w:top w:val="nil"/>
              <w:left w:val="single" w:sz="4" w:space="0" w:color="auto"/>
              <w:bottom w:val="nil"/>
              <w:right w:val="nil"/>
            </w:tcBorders>
            <w:shd w:val="clear" w:color="D9D9D9" w:fill="D9D9D9"/>
            <w:noWrap/>
            <w:hideMark/>
          </w:tcPr>
          <w:p w14:paraId="5F4E0CAC"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NYHA class II</w:t>
            </w:r>
          </w:p>
        </w:tc>
        <w:tc>
          <w:tcPr>
            <w:tcW w:w="620" w:type="dxa"/>
            <w:tcBorders>
              <w:top w:val="nil"/>
              <w:left w:val="nil"/>
              <w:bottom w:val="nil"/>
              <w:right w:val="nil"/>
            </w:tcBorders>
            <w:shd w:val="clear" w:color="D9D9D9" w:fill="D9D9D9"/>
            <w:hideMark/>
          </w:tcPr>
          <w:p w14:paraId="50490E01"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0.83</w:t>
            </w:r>
          </w:p>
        </w:tc>
        <w:tc>
          <w:tcPr>
            <w:tcW w:w="1680" w:type="dxa"/>
            <w:tcBorders>
              <w:top w:val="nil"/>
              <w:left w:val="nil"/>
              <w:bottom w:val="nil"/>
              <w:right w:val="nil"/>
            </w:tcBorders>
            <w:shd w:val="clear" w:color="D9D9D9" w:fill="D9D9D9"/>
            <w:vAlign w:val="center"/>
            <w:hideMark/>
          </w:tcPr>
          <w:p w14:paraId="1DAB2F4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(0.64-1.08)</w:t>
            </w:r>
          </w:p>
        </w:tc>
        <w:tc>
          <w:tcPr>
            <w:tcW w:w="1020" w:type="dxa"/>
            <w:tcBorders>
              <w:top w:val="nil"/>
              <w:left w:val="nil"/>
              <w:bottom w:val="nil"/>
              <w:right w:val="single" w:sz="4" w:space="0" w:color="auto"/>
            </w:tcBorders>
            <w:shd w:val="clear" w:color="D9D9D9" w:fill="D9D9D9"/>
            <w:hideMark/>
          </w:tcPr>
          <w:p w14:paraId="4B428F3D"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0.16</w:t>
            </w:r>
          </w:p>
        </w:tc>
      </w:tr>
      <w:tr w:rsidR="00E30D79" w:rsidRPr="003F41E9" w14:paraId="3C5654EA" w14:textId="77777777" w:rsidTr="00C26C4B">
        <w:trPr>
          <w:trHeight w:val="260"/>
        </w:trPr>
        <w:tc>
          <w:tcPr>
            <w:tcW w:w="3440" w:type="dxa"/>
            <w:tcBorders>
              <w:top w:val="nil"/>
              <w:left w:val="single" w:sz="4" w:space="0" w:color="auto"/>
              <w:bottom w:val="nil"/>
              <w:right w:val="nil"/>
            </w:tcBorders>
            <w:shd w:val="clear" w:color="auto" w:fill="auto"/>
            <w:noWrap/>
            <w:hideMark/>
          </w:tcPr>
          <w:p w14:paraId="21963E8B"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NYHA class III</w:t>
            </w:r>
          </w:p>
        </w:tc>
        <w:tc>
          <w:tcPr>
            <w:tcW w:w="620" w:type="dxa"/>
            <w:tcBorders>
              <w:top w:val="nil"/>
              <w:left w:val="nil"/>
              <w:bottom w:val="nil"/>
              <w:right w:val="nil"/>
            </w:tcBorders>
            <w:shd w:val="clear" w:color="auto" w:fill="auto"/>
            <w:hideMark/>
          </w:tcPr>
          <w:p w14:paraId="1BEA2FC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0.83</w:t>
            </w:r>
          </w:p>
        </w:tc>
        <w:tc>
          <w:tcPr>
            <w:tcW w:w="1680" w:type="dxa"/>
            <w:tcBorders>
              <w:top w:val="nil"/>
              <w:left w:val="nil"/>
              <w:bottom w:val="nil"/>
              <w:right w:val="nil"/>
            </w:tcBorders>
            <w:shd w:val="clear" w:color="auto" w:fill="auto"/>
            <w:vAlign w:val="center"/>
            <w:hideMark/>
          </w:tcPr>
          <w:p w14:paraId="023740CF"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(0.62-1.11)</w:t>
            </w:r>
          </w:p>
        </w:tc>
        <w:tc>
          <w:tcPr>
            <w:tcW w:w="1020" w:type="dxa"/>
            <w:tcBorders>
              <w:top w:val="nil"/>
              <w:left w:val="nil"/>
              <w:bottom w:val="nil"/>
              <w:right w:val="single" w:sz="4" w:space="0" w:color="auto"/>
            </w:tcBorders>
            <w:shd w:val="clear" w:color="auto" w:fill="auto"/>
            <w:hideMark/>
          </w:tcPr>
          <w:p w14:paraId="1CBDE712"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0.2</w:t>
            </w:r>
          </w:p>
        </w:tc>
      </w:tr>
      <w:tr w:rsidR="00E30D79" w:rsidRPr="003F41E9" w14:paraId="5923C320" w14:textId="77777777" w:rsidTr="00C26C4B">
        <w:trPr>
          <w:trHeight w:val="260"/>
        </w:trPr>
        <w:tc>
          <w:tcPr>
            <w:tcW w:w="3440" w:type="dxa"/>
            <w:tcBorders>
              <w:top w:val="nil"/>
              <w:left w:val="single" w:sz="4" w:space="0" w:color="auto"/>
              <w:bottom w:val="nil"/>
              <w:right w:val="nil"/>
            </w:tcBorders>
            <w:shd w:val="clear" w:color="D9D9D9" w:fill="D9D9D9"/>
            <w:noWrap/>
            <w:hideMark/>
          </w:tcPr>
          <w:p w14:paraId="57046867"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NYHA class IV</w:t>
            </w:r>
          </w:p>
        </w:tc>
        <w:tc>
          <w:tcPr>
            <w:tcW w:w="620" w:type="dxa"/>
            <w:tcBorders>
              <w:top w:val="nil"/>
              <w:left w:val="nil"/>
              <w:bottom w:val="nil"/>
              <w:right w:val="nil"/>
            </w:tcBorders>
            <w:shd w:val="clear" w:color="D9D9D9" w:fill="D9D9D9"/>
            <w:hideMark/>
          </w:tcPr>
          <w:p w14:paraId="5F2617A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0.58</w:t>
            </w:r>
          </w:p>
        </w:tc>
        <w:tc>
          <w:tcPr>
            <w:tcW w:w="1680" w:type="dxa"/>
            <w:tcBorders>
              <w:top w:val="nil"/>
              <w:left w:val="nil"/>
              <w:bottom w:val="nil"/>
              <w:right w:val="nil"/>
            </w:tcBorders>
            <w:shd w:val="clear" w:color="D9D9D9" w:fill="D9D9D9"/>
            <w:vAlign w:val="center"/>
            <w:hideMark/>
          </w:tcPr>
          <w:p w14:paraId="536537A8"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(0.37-0.91)</w:t>
            </w:r>
          </w:p>
        </w:tc>
        <w:tc>
          <w:tcPr>
            <w:tcW w:w="1020" w:type="dxa"/>
            <w:tcBorders>
              <w:top w:val="nil"/>
              <w:left w:val="nil"/>
              <w:bottom w:val="nil"/>
              <w:right w:val="single" w:sz="4" w:space="0" w:color="auto"/>
            </w:tcBorders>
            <w:shd w:val="clear" w:color="D9D9D9" w:fill="D9D9D9"/>
            <w:hideMark/>
          </w:tcPr>
          <w:p w14:paraId="6D14FC66"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0.02</w:t>
            </w:r>
          </w:p>
        </w:tc>
      </w:tr>
      <w:tr w:rsidR="00E30D79" w:rsidRPr="003F41E9" w14:paraId="7EF952FC" w14:textId="77777777" w:rsidTr="00C26C4B">
        <w:trPr>
          <w:trHeight w:val="260"/>
        </w:trPr>
        <w:tc>
          <w:tcPr>
            <w:tcW w:w="3440" w:type="dxa"/>
            <w:tcBorders>
              <w:top w:val="nil"/>
              <w:left w:val="single" w:sz="4" w:space="0" w:color="auto"/>
              <w:bottom w:val="nil"/>
              <w:right w:val="nil"/>
            </w:tcBorders>
            <w:shd w:val="clear" w:color="auto" w:fill="auto"/>
            <w:hideMark/>
          </w:tcPr>
          <w:p w14:paraId="4C017605"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Myocardial</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infarction</w:t>
            </w:r>
            <w:proofErr w:type="spellEnd"/>
          </w:p>
        </w:tc>
        <w:tc>
          <w:tcPr>
            <w:tcW w:w="620" w:type="dxa"/>
            <w:tcBorders>
              <w:top w:val="nil"/>
              <w:left w:val="nil"/>
              <w:bottom w:val="nil"/>
              <w:right w:val="nil"/>
            </w:tcBorders>
            <w:shd w:val="clear" w:color="auto" w:fill="auto"/>
            <w:hideMark/>
          </w:tcPr>
          <w:p w14:paraId="6F197E06"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1.21</w:t>
            </w:r>
          </w:p>
        </w:tc>
        <w:tc>
          <w:tcPr>
            <w:tcW w:w="1680" w:type="dxa"/>
            <w:tcBorders>
              <w:top w:val="nil"/>
              <w:left w:val="nil"/>
              <w:bottom w:val="nil"/>
              <w:right w:val="nil"/>
            </w:tcBorders>
            <w:shd w:val="clear" w:color="auto" w:fill="auto"/>
            <w:vAlign w:val="center"/>
            <w:hideMark/>
          </w:tcPr>
          <w:p w14:paraId="40048EB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(1.00-1.47)</w:t>
            </w:r>
          </w:p>
        </w:tc>
        <w:tc>
          <w:tcPr>
            <w:tcW w:w="1020" w:type="dxa"/>
            <w:tcBorders>
              <w:top w:val="nil"/>
              <w:left w:val="nil"/>
              <w:bottom w:val="nil"/>
              <w:right w:val="single" w:sz="4" w:space="0" w:color="auto"/>
            </w:tcBorders>
            <w:shd w:val="clear" w:color="auto" w:fill="auto"/>
            <w:hideMark/>
          </w:tcPr>
          <w:p w14:paraId="09E3B091"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0.048</w:t>
            </w:r>
          </w:p>
        </w:tc>
      </w:tr>
      <w:tr w:rsidR="00E30D79" w:rsidRPr="003F41E9" w14:paraId="50A62241" w14:textId="77777777" w:rsidTr="00C26C4B">
        <w:trPr>
          <w:trHeight w:val="260"/>
        </w:trPr>
        <w:tc>
          <w:tcPr>
            <w:tcW w:w="3440" w:type="dxa"/>
            <w:tcBorders>
              <w:top w:val="nil"/>
              <w:left w:val="single" w:sz="4" w:space="0" w:color="auto"/>
              <w:bottom w:val="nil"/>
              <w:right w:val="nil"/>
            </w:tcBorders>
            <w:shd w:val="clear" w:color="D9D9D9" w:fill="D9D9D9"/>
            <w:noWrap/>
            <w:hideMark/>
          </w:tcPr>
          <w:p w14:paraId="3DF1831C"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Heart</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Rate</w:t>
            </w:r>
            <w:proofErr w:type="spellEnd"/>
            <w:r w:rsidRPr="003F41E9">
              <w:rPr>
                <w:rFonts w:ascii="Helvetica Neue" w:eastAsia="Times New Roman" w:hAnsi="Helvetica Neue"/>
                <w:b/>
                <w:bCs/>
                <w:color w:val="000000"/>
                <w:sz w:val="16"/>
                <w:szCs w:val="16"/>
              </w:rPr>
              <w:t xml:space="preserve"> (bpm)</w:t>
            </w:r>
          </w:p>
        </w:tc>
        <w:tc>
          <w:tcPr>
            <w:tcW w:w="620" w:type="dxa"/>
            <w:tcBorders>
              <w:top w:val="nil"/>
              <w:left w:val="nil"/>
              <w:bottom w:val="nil"/>
              <w:right w:val="nil"/>
            </w:tcBorders>
            <w:shd w:val="clear" w:color="D9D9D9" w:fill="D9D9D9"/>
            <w:hideMark/>
          </w:tcPr>
          <w:p w14:paraId="753FA2DC"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w:t>
            </w:r>
          </w:p>
        </w:tc>
        <w:tc>
          <w:tcPr>
            <w:tcW w:w="1680" w:type="dxa"/>
            <w:tcBorders>
              <w:top w:val="nil"/>
              <w:left w:val="nil"/>
              <w:bottom w:val="nil"/>
              <w:right w:val="nil"/>
            </w:tcBorders>
            <w:shd w:val="clear" w:color="D9D9D9" w:fill="D9D9D9"/>
            <w:vAlign w:val="center"/>
            <w:hideMark/>
          </w:tcPr>
          <w:p w14:paraId="2557BC0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(0.99-1.00)</w:t>
            </w:r>
          </w:p>
        </w:tc>
        <w:tc>
          <w:tcPr>
            <w:tcW w:w="1020" w:type="dxa"/>
            <w:tcBorders>
              <w:top w:val="nil"/>
              <w:left w:val="nil"/>
              <w:bottom w:val="nil"/>
              <w:right w:val="single" w:sz="4" w:space="0" w:color="auto"/>
            </w:tcBorders>
            <w:shd w:val="clear" w:color="D9D9D9" w:fill="D9D9D9"/>
            <w:hideMark/>
          </w:tcPr>
          <w:p w14:paraId="31D4ED7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0.27</w:t>
            </w:r>
          </w:p>
        </w:tc>
      </w:tr>
      <w:tr w:rsidR="00E30D79" w:rsidRPr="003F41E9" w14:paraId="34EC05DE" w14:textId="77777777" w:rsidTr="00C26C4B">
        <w:trPr>
          <w:trHeight w:val="260"/>
        </w:trPr>
        <w:tc>
          <w:tcPr>
            <w:tcW w:w="3440" w:type="dxa"/>
            <w:tcBorders>
              <w:top w:val="nil"/>
              <w:left w:val="single" w:sz="4" w:space="0" w:color="auto"/>
              <w:bottom w:val="nil"/>
              <w:right w:val="nil"/>
            </w:tcBorders>
            <w:shd w:val="clear" w:color="auto" w:fill="auto"/>
            <w:noWrap/>
            <w:hideMark/>
          </w:tcPr>
          <w:p w14:paraId="107CEA6A" w14:textId="77777777" w:rsidR="00E30D79" w:rsidRPr="003F41E9" w:rsidRDefault="00E30D79" w:rsidP="00C26C4B">
            <w:pPr>
              <w:rPr>
                <w:rFonts w:ascii="Helvetica Neue" w:eastAsia="Times New Roman" w:hAnsi="Helvetica Neue"/>
                <w:b/>
                <w:bCs/>
                <w:color w:val="000000"/>
                <w:sz w:val="16"/>
                <w:szCs w:val="16"/>
              </w:rPr>
            </w:pPr>
            <w:proofErr w:type="spellStart"/>
            <w:r>
              <w:rPr>
                <w:rFonts w:ascii="Helvetica Neue" w:eastAsia="Times New Roman" w:hAnsi="Helvetica Neue"/>
                <w:b/>
                <w:bCs/>
                <w:color w:val="000000"/>
                <w:sz w:val="16"/>
                <w:szCs w:val="16"/>
              </w:rPr>
              <w:t>Systolic</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blood</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pressure</w:t>
            </w:r>
            <w:proofErr w:type="spellEnd"/>
            <w:r w:rsidRPr="003F41E9">
              <w:rPr>
                <w:rFonts w:ascii="Helvetica Neue" w:eastAsia="Times New Roman" w:hAnsi="Helvetica Neue"/>
                <w:b/>
                <w:bCs/>
                <w:color w:val="000000"/>
                <w:sz w:val="16"/>
                <w:szCs w:val="16"/>
              </w:rPr>
              <w:t xml:space="preserve"> (mmHg)</w:t>
            </w:r>
          </w:p>
        </w:tc>
        <w:tc>
          <w:tcPr>
            <w:tcW w:w="620" w:type="dxa"/>
            <w:tcBorders>
              <w:top w:val="nil"/>
              <w:left w:val="nil"/>
              <w:bottom w:val="nil"/>
              <w:right w:val="nil"/>
            </w:tcBorders>
            <w:shd w:val="clear" w:color="auto" w:fill="auto"/>
            <w:hideMark/>
          </w:tcPr>
          <w:p w14:paraId="23398CF9"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1.01</w:t>
            </w:r>
          </w:p>
        </w:tc>
        <w:tc>
          <w:tcPr>
            <w:tcW w:w="1680" w:type="dxa"/>
            <w:tcBorders>
              <w:top w:val="nil"/>
              <w:left w:val="nil"/>
              <w:bottom w:val="nil"/>
              <w:right w:val="nil"/>
            </w:tcBorders>
            <w:shd w:val="clear" w:color="auto" w:fill="auto"/>
            <w:vAlign w:val="center"/>
            <w:hideMark/>
          </w:tcPr>
          <w:p w14:paraId="71E1E33A"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(1.00-1.01)</w:t>
            </w:r>
          </w:p>
        </w:tc>
        <w:tc>
          <w:tcPr>
            <w:tcW w:w="1020" w:type="dxa"/>
            <w:tcBorders>
              <w:top w:val="nil"/>
              <w:left w:val="nil"/>
              <w:bottom w:val="nil"/>
              <w:right w:val="single" w:sz="4" w:space="0" w:color="auto"/>
            </w:tcBorders>
            <w:shd w:val="clear" w:color="auto" w:fill="auto"/>
            <w:hideMark/>
          </w:tcPr>
          <w:p w14:paraId="01D71FC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&lt;0.0001</w:t>
            </w:r>
          </w:p>
        </w:tc>
      </w:tr>
      <w:tr w:rsidR="00E30D79" w:rsidRPr="003F41E9" w14:paraId="1014B9B1" w14:textId="77777777" w:rsidTr="00C26C4B">
        <w:trPr>
          <w:trHeight w:val="260"/>
        </w:trPr>
        <w:tc>
          <w:tcPr>
            <w:tcW w:w="3440" w:type="dxa"/>
            <w:tcBorders>
              <w:top w:val="nil"/>
              <w:left w:val="single" w:sz="4" w:space="0" w:color="auto"/>
              <w:bottom w:val="nil"/>
              <w:right w:val="nil"/>
            </w:tcBorders>
            <w:shd w:val="clear" w:color="D9D9D9" w:fill="D9D9D9"/>
            <w:noWrap/>
            <w:hideMark/>
          </w:tcPr>
          <w:p w14:paraId="5DA9DBEF"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Diastolic</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blood</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pressure</w:t>
            </w:r>
            <w:proofErr w:type="spellEnd"/>
            <w:r w:rsidRPr="003F41E9">
              <w:rPr>
                <w:rFonts w:ascii="Helvetica Neue" w:eastAsia="Times New Roman" w:hAnsi="Helvetica Neue"/>
                <w:b/>
                <w:bCs/>
                <w:color w:val="000000"/>
                <w:sz w:val="16"/>
                <w:szCs w:val="16"/>
              </w:rPr>
              <w:t xml:space="preserve"> (mmHg)</w:t>
            </w:r>
          </w:p>
        </w:tc>
        <w:tc>
          <w:tcPr>
            <w:tcW w:w="620" w:type="dxa"/>
            <w:tcBorders>
              <w:top w:val="nil"/>
              <w:left w:val="nil"/>
              <w:bottom w:val="nil"/>
              <w:right w:val="nil"/>
            </w:tcBorders>
            <w:shd w:val="clear" w:color="D9D9D9" w:fill="D9D9D9"/>
            <w:hideMark/>
          </w:tcPr>
          <w:p w14:paraId="586738D6"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1.01</w:t>
            </w:r>
          </w:p>
        </w:tc>
        <w:tc>
          <w:tcPr>
            <w:tcW w:w="1680" w:type="dxa"/>
            <w:tcBorders>
              <w:top w:val="nil"/>
              <w:left w:val="nil"/>
              <w:bottom w:val="nil"/>
              <w:right w:val="nil"/>
            </w:tcBorders>
            <w:shd w:val="clear" w:color="D9D9D9" w:fill="D9D9D9"/>
            <w:vAlign w:val="center"/>
            <w:hideMark/>
          </w:tcPr>
          <w:p w14:paraId="0AFC61DB"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(1.00-1.02)</w:t>
            </w:r>
          </w:p>
        </w:tc>
        <w:tc>
          <w:tcPr>
            <w:tcW w:w="1020" w:type="dxa"/>
            <w:tcBorders>
              <w:top w:val="nil"/>
              <w:left w:val="nil"/>
              <w:bottom w:val="nil"/>
              <w:right w:val="single" w:sz="4" w:space="0" w:color="auto"/>
            </w:tcBorders>
            <w:shd w:val="clear" w:color="D9D9D9" w:fill="D9D9D9"/>
            <w:hideMark/>
          </w:tcPr>
          <w:p w14:paraId="0F42C88E"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0.013</w:t>
            </w:r>
          </w:p>
        </w:tc>
      </w:tr>
      <w:tr w:rsidR="00E30D79" w:rsidRPr="003F41E9" w14:paraId="35B99890" w14:textId="77777777" w:rsidTr="00C26C4B">
        <w:trPr>
          <w:trHeight w:val="260"/>
        </w:trPr>
        <w:tc>
          <w:tcPr>
            <w:tcW w:w="3440" w:type="dxa"/>
            <w:tcBorders>
              <w:top w:val="nil"/>
              <w:left w:val="single" w:sz="4" w:space="0" w:color="auto"/>
              <w:bottom w:val="nil"/>
              <w:right w:val="nil"/>
            </w:tcBorders>
            <w:shd w:val="clear" w:color="auto" w:fill="auto"/>
            <w:noWrap/>
            <w:hideMark/>
          </w:tcPr>
          <w:p w14:paraId="0624876F"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Peripheral</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oedema</w:t>
            </w:r>
            <w:proofErr w:type="spellEnd"/>
            <w:r w:rsidRPr="003F41E9">
              <w:rPr>
                <w:rFonts w:ascii="Helvetica Neue" w:eastAsia="Times New Roman" w:hAnsi="Helvetica Neue"/>
                <w:b/>
                <w:bCs/>
                <w:color w:val="000000"/>
                <w:sz w:val="16"/>
                <w:szCs w:val="16"/>
              </w:rPr>
              <w:t xml:space="preserve"> present</w:t>
            </w:r>
          </w:p>
        </w:tc>
        <w:tc>
          <w:tcPr>
            <w:tcW w:w="620" w:type="dxa"/>
            <w:tcBorders>
              <w:top w:val="nil"/>
              <w:left w:val="nil"/>
              <w:bottom w:val="nil"/>
              <w:right w:val="nil"/>
            </w:tcBorders>
            <w:shd w:val="clear" w:color="auto" w:fill="auto"/>
            <w:hideMark/>
          </w:tcPr>
          <w:p w14:paraId="426C4F6B"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0.82</w:t>
            </w:r>
          </w:p>
        </w:tc>
        <w:tc>
          <w:tcPr>
            <w:tcW w:w="1680" w:type="dxa"/>
            <w:tcBorders>
              <w:top w:val="nil"/>
              <w:left w:val="nil"/>
              <w:bottom w:val="nil"/>
              <w:right w:val="nil"/>
            </w:tcBorders>
            <w:shd w:val="clear" w:color="auto" w:fill="auto"/>
            <w:vAlign w:val="center"/>
            <w:hideMark/>
          </w:tcPr>
          <w:p w14:paraId="502F882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(0.69-0.99)</w:t>
            </w:r>
          </w:p>
        </w:tc>
        <w:tc>
          <w:tcPr>
            <w:tcW w:w="1020" w:type="dxa"/>
            <w:tcBorders>
              <w:top w:val="nil"/>
              <w:left w:val="nil"/>
              <w:bottom w:val="nil"/>
              <w:right w:val="single" w:sz="4" w:space="0" w:color="auto"/>
            </w:tcBorders>
            <w:shd w:val="clear" w:color="auto" w:fill="auto"/>
            <w:hideMark/>
          </w:tcPr>
          <w:p w14:paraId="4A86F032"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0.037</w:t>
            </w:r>
          </w:p>
        </w:tc>
      </w:tr>
      <w:tr w:rsidR="00E30D79" w:rsidRPr="003F41E9" w14:paraId="0BF55C42" w14:textId="77777777" w:rsidTr="00C26C4B">
        <w:trPr>
          <w:trHeight w:val="260"/>
        </w:trPr>
        <w:tc>
          <w:tcPr>
            <w:tcW w:w="3440" w:type="dxa"/>
            <w:tcBorders>
              <w:top w:val="nil"/>
              <w:left w:val="single" w:sz="4" w:space="0" w:color="auto"/>
              <w:bottom w:val="nil"/>
              <w:right w:val="nil"/>
            </w:tcBorders>
            <w:shd w:val="clear" w:color="D9D9D9" w:fill="D9D9D9"/>
            <w:noWrap/>
            <w:hideMark/>
          </w:tcPr>
          <w:p w14:paraId="2C1EA375"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Atrial</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Fibrillation</w:t>
            </w:r>
            <w:proofErr w:type="spellEnd"/>
          </w:p>
        </w:tc>
        <w:tc>
          <w:tcPr>
            <w:tcW w:w="620" w:type="dxa"/>
            <w:tcBorders>
              <w:top w:val="nil"/>
              <w:left w:val="nil"/>
              <w:bottom w:val="nil"/>
              <w:right w:val="nil"/>
            </w:tcBorders>
            <w:shd w:val="clear" w:color="D9D9D9" w:fill="D9D9D9"/>
            <w:hideMark/>
          </w:tcPr>
          <w:p w14:paraId="2E717C7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1.09</w:t>
            </w:r>
          </w:p>
        </w:tc>
        <w:tc>
          <w:tcPr>
            <w:tcW w:w="1680" w:type="dxa"/>
            <w:tcBorders>
              <w:top w:val="nil"/>
              <w:left w:val="nil"/>
              <w:bottom w:val="nil"/>
              <w:right w:val="nil"/>
            </w:tcBorders>
            <w:shd w:val="clear" w:color="D9D9D9" w:fill="D9D9D9"/>
            <w:vAlign w:val="center"/>
            <w:hideMark/>
          </w:tcPr>
          <w:p w14:paraId="52C1E86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(0.91-1.31)</w:t>
            </w:r>
          </w:p>
        </w:tc>
        <w:tc>
          <w:tcPr>
            <w:tcW w:w="1020" w:type="dxa"/>
            <w:tcBorders>
              <w:top w:val="nil"/>
              <w:left w:val="nil"/>
              <w:bottom w:val="nil"/>
              <w:right w:val="single" w:sz="4" w:space="0" w:color="auto"/>
            </w:tcBorders>
            <w:shd w:val="clear" w:color="D9D9D9" w:fill="D9D9D9"/>
            <w:hideMark/>
          </w:tcPr>
          <w:p w14:paraId="73FEAB0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0.33</w:t>
            </w:r>
          </w:p>
        </w:tc>
      </w:tr>
      <w:tr w:rsidR="00E30D79" w:rsidRPr="003F41E9" w14:paraId="576493D8" w14:textId="77777777" w:rsidTr="00C26C4B">
        <w:trPr>
          <w:trHeight w:val="260"/>
        </w:trPr>
        <w:tc>
          <w:tcPr>
            <w:tcW w:w="3440" w:type="dxa"/>
            <w:tcBorders>
              <w:top w:val="nil"/>
              <w:left w:val="single" w:sz="4" w:space="0" w:color="auto"/>
              <w:bottom w:val="nil"/>
              <w:right w:val="nil"/>
            </w:tcBorders>
            <w:shd w:val="clear" w:color="auto" w:fill="auto"/>
            <w:noWrap/>
            <w:hideMark/>
          </w:tcPr>
          <w:p w14:paraId="5EE1028D"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Hypertension</w:t>
            </w:r>
            <w:proofErr w:type="spellEnd"/>
          </w:p>
        </w:tc>
        <w:tc>
          <w:tcPr>
            <w:tcW w:w="620" w:type="dxa"/>
            <w:tcBorders>
              <w:top w:val="nil"/>
              <w:left w:val="nil"/>
              <w:bottom w:val="nil"/>
              <w:right w:val="nil"/>
            </w:tcBorders>
            <w:shd w:val="clear" w:color="auto" w:fill="auto"/>
            <w:hideMark/>
          </w:tcPr>
          <w:p w14:paraId="792BCC5C"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1.31</w:t>
            </w:r>
          </w:p>
        </w:tc>
        <w:tc>
          <w:tcPr>
            <w:tcW w:w="1680" w:type="dxa"/>
            <w:tcBorders>
              <w:top w:val="nil"/>
              <w:left w:val="nil"/>
              <w:bottom w:val="nil"/>
              <w:right w:val="nil"/>
            </w:tcBorders>
            <w:shd w:val="clear" w:color="auto" w:fill="auto"/>
            <w:vAlign w:val="center"/>
            <w:hideMark/>
          </w:tcPr>
          <w:p w14:paraId="204BF044"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(1.11-1.55)</w:t>
            </w:r>
          </w:p>
        </w:tc>
        <w:tc>
          <w:tcPr>
            <w:tcW w:w="1020" w:type="dxa"/>
            <w:tcBorders>
              <w:top w:val="nil"/>
              <w:left w:val="nil"/>
              <w:bottom w:val="nil"/>
              <w:right w:val="single" w:sz="4" w:space="0" w:color="auto"/>
            </w:tcBorders>
            <w:shd w:val="clear" w:color="auto" w:fill="auto"/>
            <w:hideMark/>
          </w:tcPr>
          <w:p w14:paraId="1C4D2A8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0.0017</w:t>
            </w:r>
          </w:p>
        </w:tc>
      </w:tr>
      <w:tr w:rsidR="00E30D79" w:rsidRPr="003F41E9" w14:paraId="79CD0EC3" w14:textId="77777777" w:rsidTr="00C26C4B">
        <w:trPr>
          <w:trHeight w:val="260"/>
        </w:trPr>
        <w:tc>
          <w:tcPr>
            <w:tcW w:w="3440" w:type="dxa"/>
            <w:tcBorders>
              <w:top w:val="nil"/>
              <w:left w:val="single" w:sz="4" w:space="0" w:color="auto"/>
              <w:bottom w:val="nil"/>
              <w:right w:val="nil"/>
            </w:tcBorders>
            <w:shd w:val="clear" w:color="D9D9D9" w:fill="D9D9D9"/>
            <w:noWrap/>
            <w:hideMark/>
          </w:tcPr>
          <w:p w14:paraId="48889E69"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Peripheral</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Artery</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Disease</w:t>
            </w:r>
            <w:proofErr w:type="spellEnd"/>
          </w:p>
        </w:tc>
        <w:tc>
          <w:tcPr>
            <w:tcW w:w="620" w:type="dxa"/>
            <w:tcBorders>
              <w:top w:val="nil"/>
              <w:left w:val="nil"/>
              <w:bottom w:val="nil"/>
              <w:right w:val="nil"/>
            </w:tcBorders>
            <w:shd w:val="clear" w:color="D9D9D9" w:fill="D9D9D9"/>
            <w:hideMark/>
          </w:tcPr>
          <w:p w14:paraId="3C31ECEC"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0.76</w:t>
            </w:r>
          </w:p>
        </w:tc>
        <w:tc>
          <w:tcPr>
            <w:tcW w:w="1680" w:type="dxa"/>
            <w:tcBorders>
              <w:top w:val="nil"/>
              <w:left w:val="nil"/>
              <w:bottom w:val="nil"/>
              <w:right w:val="nil"/>
            </w:tcBorders>
            <w:shd w:val="clear" w:color="D9D9D9" w:fill="D9D9D9"/>
            <w:vAlign w:val="center"/>
            <w:hideMark/>
          </w:tcPr>
          <w:p w14:paraId="625AFE3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(0.54-1.07)</w:t>
            </w:r>
          </w:p>
        </w:tc>
        <w:tc>
          <w:tcPr>
            <w:tcW w:w="1020" w:type="dxa"/>
            <w:tcBorders>
              <w:top w:val="nil"/>
              <w:left w:val="nil"/>
              <w:bottom w:val="nil"/>
              <w:right w:val="single" w:sz="4" w:space="0" w:color="auto"/>
            </w:tcBorders>
            <w:shd w:val="clear" w:color="D9D9D9" w:fill="D9D9D9"/>
            <w:hideMark/>
          </w:tcPr>
          <w:p w14:paraId="57D74DB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0.11</w:t>
            </w:r>
          </w:p>
        </w:tc>
      </w:tr>
      <w:tr w:rsidR="00E30D79" w:rsidRPr="003F41E9" w14:paraId="7A5B10F3" w14:textId="77777777" w:rsidTr="00C26C4B">
        <w:trPr>
          <w:trHeight w:val="260"/>
        </w:trPr>
        <w:tc>
          <w:tcPr>
            <w:tcW w:w="3440" w:type="dxa"/>
            <w:tcBorders>
              <w:top w:val="nil"/>
              <w:left w:val="single" w:sz="4" w:space="0" w:color="auto"/>
              <w:bottom w:val="nil"/>
              <w:right w:val="nil"/>
            </w:tcBorders>
            <w:shd w:val="clear" w:color="auto" w:fill="auto"/>
            <w:noWrap/>
            <w:hideMark/>
          </w:tcPr>
          <w:p w14:paraId="4ABC5244"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Chronic</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obstructive</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pulmonary</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disease</w:t>
            </w:r>
            <w:proofErr w:type="spellEnd"/>
            <w:r w:rsidRPr="003F41E9">
              <w:rPr>
                <w:rFonts w:ascii="Helvetica Neue" w:eastAsia="Times New Roman" w:hAnsi="Helvetica Neue"/>
                <w:b/>
                <w:bCs/>
                <w:color w:val="000000"/>
                <w:sz w:val="16"/>
                <w:szCs w:val="16"/>
              </w:rPr>
              <w:t xml:space="preserve"> </w:t>
            </w:r>
          </w:p>
        </w:tc>
        <w:tc>
          <w:tcPr>
            <w:tcW w:w="620" w:type="dxa"/>
            <w:tcBorders>
              <w:top w:val="nil"/>
              <w:left w:val="nil"/>
              <w:bottom w:val="nil"/>
              <w:right w:val="nil"/>
            </w:tcBorders>
            <w:shd w:val="clear" w:color="auto" w:fill="auto"/>
            <w:hideMark/>
          </w:tcPr>
          <w:p w14:paraId="35ACC542"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0.76</w:t>
            </w:r>
          </w:p>
        </w:tc>
        <w:tc>
          <w:tcPr>
            <w:tcW w:w="1680" w:type="dxa"/>
            <w:tcBorders>
              <w:top w:val="nil"/>
              <w:left w:val="nil"/>
              <w:bottom w:val="nil"/>
              <w:right w:val="nil"/>
            </w:tcBorders>
            <w:shd w:val="clear" w:color="auto" w:fill="auto"/>
            <w:vAlign w:val="center"/>
            <w:hideMark/>
          </w:tcPr>
          <w:p w14:paraId="4018448D"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(0.58-0.98)</w:t>
            </w:r>
          </w:p>
        </w:tc>
        <w:tc>
          <w:tcPr>
            <w:tcW w:w="1020" w:type="dxa"/>
            <w:tcBorders>
              <w:top w:val="nil"/>
              <w:left w:val="nil"/>
              <w:bottom w:val="nil"/>
              <w:right w:val="single" w:sz="4" w:space="0" w:color="auto"/>
            </w:tcBorders>
            <w:shd w:val="clear" w:color="auto" w:fill="auto"/>
            <w:hideMark/>
          </w:tcPr>
          <w:p w14:paraId="7E0AAB50"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0.03</w:t>
            </w:r>
          </w:p>
        </w:tc>
      </w:tr>
      <w:tr w:rsidR="00E30D79" w:rsidRPr="003F41E9" w14:paraId="55A9E95D" w14:textId="77777777" w:rsidTr="00C26C4B">
        <w:trPr>
          <w:trHeight w:val="260"/>
        </w:trPr>
        <w:tc>
          <w:tcPr>
            <w:tcW w:w="3440" w:type="dxa"/>
            <w:tcBorders>
              <w:top w:val="nil"/>
              <w:left w:val="single" w:sz="4" w:space="0" w:color="auto"/>
              <w:bottom w:val="nil"/>
              <w:right w:val="nil"/>
            </w:tcBorders>
            <w:shd w:val="clear" w:color="D9D9D9" w:fill="D9D9D9"/>
            <w:noWrap/>
            <w:hideMark/>
          </w:tcPr>
          <w:p w14:paraId="12A621E8"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Smokin</w:t>
            </w:r>
            <w:r>
              <w:rPr>
                <w:rFonts w:ascii="Helvetica Neue" w:eastAsia="Times New Roman" w:hAnsi="Helvetica Neue"/>
                <w:b/>
                <w:bCs/>
                <w:color w:val="000000"/>
                <w:sz w:val="16"/>
                <w:szCs w:val="16"/>
              </w:rPr>
              <w:t>g</w:t>
            </w:r>
            <w:r w:rsidRPr="003F41E9">
              <w:rPr>
                <w:rFonts w:ascii="Helvetica Neue" w:eastAsia="Times New Roman" w:hAnsi="Helvetica Neue"/>
                <w:b/>
                <w:bCs/>
                <w:color w:val="000000"/>
                <w:sz w:val="16"/>
                <w:szCs w:val="16"/>
              </w:rPr>
              <w:t xml:space="preserve"> (never)</w:t>
            </w:r>
          </w:p>
        </w:tc>
        <w:tc>
          <w:tcPr>
            <w:tcW w:w="620" w:type="dxa"/>
            <w:tcBorders>
              <w:top w:val="nil"/>
              <w:left w:val="nil"/>
              <w:bottom w:val="nil"/>
              <w:right w:val="nil"/>
            </w:tcBorders>
            <w:shd w:val="clear" w:color="D9D9D9" w:fill="D9D9D9"/>
            <w:hideMark/>
          </w:tcPr>
          <w:p w14:paraId="0A6F7CDA" w14:textId="77777777" w:rsidR="00E30D79" w:rsidRPr="003F41E9" w:rsidRDefault="00E30D79" w:rsidP="00C26C4B">
            <w:pP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c>
          <w:tcPr>
            <w:tcW w:w="1680" w:type="dxa"/>
            <w:tcBorders>
              <w:top w:val="nil"/>
              <w:left w:val="nil"/>
              <w:bottom w:val="nil"/>
              <w:right w:val="nil"/>
            </w:tcBorders>
            <w:shd w:val="clear" w:color="D9D9D9" w:fill="D9D9D9"/>
            <w:vAlign w:val="center"/>
            <w:hideMark/>
          </w:tcPr>
          <w:p w14:paraId="72157A2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c>
          <w:tcPr>
            <w:tcW w:w="1020" w:type="dxa"/>
            <w:tcBorders>
              <w:top w:val="nil"/>
              <w:left w:val="nil"/>
              <w:bottom w:val="nil"/>
              <w:right w:val="single" w:sz="4" w:space="0" w:color="auto"/>
            </w:tcBorders>
            <w:shd w:val="clear" w:color="D9D9D9" w:fill="D9D9D9"/>
            <w:hideMark/>
          </w:tcPr>
          <w:p w14:paraId="3CFD1F6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w:t>
            </w:r>
          </w:p>
        </w:tc>
      </w:tr>
      <w:tr w:rsidR="00E30D79" w:rsidRPr="003F41E9" w14:paraId="1BF96158" w14:textId="77777777" w:rsidTr="00C26C4B">
        <w:trPr>
          <w:trHeight w:val="260"/>
        </w:trPr>
        <w:tc>
          <w:tcPr>
            <w:tcW w:w="3440" w:type="dxa"/>
            <w:tcBorders>
              <w:top w:val="nil"/>
              <w:left w:val="single" w:sz="4" w:space="0" w:color="auto"/>
              <w:bottom w:val="nil"/>
              <w:right w:val="nil"/>
            </w:tcBorders>
            <w:shd w:val="clear" w:color="auto" w:fill="auto"/>
            <w:noWrap/>
            <w:hideMark/>
          </w:tcPr>
          <w:p w14:paraId="726A6ACD"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Smokin</w:t>
            </w:r>
            <w:r>
              <w:rPr>
                <w:rFonts w:ascii="Helvetica Neue" w:eastAsia="Times New Roman" w:hAnsi="Helvetica Neue"/>
                <w:b/>
                <w:bCs/>
                <w:color w:val="000000"/>
                <w:sz w:val="16"/>
                <w:szCs w:val="16"/>
              </w:rPr>
              <w:t>g</w:t>
            </w:r>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current</w:t>
            </w:r>
            <w:proofErr w:type="spellEnd"/>
            <w:r w:rsidRPr="003F41E9">
              <w:rPr>
                <w:rFonts w:ascii="Helvetica Neue" w:eastAsia="Times New Roman" w:hAnsi="Helvetica Neue"/>
                <w:b/>
                <w:bCs/>
                <w:color w:val="000000"/>
                <w:sz w:val="16"/>
                <w:szCs w:val="16"/>
              </w:rPr>
              <w:t>)</w:t>
            </w:r>
          </w:p>
        </w:tc>
        <w:tc>
          <w:tcPr>
            <w:tcW w:w="620" w:type="dxa"/>
            <w:tcBorders>
              <w:top w:val="nil"/>
              <w:left w:val="nil"/>
              <w:bottom w:val="nil"/>
              <w:right w:val="nil"/>
            </w:tcBorders>
            <w:shd w:val="clear" w:color="auto" w:fill="auto"/>
            <w:hideMark/>
          </w:tcPr>
          <w:p w14:paraId="7790286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1.20</w:t>
            </w:r>
          </w:p>
        </w:tc>
        <w:tc>
          <w:tcPr>
            <w:tcW w:w="1680" w:type="dxa"/>
            <w:tcBorders>
              <w:top w:val="nil"/>
              <w:left w:val="nil"/>
              <w:bottom w:val="nil"/>
              <w:right w:val="nil"/>
            </w:tcBorders>
            <w:shd w:val="clear" w:color="auto" w:fill="auto"/>
            <w:vAlign w:val="center"/>
            <w:hideMark/>
          </w:tcPr>
          <w:p w14:paraId="706A7026"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(1.00-1.43)</w:t>
            </w:r>
          </w:p>
        </w:tc>
        <w:tc>
          <w:tcPr>
            <w:tcW w:w="1020" w:type="dxa"/>
            <w:tcBorders>
              <w:top w:val="nil"/>
              <w:left w:val="nil"/>
              <w:bottom w:val="nil"/>
              <w:right w:val="single" w:sz="4" w:space="0" w:color="auto"/>
            </w:tcBorders>
            <w:shd w:val="clear" w:color="auto" w:fill="auto"/>
            <w:hideMark/>
          </w:tcPr>
          <w:p w14:paraId="3E5D4A5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0.0495</w:t>
            </w:r>
          </w:p>
        </w:tc>
      </w:tr>
      <w:tr w:rsidR="00E30D79" w:rsidRPr="003F41E9" w14:paraId="00664C8B" w14:textId="77777777" w:rsidTr="00C26C4B">
        <w:trPr>
          <w:trHeight w:val="260"/>
        </w:trPr>
        <w:tc>
          <w:tcPr>
            <w:tcW w:w="3440" w:type="dxa"/>
            <w:tcBorders>
              <w:top w:val="nil"/>
              <w:left w:val="single" w:sz="4" w:space="0" w:color="auto"/>
              <w:bottom w:val="nil"/>
              <w:right w:val="nil"/>
            </w:tcBorders>
            <w:shd w:val="clear" w:color="D9D9D9" w:fill="D9D9D9"/>
            <w:noWrap/>
            <w:hideMark/>
          </w:tcPr>
          <w:p w14:paraId="491824DD"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Smokin</w:t>
            </w:r>
            <w:proofErr w:type="spellEnd"/>
            <w:r w:rsidRPr="003F41E9">
              <w:rPr>
                <w:rFonts w:ascii="Helvetica Neue" w:eastAsia="Times New Roman" w:hAnsi="Helvetica Neue"/>
                <w:b/>
                <w:bCs/>
                <w:color w:val="000000"/>
                <w:sz w:val="16"/>
                <w:szCs w:val="16"/>
              </w:rPr>
              <w:t xml:space="preserve"> (ever)</w:t>
            </w:r>
          </w:p>
        </w:tc>
        <w:tc>
          <w:tcPr>
            <w:tcW w:w="620" w:type="dxa"/>
            <w:tcBorders>
              <w:top w:val="nil"/>
              <w:left w:val="nil"/>
              <w:bottom w:val="nil"/>
              <w:right w:val="nil"/>
            </w:tcBorders>
            <w:shd w:val="clear" w:color="D9D9D9" w:fill="D9D9D9"/>
            <w:hideMark/>
          </w:tcPr>
          <w:p w14:paraId="3E4B1F75"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w:t>
            </w:r>
          </w:p>
        </w:tc>
        <w:tc>
          <w:tcPr>
            <w:tcW w:w="1680" w:type="dxa"/>
            <w:tcBorders>
              <w:top w:val="nil"/>
              <w:left w:val="nil"/>
              <w:bottom w:val="nil"/>
              <w:right w:val="nil"/>
            </w:tcBorders>
            <w:shd w:val="clear" w:color="D9D9D9" w:fill="D9D9D9"/>
            <w:vAlign w:val="center"/>
            <w:hideMark/>
          </w:tcPr>
          <w:p w14:paraId="630297E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(0.78-1.28)</w:t>
            </w:r>
          </w:p>
        </w:tc>
        <w:tc>
          <w:tcPr>
            <w:tcW w:w="1020" w:type="dxa"/>
            <w:tcBorders>
              <w:top w:val="nil"/>
              <w:left w:val="nil"/>
              <w:bottom w:val="nil"/>
              <w:right w:val="single" w:sz="4" w:space="0" w:color="auto"/>
            </w:tcBorders>
            <w:shd w:val="clear" w:color="D9D9D9" w:fill="D9D9D9"/>
            <w:hideMark/>
          </w:tcPr>
          <w:p w14:paraId="758B69C9"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w:t>
            </w:r>
          </w:p>
        </w:tc>
      </w:tr>
      <w:tr w:rsidR="00E30D79" w:rsidRPr="003F41E9" w14:paraId="544BF614" w14:textId="77777777" w:rsidTr="00C26C4B">
        <w:trPr>
          <w:trHeight w:val="260"/>
        </w:trPr>
        <w:tc>
          <w:tcPr>
            <w:tcW w:w="3440" w:type="dxa"/>
            <w:tcBorders>
              <w:top w:val="nil"/>
              <w:left w:val="single" w:sz="4" w:space="0" w:color="auto"/>
              <w:bottom w:val="nil"/>
              <w:right w:val="nil"/>
            </w:tcBorders>
            <w:shd w:val="clear" w:color="auto" w:fill="auto"/>
            <w:noWrap/>
            <w:hideMark/>
          </w:tcPr>
          <w:p w14:paraId="6F93222C" w14:textId="77777777" w:rsidR="00E30D79" w:rsidRPr="003F41E9" w:rsidRDefault="00E30D79" w:rsidP="00C26C4B">
            <w:pPr>
              <w:rPr>
                <w:rFonts w:ascii="Helvetica Neue" w:eastAsia="Times New Roman" w:hAnsi="Helvetica Neue"/>
                <w:b/>
                <w:bCs/>
                <w:color w:val="000000"/>
                <w:sz w:val="16"/>
                <w:szCs w:val="16"/>
                <w:lang w:val="en-US"/>
              </w:rPr>
            </w:pPr>
            <w:r w:rsidRPr="003F41E9">
              <w:rPr>
                <w:rFonts w:ascii="Helvetica Neue" w:eastAsia="Times New Roman" w:hAnsi="Helvetica Neue"/>
                <w:b/>
                <w:bCs/>
                <w:color w:val="000000"/>
                <w:sz w:val="16"/>
                <w:szCs w:val="16"/>
                <w:lang w:val="en-US"/>
              </w:rPr>
              <w:t xml:space="preserve">log-B-type natriuretic peptide </w:t>
            </w:r>
            <w:r w:rsidRPr="00194670">
              <w:rPr>
                <w:rFonts w:ascii="Helvetica Neue" w:eastAsia="Times New Roman" w:hAnsi="Helvetica Neue"/>
                <w:b/>
                <w:bCs/>
                <w:color w:val="000000"/>
                <w:sz w:val="16"/>
                <w:szCs w:val="16"/>
                <w:lang w:val="en-US"/>
              </w:rPr>
              <w:t>(ng/L)</w:t>
            </w:r>
          </w:p>
        </w:tc>
        <w:tc>
          <w:tcPr>
            <w:tcW w:w="620" w:type="dxa"/>
            <w:tcBorders>
              <w:top w:val="nil"/>
              <w:left w:val="nil"/>
              <w:bottom w:val="nil"/>
              <w:right w:val="nil"/>
            </w:tcBorders>
            <w:shd w:val="clear" w:color="auto" w:fill="auto"/>
            <w:hideMark/>
          </w:tcPr>
          <w:p w14:paraId="7A92DC3B"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w:t>
            </w:r>
          </w:p>
        </w:tc>
        <w:tc>
          <w:tcPr>
            <w:tcW w:w="1680" w:type="dxa"/>
            <w:tcBorders>
              <w:top w:val="nil"/>
              <w:left w:val="nil"/>
              <w:bottom w:val="nil"/>
              <w:right w:val="nil"/>
            </w:tcBorders>
            <w:shd w:val="clear" w:color="auto" w:fill="auto"/>
            <w:vAlign w:val="center"/>
            <w:hideMark/>
          </w:tcPr>
          <w:p w14:paraId="6F17C163"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(0.93-1.04)</w:t>
            </w:r>
          </w:p>
        </w:tc>
        <w:tc>
          <w:tcPr>
            <w:tcW w:w="1020" w:type="dxa"/>
            <w:tcBorders>
              <w:top w:val="nil"/>
              <w:left w:val="nil"/>
              <w:bottom w:val="nil"/>
              <w:right w:val="single" w:sz="4" w:space="0" w:color="auto"/>
            </w:tcBorders>
            <w:shd w:val="clear" w:color="auto" w:fill="auto"/>
            <w:hideMark/>
          </w:tcPr>
          <w:p w14:paraId="7D62D9D7"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0.59</w:t>
            </w:r>
          </w:p>
        </w:tc>
      </w:tr>
      <w:tr w:rsidR="00E30D79" w:rsidRPr="003F41E9" w14:paraId="38C159AA" w14:textId="77777777" w:rsidTr="00C26C4B">
        <w:trPr>
          <w:trHeight w:val="260"/>
        </w:trPr>
        <w:tc>
          <w:tcPr>
            <w:tcW w:w="3440" w:type="dxa"/>
            <w:tcBorders>
              <w:top w:val="nil"/>
              <w:left w:val="single" w:sz="4" w:space="0" w:color="auto"/>
              <w:bottom w:val="nil"/>
              <w:right w:val="nil"/>
            </w:tcBorders>
            <w:shd w:val="clear" w:color="D9D9D9" w:fill="D9D9D9"/>
            <w:hideMark/>
          </w:tcPr>
          <w:p w14:paraId="012C498B"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Hemoglobin</w:t>
            </w:r>
            <w:proofErr w:type="spellEnd"/>
            <w:r>
              <w:rPr>
                <w:rFonts w:ascii="Helvetica Neue" w:eastAsia="Times New Roman" w:hAnsi="Helvetica Neue"/>
                <w:b/>
                <w:bCs/>
                <w:color w:val="000000"/>
                <w:sz w:val="16"/>
                <w:szCs w:val="16"/>
              </w:rPr>
              <w:t xml:space="preserve"> </w:t>
            </w:r>
            <w:r w:rsidRPr="00194670">
              <w:rPr>
                <w:rFonts w:ascii="Helvetica Neue" w:eastAsia="Times New Roman" w:hAnsi="Helvetica Neue"/>
                <w:b/>
                <w:bCs/>
                <w:color w:val="000000"/>
                <w:sz w:val="16"/>
                <w:szCs w:val="16"/>
              </w:rPr>
              <w:t>(g/</w:t>
            </w:r>
            <w:proofErr w:type="spellStart"/>
            <w:r w:rsidRPr="00194670">
              <w:rPr>
                <w:rFonts w:ascii="Helvetica Neue" w:eastAsia="Times New Roman" w:hAnsi="Helvetica Neue"/>
                <w:b/>
                <w:bCs/>
                <w:color w:val="000000"/>
                <w:sz w:val="16"/>
                <w:szCs w:val="16"/>
              </w:rPr>
              <w:t>dL</w:t>
            </w:r>
            <w:proofErr w:type="spellEnd"/>
            <w:r w:rsidRPr="00194670">
              <w:rPr>
                <w:rFonts w:ascii="Helvetica Neue" w:eastAsia="Times New Roman" w:hAnsi="Helvetica Neue"/>
                <w:b/>
                <w:bCs/>
                <w:color w:val="000000"/>
                <w:sz w:val="16"/>
                <w:szCs w:val="16"/>
              </w:rPr>
              <w:t>)</w:t>
            </w:r>
          </w:p>
        </w:tc>
        <w:tc>
          <w:tcPr>
            <w:tcW w:w="620" w:type="dxa"/>
            <w:tcBorders>
              <w:top w:val="nil"/>
              <w:left w:val="nil"/>
              <w:bottom w:val="nil"/>
              <w:right w:val="nil"/>
            </w:tcBorders>
            <w:shd w:val="clear" w:color="D9D9D9" w:fill="D9D9D9"/>
            <w:hideMark/>
          </w:tcPr>
          <w:p w14:paraId="1B0DF8AB"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1.02</w:t>
            </w:r>
          </w:p>
        </w:tc>
        <w:tc>
          <w:tcPr>
            <w:tcW w:w="1680" w:type="dxa"/>
            <w:tcBorders>
              <w:top w:val="nil"/>
              <w:left w:val="nil"/>
              <w:bottom w:val="nil"/>
              <w:right w:val="nil"/>
            </w:tcBorders>
            <w:shd w:val="clear" w:color="D9D9D9" w:fill="D9D9D9"/>
            <w:vAlign w:val="center"/>
            <w:hideMark/>
          </w:tcPr>
          <w:p w14:paraId="0209812E"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(0.97-1.06)</w:t>
            </w:r>
          </w:p>
        </w:tc>
        <w:tc>
          <w:tcPr>
            <w:tcW w:w="1020" w:type="dxa"/>
            <w:tcBorders>
              <w:top w:val="nil"/>
              <w:left w:val="nil"/>
              <w:bottom w:val="nil"/>
              <w:right w:val="single" w:sz="4" w:space="0" w:color="auto"/>
            </w:tcBorders>
            <w:shd w:val="clear" w:color="D9D9D9" w:fill="D9D9D9"/>
            <w:hideMark/>
          </w:tcPr>
          <w:p w14:paraId="41AD8482"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0.46</w:t>
            </w:r>
          </w:p>
        </w:tc>
      </w:tr>
      <w:tr w:rsidR="00E30D79" w:rsidRPr="003F41E9" w14:paraId="56D63E02" w14:textId="77777777" w:rsidTr="00C26C4B">
        <w:trPr>
          <w:trHeight w:val="260"/>
        </w:trPr>
        <w:tc>
          <w:tcPr>
            <w:tcW w:w="3440" w:type="dxa"/>
            <w:tcBorders>
              <w:top w:val="nil"/>
              <w:left w:val="single" w:sz="4" w:space="0" w:color="auto"/>
              <w:bottom w:val="nil"/>
              <w:right w:val="nil"/>
            </w:tcBorders>
            <w:shd w:val="clear" w:color="auto" w:fill="auto"/>
            <w:noWrap/>
            <w:hideMark/>
          </w:tcPr>
          <w:p w14:paraId="6C99AD2A"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eGFR</w:t>
            </w:r>
            <w:proofErr w:type="spellEnd"/>
            <w:r w:rsidRPr="003F41E9">
              <w:rPr>
                <w:rFonts w:ascii="Helvetica Neue" w:eastAsia="Times New Roman" w:hAnsi="Helvetica Neue"/>
                <w:b/>
                <w:bCs/>
                <w:color w:val="000000"/>
                <w:sz w:val="16"/>
                <w:szCs w:val="16"/>
              </w:rPr>
              <w:t xml:space="preserve"> (ml/min/1.73m2)</w:t>
            </w:r>
          </w:p>
        </w:tc>
        <w:tc>
          <w:tcPr>
            <w:tcW w:w="620" w:type="dxa"/>
            <w:tcBorders>
              <w:top w:val="nil"/>
              <w:left w:val="nil"/>
              <w:bottom w:val="nil"/>
              <w:right w:val="nil"/>
            </w:tcBorders>
            <w:shd w:val="clear" w:color="auto" w:fill="auto"/>
            <w:hideMark/>
          </w:tcPr>
          <w:p w14:paraId="5E951F5D"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w:t>
            </w:r>
          </w:p>
        </w:tc>
        <w:tc>
          <w:tcPr>
            <w:tcW w:w="1680" w:type="dxa"/>
            <w:tcBorders>
              <w:top w:val="nil"/>
              <w:left w:val="nil"/>
              <w:bottom w:val="nil"/>
              <w:right w:val="nil"/>
            </w:tcBorders>
            <w:shd w:val="clear" w:color="auto" w:fill="auto"/>
            <w:vAlign w:val="center"/>
            <w:hideMark/>
          </w:tcPr>
          <w:p w14:paraId="19E11D69"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(0.99-1.00)</w:t>
            </w:r>
          </w:p>
        </w:tc>
        <w:tc>
          <w:tcPr>
            <w:tcW w:w="1020" w:type="dxa"/>
            <w:tcBorders>
              <w:top w:val="nil"/>
              <w:left w:val="nil"/>
              <w:bottom w:val="nil"/>
              <w:right w:val="single" w:sz="4" w:space="0" w:color="auto"/>
            </w:tcBorders>
            <w:shd w:val="clear" w:color="auto" w:fill="auto"/>
            <w:hideMark/>
          </w:tcPr>
          <w:p w14:paraId="6C320AD3"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0.056</w:t>
            </w:r>
          </w:p>
        </w:tc>
      </w:tr>
      <w:tr w:rsidR="00E30D79" w:rsidRPr="003F41E9" w14:paraId="10A69C8D" w14:textId="77777777" w:rsidTr="00C26C4B">
        <w:trPr>
          <w:trHeight w:val="260"/>
        </w:trPr>
        <w:tc>
          <w:tcPr>
            <w:tcW w:w="3440" w:type="dxa"/>
            <w:tcBorders>
              <w:top w:val="nil"/>
              <w:left w:val="single" w:sz="4" w:space="0" w:color="auto"/>
              <w:bottom w:val="nil"/>
              <w:right w:val="nil"/>
            </w:tcBorders>
            <w:shd w:val="clear" w:color="D9D9D9" w:fill="D9D9D9"/>
            <w:noWrap/>
            <w:hideMark/>
          </w:tcPr>
          <w:p w14:paraId="7415A838"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 xml:space="preserve">serum Creatinine </w:t>
            </w:r>
            <w:r>
              <w:rPr>
                <w:rFonts w:ascii="Helvetica Neue" w:eastAsia="Times New Roman" w:hAnsi="Helvetica Neue"/>
                <w:b/>
                <w:bCs/>
                <w:color w:val="000000"/>
                <w:sz w:val="16"/>
                <w:szCs w:val="16"/>
              </w:rPr>
              <w:sym w:font="Symbol" w:char="F06D"/>
            </w:r>
            <w:r w:rsidRPr="00194670">
              <w:rPr>
                <w:rFonts w:ascii="Helvetica Neue" w:eastAsia="Times New Roman" w:hAnsi="Helvetica Neue"/>
                <w:b/>
                <w:bCs/>
                <w:color w:val="000000"/>
                <w:sz w:val="16"/>
                <w:szCs w:val="16"/>
              </w:rPr>
              <w:t>mol/</w:t>
            </w:r>
            <w:r>
              <w:rPr>
                <w:rFonts w:ascii="Helvetica Neue" w:eastAsia="Times New Roman" w:hAnsi="Helvetica Neue"/>
                <w:b/>
                <w:bCs/>
                <w:color w:val="000000"/>
                <w:sz w:val="16"/>
                <w:szCs w:val="16"/>
              </w:rPr>
              <w:t>L</w:t>
            </w:r>
          </w:p>
        </w:tc>
        <w:tc>
          <w:tcPr>
            <w:tcW w:w="620" w:type="dxa"/>
            <w:tcBorders>
              <w:top w:val="nil"/>
              <w:left w:val="nil"/>
              <w:bottom w:val="nil"/>
              <w:right w:val="nil"/>
            </w:tcBorders>
            <w:shd w:val="clear" w:color="D9D9D9" w:fill="D9D9D9"/>
            <w:hideMark/>
          </w:tcPr>
          <w:p w14:paraId="7DE34FD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0.49</w:t>
            </w:r>
          </w:p>
        </w:tc>
        <w:tc>
          <w:tcPr>
            <w:tcW w:w="1680" w:type="dxa"/>
            <w:tcBorders>
              <w:top w:val="nil"/>
              <w:left w:val="nil"/>
              <w:bottom w:val="nil"/>
              <w:right w:val="nil"/>
            </w:tcBorders>
            <w:shd w:val="clear" w:color="D9D9D9" w:fill="D9D9D9"/>
            <w:vAlign w:val="center"/>
            <w:hideMark/>
          </w:tcPr>
          <w:p w14:paraId="147B1A11"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(0.29-0.83)</w:t>
            </w:r>
          </w:p>
        </w:tc>
        <w:tc>
          <w:tcPr>
            <w:tcW w:w="1020" w:type="dxa"/>
            <w:tcBorders>
              <w:top w:val="nil"/>
              <w:left w:val="nil"/>
              <w:bottom w:val="nil"/>
              <w:right w:val="single" w:sz="4" w:space="0" w:color="auto"/>
            </w:tcBorders>
            <w:shd w:val="clear" w:color="D9D9D9" w:fill="D9D9D9"/>
            <w:hideMark/>
          </w:tcPr>
          <w:p w14:paraId="51A3B6B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0.008</w:t>
            </w:r>
          </w:p>
        </w:tc>
      </w:tr>
      <w:tr w:rsidR="00E30D79" w:rsidRPr="003F41E9" w14:paraId="366FFBEE" w14:textId="77777777" w:rsidTr="00C26C4B">
        <w:trPr>
          <w:trHeight w:val="260"/>
        </w:trPr>
        <w:tc>
          <w:tcPr>
            <w:tcW w:w="3440" w:type="dxa"/>
            <w:tcBorders>
              <w:top w:val="nil"/>
              <w:left w:val="single" w:sz="4" w:space="0" w:color="auto"/>
              <w:bottom w:val="nil"/>
              <w:right w:val="nil"/>
            </w:tcBorders>
            <w:shd w:val="clear" w:color="auto" w:fill="auto"/>
            <w:noWrap/>
            <w:hideMark/>
          </w:tcPr>
          <w:p w14:paraId="62D0748F"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Sodium</w:t>
            </w:r>
            <w:proofErr w:type="spellEnd"/>
            <w:r>
              <w:rPr>
                <w:rFonts w:ascii="Helvetica Neue" w:eastAsia="Times New Roman" w:hAnsi="Helvetica Neue"/>
                <w:b/>
                <w:bCs/>
                <w:color w:val="000000"/>
                <w:sz w:val="16"/>
                <w:szCs w:val="16"/>
              </w:rPr>
              <w:t xml:space="preserve"> (</w:t>
            </w:r>
            <w:proofErr w:type="spellStart"/>
            <w:r>
              <w:rPr>
                <w:rFonts w:ascii="Helvetica Neue" w:eastAsia="Times New Roman" w:hAnsi="Helvetica Neue"/>
                <w:b/>
                <w:bCs/>
                <w:color w:val="000000"/>
                <w:sz w:val="16"/>
                <w:szCs w:val="16"/>
              </w:rPr>
              <w:t>mmol</w:t>
            </w:r>
            <w:proofErr w:type="spellEnd"/>
            <w:r>
              <w:rPr>
                <w:rFonts w:ascii="Helvetica Neue" w:eastAsia="Times New Roman" w:hAnsi="Helvetica Neue"/>
                <w:b/>
                <w:bCs/>
                <w:color w:val="000000"/>
                <w:sz w:val="16"/>
                <w:szCs w:val="16"/>
              </w:rPr>
              <w:t>/L)</w:t>
            </w:r>
          </w:p>
        </w:tc>
        <w:tc>
          <w:tcPr>
            <w:tcW w:w="620" w:type="dxa"/>
            <w:tcBorders>
              <w:top w:val="nil"/>
              <w:left w:val="nil"/>
              <w:bottom w:val="nil"/>
              <w:right w:val="nil"/>
            </w:tcBorders>
            <w:shd w:val="clear" w:color="auto" w:fill="auto"/>
            <w:hideMark/>
          </w:tcPr>
          <w:p w14:paraId="721479A6"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1.01</w:t>
            </w:r>
          </w:p>
        </w:tc>
        <w:tc>
          <w:tcPr>
            <w:tcW w:w="1680" w:type="dxa"/>
            <w:tcBorders>
              <w:top w:val="nil"/>
              <w:left w:val="nil"/>
              <w:bottom w:val="nil"/>
              <w:right w:val="nil"/>
            </w:tcBorders>
            <w:shd w:val="clear" w:color="auto" w:fill="auto"/>
            <w:vAlign w:val="center"/>
            <w:hideMark/>
          </w:tcPr>
          <w:p w14:paraId="168BBE22"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(0.99-1.04)</w:t>
            </w:r>
          </w:p>
        </w:tc>
        <w:tc>
          <w:tcPr>
            <w:tcW w:w="1020" w:type="dxa"/>
            <w:tcBorders>
              <w:top w:val="nil"/>
              <w:left w:val="nil"/>
              <w:bottom w:val="nil"/>
              <w:right w:val="single" w:sz="4" w:space="0" w:color="auto"/>
            </w:tcBorders>
            <w:shd w:val="clear" w:color="auto" w:fill="auto"/>
            <w:hideMark/>
          </w:tcPr>
          <w:p w14:paraId="0A09D654"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0.31</w:t>
            </w:r>
          </w:p>
        </w:tc>
      </w:tr>
      <w:tr w:rsidR="00E30D79" w:rsidRPr="003F41E9" w14:paraId="6EFD9B6D" w14:textId="77777777" w:rsidTr="00C26C4B">
        <w:trPr>
          <w:trHeight w:val="260"/>
        </w:trPr>
        <w:tc>
          <w:tcPr>
            <w:tcW w:w="3440" w:type="dxa"/>
            <w:tcBorders>
              <w:top w:val="nil"/>
              <w:left w:val="single" w:sz="4" w:space="0" w:color="auto"/>
              <w:bottom w:val="nil"/>
              <w:right w:val="nil"/>
            </w:tcBorders>
            <w:shd w:val="clear" w:color="D9D9D9" w:fill="D9D9D9"/>
            <w:noWrap/>
            <w:hideMark/>
          </w:tcPr>
          <w:p w14:paraId="0120A1C5" w14:textId="77777777" w:rsidR="00E30D79" w:rsidRPr="003F41E9" w:rsidRDefault="00E30D79" w:rsidP="00C26C4B">
            <w:pPr>
              <w:rPr>
                <w:rFonts w:ascii="Helvetica Neue" w:eastAsia="Times New Roman" w:hAnsi="Helvetica Neue"/>
                <w:b/>
                <w:bCs/>
                <w:color w:val="000000"/>
                <w:sz w:val="16"/>
                <w:szCs w:val="16"/>
              </w:rPr>
            </w:pPr>
            <w:proofErr w:type="spellStart"/>
            <w:r w:rsidRPr="003F41E9">
              <w:rPr>
                <w:rFonts w:ascii="Helvetica Neue" w:eastAsia="Times New Roman" w:hAnsi="Helvetica Neue"/>
                <w:b/>
                <w:bCs/>
                <w:color w:val="000000"/>
                <w:sz w:val="16"/>
                <w:szCs w:val="16"/>
              </w:rPr>
              <w:t>Potassium</w:t>
            </w:r>
            <w:proofErr w:type="spellEnd"/>
            <w:r>
              <w:rPr>
                <w:rFonts w:ascii="Helvetica Neue" w:eastAsia="Times New Roman" w:hAnsi="Helvetica Neue"/>
                <w:b/>
                <w:bCs/>
                <w:color w:val="000000"/>
                <w:sz w:val="16"/>
                <w:szCs w:val="16"/>
              </w:rPr>
              <w:t xml:space="preserve"> (</w:t>
            </w:r>
            <w:proofErr w:type="spellStart"/>
            <w:r>
              <w:rPr>
                <w:rFonts w:ascii="Helvetica Neue" w:eastAsia="Times New Roman" w:hAnsi="Helvetica Neue"/>
                <w:b/>
                <w:bCs/>
                <w:color w:val="000000"/>
                <w:sz w:val="16"/>
                <w:szCs w:val="16"/>
              </w:rPr>
              <w:t>mmol</w:t>
            </w:r>
            <w:proofErr w:type="spellEnd"/>
            <w:r>
              <w:rPr>
                <w:rFonts w:ascii="Helvetica Neue" w:eastAsia="Times New Roman" w:hAnsi="Helvetica Neue"/>
                <w:b/>
                <w:bCs/>
                <w:color w:val="000000"/>
                <w:sz w:val="16"/>
                <w:szCs w:val="16"/>
              </w:rPr>
              <w:t>/L)</w:t>
            </w:r>
          </w:p>
        </w:tc>
        <w:tc>
          <w:tcPr>
            <w:tcW w:w="620" w:type="dxa"/>
            <w:tcBorders>
              <w:top w:val="nil"/>
              <w:left w:val="nil"/>
              <w:bottom w:val="nil"/>
              <w:right w:val="nil"/>
            </w:tcBorders>
            <w:shd w:val="clear" w:color="D9D9D9" w:fill="D9D9D9"/>
            <w:hideMark/>
          </w:tcPr>
          <w:p w14:paraId="5BEAC0E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1.16</w:t>
            </w:r>
          </w:p>
        </w:tc>
        <w:tc>
          <w:tcPr>
            <w:tcW w:w="1680" w:type="dxa"/>
            <w:tcBorders>
              <w:top w:val="nil"/>
              <w:left w:val="nil"/>
              <w:bottom w:val="nil"/>
              <w:right w:val="nil"/>
            </w:tcBorders>
            <w:shd w:val="clear" w:color="D9D9D9" w:fill="D9D9D9"/>
            <w:vAlign w:val="center"/>
            <w:hideMark/>
          </w:tcPr>
          <w:p w14:paraId="57F762EA"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(1.01-1.34)</w:t>
            </w:r>
          </w:p>
        </w:tc>
        <w:tc>
          <w:tcPr>
            <w:tcW w:w="1020" w:type="dxa"/>
            <w:tcBorders>
              <w:top w:val="nil"/>
              <w:left w:val="nil"/>
              <w:bottom w:val="nil"/>
              <w:right w:val="single" w:sz="4" w:space="0" w:color="auto"/>
            </w:tcBorders>
            <w:shd w:val="clear" w:color="D9D9D9" w:fill="D9D9D9"/>
            <w:hideMark/>
          </w:tcPr>
          <w:p w14:paraId="489AA01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0.04</w:t>
            </w:r>
          </w:p>
        </w:tc>
      </w:tr>
      <w:tr w:rsidR="00E30D79" w:rsidRPr="003F41E9" w14:paraId="4464D9DD" w14:textId="77777777" w:rsidTr="00C26C4B">
        <w:trPr>
          <w:trHeight w:val="260"/>
        </w:trPr>
        <w:tc>
          <w:tcPr>
            <w:tcW w:w="3440" w:type="dxa"/>
            <w:tcBorders>
              <w:top w:val="nil"/>
              <w:left w:val="single" w:sz="4" w:space="0" w:color="auto"/>
              <w:bottom w:val="nil"/>
              <w:right w:val="nil"/>
            </w:tcBorders>
            <w:shd w:val="clear" w:color="auto" w:fill="auto"/>
            <w:noWrap/>
            <w:hideMark/>
          </w:tcPr>
          <w:p w14:paraId="1240A075" w14:textId="77777777" w:rsidR="00E30D79" w:rsidRPr="003F41E9" w:rsidRDefault="00E30D79" w:rsidP="00C26C4B">
            <w:pPr>
              <w:rPr>
                <w:rFonts w:ascii="Helvetica Neue" w:eastAsia="Times New Roman" w:hAnsi="Helvetica Neue"/>
                <w:b/>
                <w:bCs/>
                <w:color w:val="000000"/>
                <w:sz w:val="16"/>
                <w:szCs w:val="16"/>
              </w:rPr>
            </w:pPr>
            <w:r w:rsidRPr="003F41E9">
              <w:rPr>
                <w:rFonts w:ascii="Helvetica Neue" w:eastAsia="Times New Roman" w:hAnsi="Helvetica Neue"/>
                <w:b/>
                <w:bCs/>
                <w:color w:val="000000"/>
                <w:sz w:val="16"/>
                <w:szCs w:val="16"/>
              </w:rPr>
              <w:t xml:space="preserve">Blood </w:t>
            </w:r>
            <w:proofErr w:type="spellStart"/>
            <w:r w:rsidRPr="003F41E9">
              <w:rPr>
                <w:rFonts w:ascii="Helvetica Neue" w:eastAsia="Times New Roman" w:hAnsi="Helvetica Neue"/>
                <w:b/>
                <w:bCs/>
                <w:color w:val="000000"/>
                <w:sz w:val="16"/>
                <w:szCs w:val="16"/>
              </w:rPr>
              <w:t>Urea</w:t>
            </w:r>
            <w:proofErr w:type="spellEnd"/>
            <w:r w:rsidRPr="003F41E9">
              <w:rPr>
                <w:rFonts w:ascii="Helvetica Neue" w:eastAsia="Times New Roman" w:hAnsi="Helvetica Neue"/>
                <w:b/>
                <w:bCs/>
                <w:color w:val="000000"/>
                <w:sz w:val="16"/>
                <w:szCs w:val="16"/>
              </w:rPr>
              <w:t xml:space="preserve"> </w:t>
            </w:r>
            <w:proofErr w:type="spellStart"/>
            <w:r w:rsidRPr="003F41E9">
              <w:rPr>
                <w:rFonts w:ascii="Helvetica Neue" w:eastAsia="Times New Roman" w:hAnsi="Helvetica Neue"/>
                <w:b/>
                <w:bCs/>
                <w:color w:val="000000"/>
                <w:sz w:val="16"/>
                <w:szCs w:val="16"/>
              </w:rPr>
              <w:t>Nitrogen</w:t>
            </w:r>
            <w:proofErr w:type="spellEnd"/>
            <w:r>
              <w:rPr>
                <w:rFonts w:ascii="Helvetica Neue" w:eastAsia="Times New Roman" w:hAnsi="Helvetica Neue"/>
                <w:b/>
                <w:bCs/>
                <w:color w:val="000000"/>
                <w:sz w:val="16"/>
                <w:szCs w:val="16"/>
              </w:rPr>
              <w:t xml:space="preserve"> (</w:t>
            </w:r>
            <w:proofErr w:type="spellStart"/>
            <w:r>
              <w:rPr>
                <w:rFonts w:ascii="Helvetica Neue" w:eastAsia="Times New Roman" w:hAnsi="Helvetica Neue"/>
                <w:b/>
                <w:bCs/>
                <w:color w:val="000000"/>
                <w:sz w:val="16"/>
                <w:szCs w:val="16"/>
              </w:rPr>
              <w:t>mmol</w:t>
            </w:r>
            <w:proofErr w:type="spellEnd"/>
            <w:r>
              <w:rPr>
                <w:rFonts w:ascii="Helvetica Neue" w:eastAsia="Times New Roman" w:hAnsi="Helvetica Neue"/>
                <w:b/>
                <w:bCs/>
                <w:color w:val="000000"/>
                <w:sz w:val="16"/>
                <w:szCs w:val="16"/>
              </w:rPr>
              <w:t>/L)</w:t>
            </w:r>
          </w:p>
        </w:tc>
        <w:tc>
          <w:tcPr>
            <w:tcW w:w="620" w:type="dxa"/>
            <w:tcBorders>
              <w:top w:val="nil"/>
              <w:left w:val="nil"/>
              <w:bottom w:val="nil"/>
              <w:right w:val="nil"/>
            </w:tcBorders>
            <w:shd w:val="clear" w:color="auto" w:fill="auto"/>
            <w:hideMark/>
          </w:tcPr>
          <w:p w14:paraId="545865B8"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1.00</w:t>
            </w:r>
          </w:p>
        </w:tc>
        <w:tc>
          <w:tcPr>
            <w:tcW w:w="1680" w:type="dxa"/>
            <w:tcBorders>
              <w:top w:val="nil"/>
              <w:left w:val="nil"/>
              <w:bottom w:val="nil"/>
              <w:right w:val="nil"/>
            </w:tcBorders>
            <w:shd w:val="clear" w:color="auto" w:fill="auto"/>
            <w:vAlign w:val="center"/>
            <w:hideMark/>
          </w:tcPr>
          <w:p w14:paraId="5E432D0B"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(0.98-1.01)</w:t>
            </w:r>
          </w:p>
        </w:tc>
        <w:tc>
          <w:tcPr>
            <w:tcW w:w="1020" w:type="dxa"/>
            <w:tcBorders>
              <w:top w:val="nil"/>
              <w:left w:val="nil"/>
              <w:bottom w:val="nil"/>
              <w:right w:val="single" w:sz="4" w:space="0" w:color="auto"/>
            </w:tcBorders>
            <w:shd w:val="clear" w:color="auto" w:fill="auto"/>
            <w:hideMark/>
          </w:tcPr>
          <w:p w14:paraId="5223D9BC"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0.71</w:t>
            </w:r>
          </w:p>
        </w:tc>
      </w:tr>
      <w:tr w:rsidR="00E30D79" w:rsidRPr="003F41E9" w14:paraId="45A81700" w14:textId="77777777" w:rsidTr="00C26C4B">
        <w:trPr>
          <w:trHeight w:val="260"/>
        </w:trPr>
        <w:tc>
          <w:tcPr>
            <w:tcW w:w="3440" w:type="dxa"/>
            <w:tcBorders>
              <w:top w:val="nil"/>
              <w:left w:val="single" w:sz="4" w:space="0" w:color="auto"/>
              <w:bottom w:val="single" w:sz="4" w:space="0" w:color="auto"/>
              <w:right w:val="nil"/>
            </w:tcBorders>
            <w:shd w:val="clear" w:color="D9D9D9" w:fill="D9D9D9"/>
            <w:noWrap/>
            <w:hideMark/>
          </w:tcPr>
          <w:p w14:paraId="6C06C195" w14:textId="77777777" w:rsidR="00E30D79" w:rsidRPr="00194670" w:rsidRDefault="00E30D79" w:rsidP="00C26C4B">
            <w:pPr>
              <w:rPr>
                <w:rFonts w:ascii="Helvetica Neue" w:eastAsia="Times New Roman" w:hAnsi="Helvetica Neue"/>
                <w:b/>
                <w:bCs/>
                <w:color w:val="000000"/>
                <w:sz w:val="16"/>
                <w:szCs w:val="16"/>
                <w:lang w:val="en-US"/>
              </w:rPr>
            </w:pPr>
            <w:r w:rsidRPr="003F41E9">
              <w:rPr>
                <w:rFonts w:ascii="Helvetica Neue" w:eastAsia="Times New Roman" w:hAnsi="Helvetica Neue"/>
                <w:b/>
                <w:bCs/>
                <w:color w:val="000000"/>
                <w:sz w:val="16"/>
                <w:szCs w:val="16"/>
                <w:lang w:val="en-US"/>
              </w:rPr>
              <w:t>log-N-terminal-pro-BNP</w:t>
            </w:r>
            <w:r>
              <w:rPr>
                <w:rFonts w:ascii="Helvetica Neue" w:eastAsia="Times New Roman" w:hAnsi="Helvetica Neue"/>
                <w:b/>
                <w:bCs/>
                <w:color w:val="000000"/>
                <w:sz w:val="16"/>
                <w:szCs w:val="16"/>
                <w:lang w:val="en-US"/>
              </w:rPr>
              <w:t xml:space="preserve"> </w:t>
            </w:r>
            <w:r w:rsidRPr="00194670">
              <w:rPr>
                <w:rFonts w:ascii="Helvetica Neue" w:eastAsia="Times New Roman" w:hAnsi="Helvetica Neue"/>
                <w:b/>
                <w:bCs/>
                <w:color w:val="000000"/>
                <w:sz w:val="16"/>
                <w:szCs w:val="16"/>
                <w:lang w:val="en-US"/>
              </w:rPr>
              <w:t>(ng/L)</w:t>
            </w:r>
          </w:p>
        </w:tc>
        <w:tc>
          <w:tcPr>
            <w:tcW w:w="620" w:type="dxa"/>
            <w:tcBorders>
              <w:top w:val="nil"/>
              <w:left w:val="nil"/>
              <w:bottom w:val="single" w:sz="4" w:space="0" w:color="auto"/>
              <w:right w:val="nil"/>
            </w:tcBorders>
            <w:shd w:val="clear" w:color="D9D9D9" w:fill="D9D9D9"/>
            <w:hideMark/>
          </w:tcPr>
          <w:p w14:paraId="5A3D6A36"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0.96</w:t>
            </w:r>
          </w:p>
        </w:tc>
        <w:tc>
          <w:tcPr>
            <w:tcW w:w="1680" w:type="dxa"/>
            <w:tcBorders>
              <w:top w:val="nil"/>
              <w:left w:val="nil"/>
              <w:bottom w:val="single" w:sz="4" w:space="0" w:color="auto"/>
              <w:right w:val="nil"/>
            </w:tcBorders>
            <w:shd w:val="clear" w:color="D9D9D9" w:fill="D9D9D9"/>
            <w:vAlign w:val="center"/>
            <w:hideMark/>
          </w:tcPr>
          <w:p w14:paraId="012087D7" w14:textId="77777777" w:rsidR="00E30D79" w:rsidRPr="003F41E9" w:rsidRDefault="00E30D79" w:rsidP="00C26C4B">
            <w:pPr>
              <w:jc w:val="center"/>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(0.89-1.03)</w:t>
            </w:r>
          </w:p>
        </w:tc>
        <w:tc>
          <w:tcPr>
            <w:tcW w:w="1020" w:type="dxa"/>
            <w:tcBorders>
              <w:top w:val="nil"/>
              <w:left w:val="nil"/>
              <w:bottom w:val="single" w:sz="4" w:space="0" w:color="auto"/>
              <w:right w:val="single" w:sz="4" w:space="0" w:color="auto"/>
            </w:tcBorders>
            <w:shd w:val="clear" w:color="D9D9D9" w:fill="D9D9D9"/>
            <w:hideMark/>
          </w:tcPr>
          <w:p w14:paraId="5807FDFF" w14:textId="77777777" w:rsidR="00E30D79" w:rsidRPr="003F41E9" w:rsidRDefault="00E30D79" w:rsidP="00C26C4B">
            <w:pPr>
              <w:jc w:val="right"/>
              <w:rPr>
                <w:rFonts w:ascii="Helvetica Neue" w:eastAsia="Times New Roman" w:hAnsi="Helvetica Neue"/>
                <w:color w:val="000000"/>
                <w:sz w:val="16"/>
                <w:szCs w:val="16"/>
              </w:rPr>
            </w:pPr>
            <w:r w:rsidRPr="003F41E9">
              <w:rPr>
                <w:rFonts w:ascii="Helvetica Neue" w:eastAsia="Times New Roman" w:hAnsi="Helvetica Neue"/>
                <w:color w:val="000000"/>
                <w:sz w:val="16"/>
                <w:szCs w:val="16"/>
              </w:rPr>
              <w:t>0.23</w:t>
            </w:r>
          </w:p>
        </w:tc>
      </w:tr>
    </w:tbl>
    <w:p w14:paraId="5C872780" w14:textId="77777777" w:rsidR="00E30D79" w:rsidRDefault="00E30D79" w:rsidP="00E30D79">
      <w:pPr>
        <w:rPr>
          <w:b/>
          <w:bCs/>
          <w:lang w:val="en-US"/>
        </w:rPr>
      </w:pPr>
    </w:p>
    <w:p w14:paraId="480344CC" w14:textId="77777777" w:rsidR="00E30D79" w:rsidRDefault="00E30D79" w:rsidP="00E30D79">
      <w:pPr>
        <w:rPr>
          <w:b/>
          <w:bCs/>
          <w:lang w:val="en-US"/>
        </w:rPr>
        <w:sectPr w:rsidR="00E30D79" w:rsidSect="001609AE">
          <w:pgSz w:w="16840" w:h="11900" w:orient="landscape"/>
          <w:pgMar w:top="1417" w:right="1417" w:bottom="1417" w:left="1417" w:header="708" w:footer="708" w:gutter="0"/>
          <w:cols w:space="708"/>
          <w:docGrid w:linePitch="360"/>
        </w:sectPr>
      </w:pPr>
    </w:p>
    <w:p w14:paraId="40732425" w14:textId="77777777" w:rsidR="00E30D79" w:rsidRDefault="00E30D79" w:rsidP="00E30D79">
      <w:pPr>
        <w:rPr>
          <w:rFonts w:ascii="Calibri" w:eastAsia="Times New Roman" w:hAnsi="Calibri"/>
          <w:b/>
          <w:bCs/>
          <w:color w:val="000000"/>
          <w:lang w:val="en-US"/>
        </w:rPr>
      </w:pPr>
      <w:r>
        <w:rPr>
          <w:b/>
          <w:bCs/>
          <w:lang w:val="en-US"/>
        </w:rPr>
        <w:lastRenderedPageBreak/>
        <w:t xml:space="preserve">Table S5: </w:t>
      </w:r>
      <w:r w:rsidRPr="00DD3CC5">
        <w:rPr>
          <w:b/>
          <w:bCs/>
          <w:lang w:val="en-US"/>
        </w:rPr>
        <w:t xml:space="preserve">Hazard ratio </w:t>
      </w:r>
      <w:r>
        <w:rPr>
          <w:b/>
          <w:bCs/>
          <w:lang w:val="en-US"/>
        </w:rPr>
        <w:t>(</w:t>
      </w:r>
      <w:r w:rsidRPr="00DD3CC5">
        <w:rPr>
          <w:b/>
          <w:bCs/>
          <w:lang w:val="en-US"/>
        </w:rPr>
        <w:t>95% confidence interval</w:t>
      </w:r>
      <w:r>
        <w:rPr>
          <w:b/>
          <w:bCs/>
          <w:lang w:val="en-US"/>
        </w:rPr>
        <w:t>)</w:t>
      </w:r>
      <w:r w:rsidRPr="00DD3CC5">
        <w:rPr>
          <w:b/>
          <w:bCs/>
          <w:lang w:val="en-US"/>
        </w:rPr>
        <w:t xml:space="preserve"> </w:t>
      </w:r>
      <w:r>
        <w:rPr>
          <w:b/>
          <w:bCs/>
          <w:lang w:val="en-US"/>
        </w:rPr>
        <w:t xml:space="preserve">of </w:t>
      </w:r>
      <w:r w:rsidRPr="00DD3CC5">
        <w:rPr>
          <w:b/>
          <w:bCs/>
          <w:lang w:val="en-US"/>
        </w:rPr>
        <w:t xml:space="preserve">patients achieving specific target dose for </w:t>
      </w:r>
      <w:r w:rsidRPr="00DD3CC5">
        <w:rPr>
          <w:rFonts w:ascii="Calibri" w:eastAsia="Times New Roman" w:hAnsi="Calibri"/>
          <w:b/>
          <w:bCs/>
          <w:color w:val="000000"/>
          <w:lang w:val="en-US"/>
        </w:rPr>
        <w:t>Mortality or HF-hospitalization</w:t>
      </w:r>
      <w:r>
        <w:rPr>
          <w:rFonts w:ascii="Calibri" w:eastAsia="Times New Roman" w:hAnsi="Calibri"/>
          <w:b/>
          <w:bCs/>
          <w:color w:val="000000"/>
          <w:lang w:val="en-US"/>
        </w:rPr>
        <w:t xml:space="preserve">, </w:t>
      </w:r>
      <w:r w:rsidRPr="00DD3CC5">
        <w:rPr>
          <w:rFonts w:ascii="Calibri" w:eastAsia="Times New Roman" w:hAnsi="Calibri"/>
          <w:b/>
          <w:bCs/>
          <w:color w:val="000000"/>
          <w:lang w:val="en-US"/>
        </w:rPr>
        <w:t xml:space="preserve">Mortality </w:t>
      </w:r>
      <w:r>
        <w:rPr>
          <w:rFonts w:ascii="Calibri" w:eastAsia="Times New Roman" w:hAnsi="Calibri"/>
          <w:b/>
          <w:bCs/>
          <w:color w:val="000000"/>
          <w:lang w:val="en-US"/>
        </w:rPr>
        <w:t xml:space="preserve">and </w:t>
      </w:r>
      <w:r w:rsidRPr="00DD3CC5">
        <w:rPr>
          <w:rFonts w:ascii="Calibri" w:eastAsia="Times New Roman" w:hAnsi="Calibri"/>
          <w:b/>
          <w:bCs/>
          <w:color w:val="000000"/>
          <w:lang w:val="en-US"/>
        </w:rPr>
        <w:t>HF-hospitalization</w:t>
      </w:r>
      <w:r>
        <w:rPr>
          <w:rFonts w:ascii="Calibri" w:eastAsia="Times New Roman" w:hAnsi="Calibri"/>
          <w:b/>
          <w:bCs/>
          <w:color w:val="000000"/>
          <w:lang w:val="en-US"/>
        </w:rPr>
        <w:t xml:space="preserve"> stratified by sex.</w:t>
      </w:r>
    </w:p>
    <w:p w14:paraId="1C3E77B6" w14:textId="77777777" w:rsidR="00E30D79" w:rsidRDefault="00E30D79" w:rsidP="00E30D79">
      <w:pPr>
        <w:rPr>
          <w:b/>
          <w:bCs/>
          <w:lang w:val="en-US"/>
        </w:rPr>
      </w:pPr>
    </w:p>
    <w:tbl>
      <w:tblPr>
        <w:tblW w:w="9706" w:type="dxa"/>
        <w:tblInd w:w="-147" w:type="dxa"/>
        <w:tblLayout w:type="fixed"/>
        <w:tblCellMar>
          <w:left w:w="70" w:type="dxa"/>
          <w:right w:w="70" w:type="dxa"/>
        </w:tblCellMar>
        <w:tblLook w:val="04A0" w:firstRow="1" w:lastRow="0" w:firstColumn="1" w:lastColumn="0" w:noHBand="0" w:noVBand="1"/>
      </w:tblPr>
      <w:tblGrid>
        <w:gridCol w:w="1660"/>
        <w:gridCol w:w="1833"/>
        <w:gridCol w:w="2460"/>
        <w:gridCol w:w="1915"/>
        <w:gridCol w:w="1838"/>
      </w:tblGrid>
      <w:tr w:rsidR="00E30D79" w:rsidRPr="0093460E" w14:paraId="433B45C0" w14:textId="77777777" w:rsidTr="00C26C4B">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338C"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MEN</w:t>
            </w:r>
          </w:p>
        </w:tc>
        <w:tc>
          <w:tcPr>
            <w:tcW w:w="8046" w:type="dxa"/>
            <w:gridSpan w:val="4"/>
            <w:tcBorders>
              <w:top w:val="single" w:sz="4" w:space="0" w:color="auto"/>
              <w:left w:val="nil"/>
              <w:bottom w:val="nil"/>
              <w:right w:val="single" w:sz="4" w:space="0" w:color="000000"/>
            </w:tcBorders>
            <w:shd w:val="clear" w:color="auto" w:fill="auto"/>
            <w:noWrap/>
            <w:vAlign w:val="bottom"/>
            <w:hideMark/>
          </w:tcPr>
          <w:p w14:paraId="7B5D3EB3" w14:textId="77777777" w:rsidR="00E30D79" w:rsidRPr="0093460E" w:rsidRDefault="00E30D79" w:rsidP="00C26C4B">
            <w:pPr>
              <w:jc w:val="center"/>
              <w:rPr>
                <w:rFonts w:ascii="Calibri" w:eastAsia="Times New Roman" w:hAnsi="Calibri" w:cs="Calibri"/>
                <w:b/>
                <w:bCs/>
                <w:color w:val="000000"/>
                <w:sz w:val="16"/>
                <w:szCs w:val="16"/>
                <w:lang w:val="en-US"/>
              </w:rPr>
            </w:pPr>
            <w:r w:rsidRPr="0093460E">
              <w:rPr>
                <w:rFonts w:ascii="Calibri" w:eastAsia="Times New Roman" w:hAnsi="Calibri" w:cs="Calibri"/>
                <w:b/>
                <w:bCs/>
                <w:color w:val="000000"/>
                <w:sz w:val="16"/>
                <w:szCs w:val="16"/>
                <w:lang w:val="en-US"/>
              </w:rPr>
              <w:t>Mortality or HF-hospitalization</w:t>
            </w:r>
          </w:p>
        </w:tc>
      </w:tr>
      <w:tr w:rsidR="00E30D79" w:rsidRPr="0093460E" w14:paraId="1C18C9D5" w14:textId="77777777" w:rsidTr="00C26C4B">
        <w:trPr>
          <w:trHeight w:val="24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53EF9FCE" w14:textId="77777777" w:rsidR="00E30D79" w:rsidRPr="0093460E" w:rsidRDefault="00E30D79" w:rsidP="00C26C4B">
            <w:pPr>
              <w:rPr>
                <w:rFonts w:ascii="Calibri" w:eastAsia="Times New Roman" w:hAnsi="Calibri" w:cs="Calibri"/>
                <w:b/>
                <w:bCs/>
                <w:color w:val="000000"/>
                <w:sz w:val="16"/>
                <w:szCs w:val="16"/>
                <w:lang w:val="en-US"/>
              </w:rPr>
            </w:pPr>
            <w:r w:rsidRPr="0093460E">
              <w:rPr>
                <w:rFonts w:ascii="Calibri" w:eastAsia="Times New Roman" w:hAnsi="Calibri" w:cs="Calibri"/>
                <w:b/>
                <w:bCs/>
                <w:color w:val="000000"/>
                <w:sz w:val="16"/>
                <w:szCs w:val="16"/>
                <w:lang w:val="en-US"/>
              </w:rPr>
              <w:t> </w:t>
            </w:r>
          </w:p>
        </w:tc>
        <w:tc>
          <w:tcPr>
            <w:tcW w:w="1833" w:type="dxa"/>
            <w:tcBorders>
              <w:top w:val="nil"/>
              <w:left w:val="nil"/>
              <w:bottom w:val="nil"/>
              <w:right w:val="nil"/>
            </w:tcBorders>
            <w:shd w:val="clear" w:color="auto" w:fill="auto"/>
            <w:noWrap/>
            <w:vAlign w:val="bottom"/>
            <w:hideMark/>
          </w:tcPr>
          <w:p w14:paraId="2AD27F7F"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0% BB</w:t>
            </w:r>
          </w:p>
        </w:tc>
        <w:tc>
          <w:tcPr>
            <w:tcW w:w="2460" w:type="dxa"/>
            <w:tcBorders>
              <w:top w:val="nil"/>
              <w:left w:val="nil"/>
              <w:bottom w:val="nil"/>
              <w:right w:val="nil"/>
            </w:tcBorders>
            <w:shd w:val="clear" w:color="auto" w:fill="auto"/>
            <w:noWrap/>
            <w:vAlign w:val="bottom"/>
            <w:hideMark/>
          </w:tcPr>
          <w:p w14:paraId="687206EC"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1-49% BB</w:t>
            </w:r>
          </w:p>
        </w:tc>
        <w:tc>
          <w:tcPr>
            <w:tcW w:w="1915" w:type="dxa"/>
            <w:tcBorders>
              <w:top w:val="nil"/>
              <w:left w:val="nil"/>
              <w:bottom w:val="nil"/>
              <w:right w:val="nil"/>
            </w:tcBorders>
            <w:shd w:val="clear" w:color="auto" w:fill="auto"/>
            <w:noWrap/>
            <w:vAlign w:val="bottom"/>
            <w:hideMark/>
          </w:tcPr>
          <w:p w14:paraId="7980792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50-99% BB</w:t>
            </w:r>
          </w:p>
        </w:tc>
        <w:tc>
          <w:tcPr>
            <w:tcW w:w="1838" w:type="dxa"/>
            <w:tcBorders>
              <w:top w:val="nil"/>
              <w:left w:val="nil"/>
              <w:bottom w:val="nil"/>
              <w:right w:val="single" w:sz="4" w:space="0" w:color="auto"/>
            </w:tcBorders>
            <w:shd w:val="clear" w:color="auto" w:fill="auto"/>
            <w:noWrap/>
            <w:vAlign w:val="bottom"/>
            <w:hideMark/>
          </w:tcPr>
          <w:p w14:paraId="50B3C852"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100% BB</w:t>
            </w:r>
          </w:p>
        </w:tc>
      </w:tr>
      <w:tr w:rsidR="00E30D79" w:rsidRPr="0093460E" w14:paraId="0DF7715C" w14:textId="77777777" w:rsidTr="00C26C4B">
        <w:trPr>
          <w:trHeight w:val="240"/>
        </w:trPr>
        <w:tc>
          <w:tcPr>
            <w:tcW w:w="1660" w:type="dxa"/>
            <w:tcBorders>
              <w:top w:val="nil"/>
              <w:left w:val="single" w:sz="4" w:space="0" w:color="auto"/>
              <w:bottom w:val="nil"/>
              <w:right w:val="single" w:sz="4" w:space="0" w:color="auto"/>
            </w:tcBorders>
            <w:shd w:val="clear" w:color="000000" w:fill="D9D9D9"/>
            <w:noWrap/>
            <w:vAlign w:val="bottom"/>
            <w:hideMark/>
          </w:tcPr>
          <w:p w14:paraId="7E03B443"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000000" w:fill="D9D9D9"/>
            <w:noWrap/>
            <w:vAlign w:val="bottom"/>
            <w:hideMark/>
          </w:tcPr>
          <w:p w14:paraId="6F275DE8"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w:t>
            </w:r>
          </w:p>
        </w:tc>
        <w:tc>
          <w:tcPr>
            <w:tcW w:w="2460" w:type="dxa"/>
            <w:tcBorders>
              <w:top w:val="nil"/>
              <w:left w:val="nil"/>
              <w:bottom w:val="nil"/>
              <w:right w:val="nil"/>
            </w:tcBorders>
            <w:shd w:val="clear" w:color="000000" w:fill="D9D9D9"/>
            <w:noWrap/>
            <w:vAlign w:val="bottom"/>
            <w:hideMark/>
          </w:tcPr>
          <w:p w14:paraId="544A78F4"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0.94 (0.77-1.15; 0.5</w:t>
            </w:r>
            <w:r>
              <w:rPr>
                <w:rFonts w:ascii="Calibri" w:hAnsi="Calibri" w:cs="Calibri"/>
                <w:color w:val="000000"/>
                <w:sz w:val="16"/>
                <w:szCs w:val="16"/>
              </w:rPr>
              <w:t>5</w:t>
            </w:r>
            <w:r w:rsidRPr="0093460E">
              <w:rPr>
                <w:rFonts w:ascii="Calibri" w:hAnsi="Calibri" w:cs="Calibri"/>
                <w:color w:val="000000"/>
                <w:sz w:val="16"/>
                <w:szCs w:val="16"/>
              </w:rPr>
              <w:t>)</w:t>
            </w:r>
          </w:p>
        </w:tc>
        <w:tc>
          <w:tcPr>
            <w:tcW w:w="1915" w:type="dxa"/>
            <w:tcBorders>
              <w:top w:val="nil"/>
              <w:left w:val="nil"/>
              <w:bottom w:val="nil"/>
              <w:right w:val="nil"/>
            </w:tcBorders>
            <w:shd w:val="clear" w:color="000000" w:fill="D9D9D9"/>
            <w:noWrap/>
            <w:vAlign w:val="bottom"/>
            <w:hideMark/>
          </w:tcPr>
          <w:p w14:paraId="480F033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0.87 (0.67-1.14; 0.3</w:t>
            </w:r>
            <w:r>
              <w:rPr>
                <w:rFonts w:ascii="Calibri" w:hAnsi="Calibri" w:cs="Calibri"/>
                <w:color w:val="000000"/>
                <w:sz w:val="16"/>
                <w:szCs w:val="16"/>
              </w:rPr>
              <w:t>2</w:t>
            </w:r>
            <w:r w:rsidRPr="0093460E">
              <w:rPr>
                <w:rFonts w:ascii="Calibri" w:hAnsi="Calibri" w:cs="Calibri"/>
                <w:color w:val="000000"/>
                <w:sz w:val="16"/>
                <w:szCs w:val="16"/>
              </w:rPr>
              <w:t>)</w:t>
            </w:r>
          </w:p>
        </w:tc>
        <w:tc>
          <w:tcPr>
            <w:tcW w:w="1838" w:type="dxa"/>
            <w:tcBorders>
              <w:top w:val="nil"/>
              <w:left w:val="nil"/>
              <w:bottom w:val="nil"/>
              <w:right w:val="single" w:sz="4" w:space="0" w:color="auto"/>
            </w:tcBorders>
            <w:shd w:val="clear" w:color="000000" w:fill="D9D9D9"/>
            <w:noWrap/>
            <w:vAlign w:val="bottom"/>
            <w:hideMark/>
          </w:tcPr>
          <w:p w14:paraId="02FBB911"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w:t>
            </w:r>
            <w:r>
              <w:rPr>
                <w:rFonts w:ascii="Calibri" w:hAnsi="Calibri" w:cs="Calibri"/>
                <w:color w:val="000000"/>
                <w:sz w:val="16"/>
                <w:szCs w:val="16"/>
              </w:rPr>
              <w:t>0</w:t>
            </w:r>
            <w:r w:rsidRPr="0093460E">
              <w:rPr>
                <w:rFonts w:ascii="Calibri" w:hAnsi="Calibri" w:cs="Calibri"/>
                <w:color w:val="000000"/>
                <w:sz w:val="16"/>
                <w:szCs w:val="16"/>
              </w:rPr>
              <w:t xml:space="preserve"> (0.41-0.88; 0.0</w:t>
            </w:r>
            <w:r>
              <w:rPr>
                <w:rFonts w:ascii="Calibri" w:hAnsi="Calibri" w:cs="Calibri"/>
                <w:color w:val="000000"/>
                <w:sz w:val="16"/>
                <w:szCs w:val="16"/>
              </w:rPr>
              <w:t>1</w:t>
            </w:r>
            <w:r w:rsidRPr="0093460E">
              <w:rPr>
                <w:rFonts w:ascii="Calibri" w:hAnsi="Calibri" w:cs="Calibri"/>
                <w:color w:val="000000"/>
                <w:sz w:val="16"/>
                <w:szCs w:val="16"/>
              </w:rPr>
              <w:t>)</w:t>
            </w:r>
          </w:p>
        </w:tc>
      </w:tr>
      <w:tr w:rsidR="00E30D79" w:rsidRPr="0093460E" w14:paraId="11D95C0B"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hideMark/>
          </w:tcPr>
          <w:p w14:paraId="68C48208"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auto"/>
            <w:noWrap/>
            <w:vAlign w:val="bottom"/>
            <w:hideMark/>
          </w:tcPr>
          <w:p w14:paraId="55BD52CF"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0.89 (0.71-1.13; 0.35)</w:t>
            </w:r>
          </w:p>
        </w:tc>
        <w:tc>
          <w:tcPr>
            <w:tcW w:w="2460" w:type="dxa"/>
            <w:tcBorders>
              <w:top w:val="nil"/>
              <w:left w:val="nil"/>
              <w:bottom w:val="nil"/>
              <w:right w:val="nil"/>
            </w:tcBorders>
            <w:shd w:val="clear" w:color="auto" w:fill="auto"/>
            <w:noWrap/>
            <w:vAlign w:val="bottom"/>
            <w:hideMark/>
          </w:tcPr>
          <w:p w14:paraId="5B1EAA3C"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0.74 (0.62-0.89; 0.001)</w:t>
            </w:r>
          </w:p>
        </w:tc>
        <w:tc>
          <w:tcPr>
            <w:tcW w:w="1915" w:type="dxa"/>
            <w:tcBorders>
              <w:top w:val="nil"/>
              <w:left w:val="nil"/>
              <w:bottom w:val="nil"/>
              <w:right w:val="nil"/>
            </w:tcBorders>
            <w:shd w:val="clear" w:color="auto" w:fill="auto"/>
            <w:noWrap/>
            <w:vAlign w:val="bottom"/>
            <w:hideMark/>
          </w:tcPr>
          <w:p w14:paraId="4275B43C"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0.62 (0.49-0.79;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nil"/>
              <w:right w:val="single" w:sz="4" w:space="0" w:color="auto"/>
            </w:tcBorders>
            <w:shd w:val="clear" w:color="auto" w:fill="auto"/>
            <w:noWrap/>
            <w:vAlign w:val="bottom"/>
            <w:hideMark/>
          </w:tcPr>
          <w:p w14:paraId="389045FA"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0.78 (0.58-1.04; 0.09)</w:t>
            </w:r>
          </w:p>
        </w:tc>
      </w:tr>
      <w:tr w:rsidR="00E30D79" w:rsidRPr="0093460E" w14:paraId="631F962A" w14:textId="77777777" w:rsidTr="00C26C4B">
        <w:trPr>
          <w:trHeight w:val="240"/>
        </w:trPr>
        <w:tc>
          <w:tcPr>
            <w:tcW w:w="1660" w:type="dxa"/>
            <w:tcBorders>
              <w:top w:val="nil"/>
              <w:left w:val="single" w:sz="4" w:space="0" w:color="auto"/>
              <w:bottom w:val="nil"/>
              <w:right w:val="single" w:sz="4" w:space="0" w:color="auto"/>
            </w:tcBorders>
            <w:shd w:val="clear" w:color="000000" w:fill="D9D9D9"/>
            <w:noWrap/>
            <w:vAlign w:val="bottom"/>
            <w:hideMark/>
          </w:tcPr>
          <w:p w14:paraId="5AACCBC4"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000000" w:fill="D9D9D9"/>
            <w:noWrap/>
            <w:vAlign w:val="bottom"/>
            <w:hideMark/>
          </w:tcPr>
          <w:p w14:paraId="3211F9C4"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0.62 (0.46-0.83; 0.00</w:t>
            </w:r>
            <w:r>
              <w:rPr>
                <w:rFonts w:ascii="Calibri" w:hAnsi="Calibri" w:cs="Calibri"/>
                <w:color w:val="000000"/>
                <w:sz w:val="16"/>
                <w:szCs w:val="16"/>
              </w:rPr>
              <w:t>2</w:t>
            </w:r>
            <w:r w:rsidRPr="0093460E">
              <w:rPr>
                <w:rFonts w:ascii="Calibri" w:hAnsi="Calibri" w:cs="Calibri"/>
                <w:color w:val="000000"/>
                <w:sz w:val="16"/>
                <w:szCs w:val="16"/>
              </w:rPr>
              <w:t>)</w:t>
            </w:r>
          </w:p>
        </w:tc>
        <w:tc>
          <w:tcPr>
            <w:tcW w:w="2460" w:type="dxa"/>
            <w:tcBorders>
              <w:top w:val="nil"/>
              <w:left w:val="nil"/>
              <w:bottom w:val="nil"/>
              <w:right w:val="nil"/>
            </w:tcBorders>
            <w:shd w:val="clear" w:color="000000" w:fill="D9D9D9"/>
            <w:noWrap/>
            <w:vAlign w:val="bottom"/>
            <w:hideMark/>
          </w:tcPr>
          <w:p w14:paraId="76A7ACB1"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0.51 (0.41-0.63;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bottom w:val="nil"/>
              <w:right w:val="nil"/>
            </w:tcBorders>
            <w:shd w:val="clear" w:color="000000" w:fill="D9D9D9"/>
            <w:noWrap/>
            <w:vAlign w:val="bottom"/>
            <w:hideMark/>
          </w:tcPr>
          <w:p w14:paraId="1998F000"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w:t>
            </w:r>
            <w:r>
              <w:rPr>
                <w:rFonts w:ascii="Calibri" w:hAnsi="Calibri" w:cs="Calibri"/>
                <w:color w:val="000000"/>
                <w:sz w:val="16"/>
                <w:szCs w:val="16"/>
              </w:rPr>
              <w:t>0</w:t>
            </w:r>
            <w:r w:rsidRPr="0093460E">
              <w:rPr>
                <w:rFonts w:ascii="Calibri" w:hAnsi="Calibri" w:cs="Calibri"/>
                <w:color w:val="000000"/>
                <w:sz w:val="16"/>
                <w:szCs w:val="16"/>
              </w:rPr>
              <w:t xml:space="preserve"> (0.59-0.84;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nil"/>
              <w:right w:val="single" w:sz="4" w:space="0" w:color="auto"/>
            </w:tcBorders>
            <w:shd w:val="clear" w:color="000000" w:fill="D9D9D9"/>
            <w:noWrap/>
            <w:vAlign w:val="bottom"/>
            <w:hideMark/>
          </w:tcPr>
          <w:p w14:paraId="1B3BE07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0.56 (0.46-0.69;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93460E" w14:paraId="1D99777E" w14:textId="77777777" w:rsidTr="00C26C4B">
        <w:trPr>
          <w:trHeight w:val="24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D0AE09"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single" w:sz="4" w:space="0" w:color="auto"/>
              <w:right w:val="nil"/>
            </w:tcBorders>
            <w:shd w:val="clear" w:color="auto" w:fill="auto"/>
            <w:noWrap/>
            <w:vAlign w:val="bottom"/>
            <w:hideMark/>
          </w:tcPr>
          <w:p w14:paraId="59B174DF"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w:t>
            </w:r>
            <w:r>
              <w:rPr>
                <w:rFonts w:ascii="Calibri" w:hAnsi="Calibri" w:cs="Calibri"/>
                <w:color w:val="000000"/>
                <w:sz w:val="16"/>
                <w:szCs w:val="16"/>
              </w:rPr>
              <w:t>0</w:t>
            </w:r>
            <w:r w:rsidRPr="0093460E">
              <w:rPr>
                <w:rFonts w:ascii="Calibri" w:hAnsi="Calibri" w:cs="Calibri"/>
                <w:color w:val="000000"/>
                <w:sz w:val="16"/>
                <w:szCs w:val="16"/>
              </w:rPr>
              <w:t xml:space="preserve"> (0.41-0.88; 0.008)</w:t>
            </w:r>
          </w:p>
        </w:tc>
        <w:tc>
          <w:tcPr>
            <w:tcW w:w="2460" w:type="dxa"/>
            <w:tcBorders>
              <w:top w:val="nil"/>
              <w:left w:val="nil"/>
              <w:bottom w:val="single" w:sz="4" w:space="0" w:color="auto"/>
              <w:right w:val="nil"/>
            </w:tcBorders>
            <w:shd w:val="clear" w:color="auto" w:fill="auto"/>
            <w:noWrap/>
            <w:vAlign w:val="bottom"/>
            <w:hideMark/>
          </w:tcPr>
          <w:p w14:paraId="07DD748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w:t>
            </w:r>
            <w:r>
              <w:rPr>
                <w:rFonts w:ascii="Calibri" w:hAnsi="Calibri" w:cs="Calibri"/>
                <w:color w:val="000000"/>
                <w:sz w:val="16"/>
                <w:szCs w:val="16"/>
              </w:rPr>
              <w:t>0</w:t>
            </w:r>
            <w:r w:rsidRPr="0093460E">
              <w:rPr>
                <w:rFonts w:ascii="Calibri" w:hAnsi="Calibri" w:cs="Calibri"/>
                <w:color w:val="000000"/>
                <w:sz w:val="16"/>
                <w:szCs w:val="16"/>
              </w:rPr>
              <w:t xml:space="preserve"> (0.39-0.64;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bottom w:val="single" w:sz="4" w:space="0" w:color="auto"/>
              <w:right w:val="nil"/>
            </w:tcBorders>
            <w:shd w:val="clear" w:color="auto" w:fill="auto"/>
            <w:noWrap/>
            <w:vAlign w:val="bottom"/>
            <w:hideMark/>
          </w:tcPr>
          <w:p w14:paraId="55CCB0B1"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0.63 (0.52-0.75;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single" w:sz="4" w:space="0" w:color="auto"/>
              <w:right w:val="single" w:sz="4" w:space="0" w:color="auto"/>
            </w:tcBorders>
            <w:shd w:val="clear" w:color="auto" w:fill="auto"/>
            <w:noWrap/>
            <w:vAlign w:val="bottom"/>
            <w:hideMark/>
          </w:tcPr>
          <w:p w14:paraId="28A358FC"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0.31 (0.25-0.39;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93460E" w14:paraId="078A7DA2"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hideMark/>
          </w:tcPr>
          <w:p w14:paraId="2389DC3D"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w:t>
            </w:r>
          </w:p>
        </w:tc>
        <w:tc>
          <w:tcPr>
            <w:tcW w:w="8046" w:type="dxa"/>
            <w:gridSpan w:val="4"/>
            <w:tcBorders>
              <w:top w:val="single" w:sz="4" w:space="0" w:color="auto"/>
              <w:left w:val="nil"/>
              <w:bottom w:val="nil"/>
              <w:right w:val="single" w:sz="4" w:space="0" w:color="000000"/>
            </w:tcBorders>
            <w:shd w:val="clear" w:color="auto" w:fill="auto"/>
            <w:noWrap/>
            <w:vAlign w:val="bottom"/>
            <w:hideMark/>
          </w:tcPr>
          <w:p w14:paraId="7AD2E43A" w14:textId="77777777" w:rsidR="00E30D79" w:rsidRPr="0093460E" w:rsidRDefault="00E30D79" w:rsidP="00C26C4B">
            <w:pPr>
              <w:jc w:val="center"/>
              <w:rPr>
                <w:rFonts w:ascii="Calibri" w:eastAsia="Times New Roman" w:hAnsi="Calibri" w:cs="Calibri"/>
                <w:b/>
                <w:bCs/>
                <w:color w:val="000000"/>
                <w:sz w:val="16"/>
                <w:szCs w:val="16"/>
              </w:rPr>
            </w:pPr>
            <w:proofErr w:type="spellStart"/>
            <w:r w:rsidRPr="0093460E">
              <w:rPr>
                <w:rFonts w:ascii="Calibri" w:eastAsia="Times New Roman" w:hAnsi="Calibri" w:cs="Calibri"/>
                <w:b/>
                <w:bCs/>
                <w:color w:val="000000"/>
                <w:sz w:val="16"/>
                <w:szCs w:val="16"/>
              </w:rPr>
              <w:t>Mortality</w:t>
            </w:r>
            <w:proofErr w:type="spellEnd"/>
          </w:p>
        </w:tc>
      </w:tr>
      <w:tr w:rsidR="00E30D79" w:rsidRPr="0093460E" w14:paraId="38285EFA"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hideMark/>
          </w:tcPr>
          <w:p w14:paraId="67026D5E"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w:t>
            </w:r>
          </w:p>
        </w:tc>
        <w:tc>
          <w:tcPr>
            <w:tcW w:w="1833" w:type="dxa"/>
            <w:tcBorders>
              <w:top w:val="nil"/>
              <w:left w:val="nil"/>
              <w:bottom w:val="nil"/>
              <w:right w:val="nil"/>
            </w:tcBorders>
            <w:shd w:val="clear" w:color="auto" w:fill="auto"/>
            <w:noWrap/>
            <w:vAlign w:val="bottom"/>
            <w:hideMark/>
          </w:tcPr>
          <w:p w14:paraId="632A8DDB"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0% BB</w:t>
            </w:r>
          </w:p>
        </w:tc>
        <w:tc>
          <w:tcPr>
            <w:tcW w:w="2460" w:type="dxa"/>
            <w:tcBorders>
              <w:top w:val="nil"/>
              <w:left w:val="nil"/>
              <w:bottom w:val="nil"/>
              <w:right w:val="nil"/>
            </w:tcBorders>
            <w:shd w:val="clear" w:color="auto" w:fill="auto"/>
            <w:noWrap/>
            <w:vAlign w:val="bottom"/>
            <w:hideMark/>
          </w:tcPr>
          <w:p w14:paraId="7290FB2C"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1-49% BB</w:t>
            </w:r>
          </w:p>
        </w:tc>
        <w:tc>
          <w:tcPr>
            <w:tcW w:w="1915" w:type="dxa"/>
            <w:tcBorders>
              <w:top w:val="nil"/>
              <w:left w:val="nil"/>
              <w:bottom w:val="nil"/>
              <w:right w:val="nil"/>
            </w:tcBorders>
            <w:shd w:val="clear" w:color="auto" w:fill="auto"/>
            <w:noWrap/>
            <w:vAlign w:val="bottom"/>
            <w:hideMark/>
          </w:tcPr>
          <w:p w14:paraId="3F00C769"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50-99% BB</w:t>
            </w:r>
          </w:p>
        </w:tc>
        <w:tc>
          <w:tcPr>
            <w:tcW w:w="1838" w:type="dxa"/>
            <w:tcBorders>
              <w:top w:val="nil"/>
              <w:left w:val="nil"/>
              <w:bottom w:val="nil"/>
              <w:right w:val="single" w:sz="4" w:space="0" w:color="auto"/>
            </w:tcBorders>
            <w:shd w:val="clear" w:color="auto" w:fill="auto"/>
            <w:noWrap/>
            <w:vAlign w:val="bottom"/>
            <w:hideMark/>
          </w:tcPr>
          <w:p w14:paraId="1BEEEDE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100% BB</w:t>
            </w:r>
          </w:p>
        </w:tc>
      </w:tr>
      <w:tr w:rsidR="00E30D79" w:rsidRPr="0093460E" w14:paraId="12C4FEBF" w14:textId="77777777" w:rsidTr="00C26C4B">
        <w:trPr>
          <w:trHeight w:val="240"/>
        </w:trPr>
        <w:tc>
          <w:tcPr>
            <w:tcW w:w="1660" w:type="dxa"/>
            <w:tcBorders>
              <w:top w:val="nil"/>
              <w:left w:val="single" w:sz="4" w:space="0" w:color="auto"/>
              <w:bottom w:val="nil"/>
              <w:right w:val="single" w:sz="4" w:space="0" w:color="auto"/>
            </w:tcBorders>
            <w:shd w:val="clear" w:color="000000" w:fill="D9D9D9"/>
            <w:noWrap/>
            <w:vAlign w:val="bottom"/>
            <w:hideMark/>
          </w:tcPr>
          <w:p w14:paraId="7FD063EC"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000000" w:fill="D9D9D9"/>
            <w:noWrap/>
            <w:vAlign w:val="bottom"/>
            <w:hideMark/>
          </w:tcPr>
          <w:p w14:paraId="78966365"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w:t>
            </w:r>
          </w:p>
        </w:tc>
        <w:tc>
          <w:tcPr>
            <w:tcW w:w="2460" w:type="dxa"/>
            <w:tcBorders>
              <w:top w:val="nil"/>
              <w:left w:val="nil"/>
              <w:bottom w:val="nil"/>
              <w:right w:val="nil"/>
            </w:tcBorders>
            <w:shd w:val="clear" w:color="000000" w:fill="D9D9D9"/>
            <w:noWrap/>
            <w:vAlign w:val="bottom"/>
            <w:hideMark/>
          </w:tcPr>
          <w:p w14:paraId="3C7013E6"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0.73 (0.57-0.93; 0.01)</w:t>
            </w:r>
          </w:p>
        </w:tc>
        <w:tc>
          <w:tcPr>
            <w:tcW w:w="1915" w:type="dxa"/>
            <w:tcBorders>
              <w:top w:val="nil"/>
              <w:left w:val="nil"/>
              <w:bottom w:val="nil"/>
              <w:right w:val="nil"/>
            </w:tcBorders>
            <w:shd w:val="clear" w:color="000000" w:fill="D9D9D9"/>
            <w:noWrap/>
            <w:vAlign w:val="bottom"/>
            <w:hideMark/>
          </w:tcPr>
          <w:p w14:paraId="32B84249"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0.64 (0.45-0.91; 0.01)</w:t>
            </w:r>
          </w:p>
        </w:tc>
        <w:tc>
          <w:tcPr>
            <w:tcW w:w="1838" w:type="dxa"/>
            <w:tcBorders>
              <w:top w:val="nil"/>
              <w:left w:val="nil"/>
              <w:bottom w:val="nil"/>
              <w:right w:val="single" w:sz="4" w:space="0" w:color="auto"/>
            </w:tcBorders>
            <w:shd w:val="clear" w:color="000000" w:fill="D9D9D9"/>
            <w:noWrap/>
            <w:vAlign w:val="bottom"/>
            <w:hideMark/>
          </w:tcPr>
          <w:p w14:paraId="61D3BB4A"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0.37 (0.21-0.63;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93460E" w14:paraId="297EF142"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hideMark/>
          </w:tcPr>
          <w:p w14:paraId="2A6D9857"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auto"/>
            <w:noWrap/>
            <w:vAlign w:val="bottom"/>
            <w:hideMark/>
          </w:tcPr>
          <w:p w14:paraId="497A08DD"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0.75 (0.56-1</w:t>
            </w:r>
            <w:r>
              <w:rPr>
                <w:rFonts w:ascii="Calibri" w:hAnsi="Calibri" w:cs="Calibri"/>
                <w:color w:val="000000"/>
                <w:sz w:val="16"/>
                <w:szCs w:val="16"/>
              </w:rPr>
              <w:t>.00</w:t>
            </w:r>
            <w:r w:rsidRPr="0093460E">
              <w:rPr>
                <w:rFonts w:ascii="Calibri" w:hAnsi="Calibri" w:cs="Calibri"/>
                <w:color w:val="000000"/>
                <w:sz w:val="16"/>
                <w:szCs w:val="16"/>
              </w:rPr>
              <w:t>; 0.0</w:t>
            </w:r>
            <w:r>
              <w:rPr>
                <w:rFonts w:ascii="Calibri" w:hAnsi="Calibri" w:cs="Calibri"/>
                <w:color w:val="000000"/>
                <w:sz w:val="16"/>
                <w:szCs w:val="16"/>
              </w:rPr>
              <w:t>5</w:t>
            </w:r>
            <w:r w:rsidRPr="0093460E">
              <w:rPr>
                <w:rFonts w:ascii="Calibri" w:hAnsi="Calibri" w:cs="Calibri"/>
                <w:color w:val="000000"/>
                <w:sz w:val="16"/>
                <w:szCs w:val="16"/>
              </w:rPr>
              <w:t>)</w:t>
            </w:r>
          </w:p>
        </w:tc>
        <w:tc>
          <w:tcPr>
            <w:tcW w:w="2460" w:type="dxa"/>
            <w:tcBorders>
              <w:top w:val="nil"/>
              <w:left w:val="nil"/>
              <w:bottom w:val="nil"/>
              <w:right w:val="nil"/>
            </w:tcBorders>
            <w:shd w:val="clear" w:color="auto" w:fill="auto"/>
            <w:noWrap/>
            <w:vAlign w:val="bottom"/>
            <w:hideMark/>
          </w:tcPr>
          <w:p w14:paraId="69B2D628"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0.64 (0.51-0.8</w:t>
            </w:r>
            <w:r>
              <w:rPr>
                <w:rFonts w:ascii="Calibri" w:hAnsi="Calibri" w:cs="Calibri"/>
                <w:color w:val="000000"/>
                <w:sz w:val="16"/>
                <w:szCs w:val="16"/>
              </w:rPr>
              <w:t>0</w:t>
            </w:r>
            <w:r w:rsidRPr="0093460E">
              <w:rPr>
                <w:rFonts w:ascii="Calibri" w:hAnsi="Calibri" w:cs="Calibri"/>
                <w:color w:val="000000"/>
                <w:sz w:val="16"/>
                <w:szCs w:val="16"/>
              </w:rPr>
              <w:t xml:space="preserve">;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bottom w:val="nil"/>
              <w:right w:val="nil"/>
            </w:tcBorders>
            <w:shd w:val="clear" w:color="auto" w:fill="auto"/>
            <w:noWrap/>
            <w:vAlign w:val="bottom"/>
            <w:hideMark/>
          </w:tcPr>
          <w:p w14:paraId="0CCEAE80"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0.4</w:t>
            </w:r>
            <w:r>
              <w:rPr>
                <w:rFonts w:ascii="Calibri" w:hAnsi="Calibri" w:cs="Calibri"/>
                <w:color w:val="000000"/>
                <w:sz w:val="16"/>
                <w:szCs w:val="16"/>
              </w:rPr>
              <w:t>0</w:t>
            </w:r>
            <w:r w:rsidRPr="0093460E">
              <w:rPr>
                <w:rFonts w:ascii="Calibri" w:hAnsi="Calibri" w:cs="Calibri"/>
                <w:color w:val="000000"/>
                <w:sz w:val="16"/>
                <w:szCs w:val="16"/>
              </w:rPr>
              <w:t xml:space="preserve"> (0.3</w:t>
            </w:r>
            <w:r>
              <w:rPr>
                <w:rFonts w:ascii="Calibri" w:hAnsi="Calibri" w:cs="Calibri"/>
                <w:color w:val="000000"/>
                <w:sz w:val="16"/>
                <w:szCs w:val="16"/>
              </w:rPr>
              <w:t>0</w:t>
            </w:r>
            <w:r w:rsidRPr="0093460E">
              <w:rPr>
                <w:rFonts w:ascii="Calibri" w:hAnsi="Calibri" w:cs="Calibri"/>
                <w:color w:val="000000"/>
                <w:sz w:val="16"/>
                <w:szCs w:val="16"/>
              </w:rPr>
              <w:t xml:space="preserve">-0.55;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nil"/>
              <w:right w:val="single" w:sz="4" w:space="0" w:color="auto"/>
            </w:tcBorders>
            <w:shd w:val="clear" w:color="auto" w:fill="auto"/>
            <w:noWrap/>
            <w:vAlign w:val="bottom"/>
            <w:hideMark/>
          </w:tcPr>
          <w:p w14:paraId="7009228A"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0.63 (0.43-0.91; 0.01)</w:t>
            </w:r>
          </w:p>
        </w:tc>
      </w:tr>
      <w:tr w:rsidR="00E30D79" w:rsidRPr="0093460E" w14:paraId="6E6435DE" w14:textId="77777777" w:rsidTr="00C26C4B">
        <w:trPr>
          <w:trHeight w:val="240"/>
        </w:trPr>
        <w:tc>
          <w:tcPr>
            <w:tcW w:w="1660" w:type="dxa"/>
            <w:tcBorders>
              <w:top w:val="nil"/>
              <w:left w:val="single" w:sz="4" w:space="0" w:color="auto"/>
              <w:right w:val="single" w:sz="4" w:space="0" w:color="auto"/>
            </w:tcBorders>
            <w:shd w:val="clear" w:color="000000" w:fill="D9D9D9"/>
            <w:noWrap/>
            <w:vAlign w:val="bottom"/>
            <w:hideMark/>
          </w:tcPr>
          <w:p w14:paraId="05FA44D3"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right w:val="nil"/>
            </w:tcBorders>
            <w:shd w:val="clear" w:color="000000" w:fill="D9D9D9"/>
            <w:noWrap/>
            <w:vAlign w:val="bottom"/>
            <w:hideMark/>
          </w:tcPr>
          <w:p w14:paraId="6D2F0FF1"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0.56 (0.39-0.81; 0.00</w:t>
            </w:r>
            <w:r>
              <w:rPr>
                <w:rFonts w:ascii="Calibri" w:hAnsi="Calibri" w:cs="Calibri"/>
                <w:color w:val="000000"/>
                <w:sz w:val="16"/>
                <w:szCs w:val="16"/>
              </w:rPr>
              <w:t>2</w:t>
            </w:r>
            <w:r w:rsidRPr="0093460E">
              <w:rPr>
                <w:rFonts w:ascii="Calibri" w:hAnsi="Calibri" w:cs="Calibri"/>
                <w:color w:val="000000"/>
                <w:sz w:val="16"/>
                <w:szCs w:val="16"/>
              </w:rPr>
              <w:t>)</w:t>
            </w:r>
          </w:p>
        </w:tc>
        <w:tc>
          <w:tcPr>
            <w:tcW w:w="2460" w:type="dxa"/>
            <w:tcBorders>
              <w:top w:val="nil"/>
              <w:left w:val="nil"/>
              <w:right w:val="nil"/>
            </w:tcBorders>
            <w:shd w:val="clear" w:color="000000" w:fill="D9D9D9"/>
            <w:noWrap/>
            <w:vAlign w:val="bottom"/>
            <w:hideMark/>
          </w:tcPr>
          <w:p w14:paraId="418380B8"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0.35 (0.27-0.46;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right w:val="nil"/>
            </w:tcBorders>
            <w:shd w:val="clear" w:color="000000" w:fill="D9D9D9"/>
            <w:noWrap/>
            <w:vAlign w:val="bottom"/>
            <w:hideMark/>
          </w:tcPr>
          <w:p w14:paraId="6CEDE989"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0.49 (0.4</w:t>
            </w:r>
            <w:r>
              <w:rPr>
                <w:rFonts w:ascii="Calibri" w:hAnsi="Calibri" w:cs="Calibri"/>
                <w:color w:val="000000"/>
                <w:sz w:val="16"/>
                <w:szCs w:val="16"/>
              </w:rPr>
              <w:t>0</w:t>
            </w:r>
            <w:r w:rsidRPr="0093460E">
              <w:rPr>
                <w:rFonts w:ascii="Calibri" w:hAnsi="Calibri" w:cs="Calibri"/>
                <w:color w:val="000000"/>
                <w:sz w:val="16"/>
                <w:szCs w:val="16"/>
              </w:rPr>
              <w:t>-0.61</w:t>
            </w:r>
            <w:r>
              <w:rPr>
                <w:rFonts w:ascii="Calibri" w:hAnsi="Calibri" w:cs="Calibri"/>
                <w:color w:val="000000"/>
                <w:sz w:val="16"/>
                <w:szCs w:val="16"/>
              </w:rPr>
              <w:t>; &lt;0.001</w:t>
            </w:r>
            <w:r w:rsidRPr="00065563">
              <w:rPr>
                <w:rFonts w:ascii="Calibri" w:hAnsi="Calibri" w:cs="Calibri"/>
                <w:color w:val="000000"/>
                <w:sz w:val="16"/>
                <w:szCs w:val="16"/>
              </w:rPr>
              <w:t>)</w:t>
            </w:r>
          </w:p>
        </w:tc>
        <w:tc>
          <w:tcPr>
            <w:tcW w:w="1838" w:type="dxa"/>
            <w:tcBorders>
              <w:top w:val="nil"/>
              <w:left w:val="nil"/>
              <w:right w:val="single" w:sz="4" w:space="0" w:color="auto"/>
            </w:tcBorders>
            <w:shd w:val="clear" w:color="000000" w:fill="D9D9D9"/>
            <w:noWrap/>
            <w:vAlign w:val="bottom"/>
            <w:hideMark/>
          </w:tcPr>
          <w:p w14:paraId="7E250CAD"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0.29 (0.22-0.38;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93460E" w14:paraId="7900AD3F" w14:textId="77777777" w:rsidTr="00C26C4B">
        <w:trPr>
          <w:trHeight w:val="24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736A94"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single" w:sz="4" w:space="0" w:color="auto"/>
              <w:right w:val="nil"/>
            </w:tcBorders>
            <w:shd w:val="clear" w:color="auto" w:fill="auto"/>
            <w:noWrap/>
            <w:vAlign w:val="bottom"/>
            <w:hideMark/>
          </w:tcPr>
          <w:p w14:paraId="07CC7D05"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0.74 (0.49-1.13; 0.16)</w:t>
            </w:r>
          </w:p>
        </w:tc>
        <w:tc>
          <w:tcPr>
            <w:tcW w:w="2460" w:type="dxa"/>
            <w:tcBorders>
              <w:top w:val="nil"/>
              <w:left w:val="nil"/>
              <w:bottom w:val="single" w:sz="4" w:space="0" w:color="auto"/>
              <w:right w:val="nil"/>
            </w:tcBorders>
            <w:shd w:val="clear" w:color="auto" w:fill="auto"/>
            <w:noWrap/>
            <w:vAlign w:val="bottom"/>
            <w:hideMark/>
          </w:tcPr>
          <w:p w14:paraId="4AE4E6B5"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0.42 (0.31-0.57;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bottom w:val="single" w:sz="4" w:space="0" w:color="auto"/>
              <w:right w:val="nil"/>
            </w:tcBorders>
            <w:shd w:val="clear" w:color="auto" w:fill="auto"/>
            <w:noWrap/>
            <w:vAlign w:val="bottom"/>
            <w:hideMark/>
          </w:tcPr>
          <w:p w14:paraId="4A7388F1"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0.39 (0.31-0.5</w:t>
            </w:r>
            <w:r>
              <w:rPr>
                <w:rFonts w:ascii="Calibri" w:hAnsi="Calibri" w:cs="Calibri"/>
                <w:color w:val="000000"/>
                <w:sz w:val="16"/>
                <w:szCs w:val="16"/>
              </w:rPr>
              <w:t>0</w:t>
            </w:r>
            <w:r w:rsidRPr="0093460E">
              <w:rPr>
                <w:rFonts w:ascii="Calibri" w:hAnsi="Calibri" w:cs="Calibri"/>
                <w:color w:val="000000"/>
                <w:sz w:val="16"/>
                <w:szCs w:val="16"/>
              </w:rPr>
              <w:t xml:space="preserve">;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single" w:sz="4" w:space="0" w:color="auto"/>
              <w:right w:val="single" w:sz="4" w:space="0" w:color="auto"/>
            </w:tcBorders>
            <w:shd w:val="clear" w:color="auto" w:fill="auto"/>
            <w:noWrap/>
            <w:vAlign w:val="bottom"/>
            <w:hideMark/>
          </w:tcPr>
          <w:p w14:paraId="4D596190"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0.15 (0.11-0.21;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93460E" w14:paraId="7A6A90C7" w14:textId="77777777" w:rsidTr="00C26C4B">
        <w:trPr>
          <w:trHeight w:val="240"/>
        </w:trPr>
        <w:tc>
          <w:tcPr>
            <w:tcW w:w="1660" w:type="dxa"/>
            <w:tcBorders>
              <w:top w:val="single" w:sz="4" w:space="0" w:color="auto"/>
              <w:left w:val="single" w:sz="4" w:space="0" w:color="auto"/>
              <w:bottom w:val="nil"/>
              <w:right w:val="single" w:sz="4" w:space="0" w:color="auto"/>
            </w:tcBorders>
            <w:shd w:val="clear" w:color="auto" w:fill="auto"/>
            <w:noWrap/>
            <w:vAlign w:val="bottom"/>
          </w:tcPr>
          <w:p w14:paraId="2A034538"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lang w:val="en-US"/>
              </w:rPr>
              <w:t> </w:t>
            </w:r>
          </w:p>
        </w:tc>
        <w:tc>
          <w:tcPr>
            <w:tcW w:w="8046" w:type="dxa"/>
            <w:gridSpan w:val="4"/>
            <w:tcBorders>
              <w:top w:val="single" w:sz="4" w:space="0" w:color="auto"/>
              <w:left w:val="nil"/>
              <w:bottom w:val="nil"/>
              <w:right w:val="single" w:sz="4" w:space="0" w:color="auto"/>
            </w:tcBorders>
            <w:shd w:val="clear" w:color="auto" w:fill="auto"/>
            <w:noWrap/>
            <w:vAlign w:val="bottom"/>
          </w:tcPr>
          <w:p w14:paraId="5A834E95" w14:textId="77777777" w:rsidR="00E30D79" w:rsidRPr="0093460E" w:rsidRDefault="00E30D79" w:rsidP="00C26C4B">
            <w:pPr>
              <w:jc w:val="center"/>
              <w:rPr>
                <w:rFonts w:ascii="Calibri" w:hAnsi="Calibri" w:cs="Calibri"/>
                <w:color w:val="000000"/>
                <w:sz w:val="16"/>
                <w:szCs w:val="16"/>
              </w:rPr>
            </w:pPr>
            <w:r w:rsidRPr="0093460E">
              <w:rPr>
                <w:rFonts w:ascii="Calibri" w:eastAsia="Times New Roman" w:hAnsi="Calibri" w:cs="Calibri"/>
                <w:b/>
                <w:bCs/>
                <w:color w:val="000000"/>
                <w:sz w:val="16"/>
                <w:szCs w:val="16"/>
                <w:lang w:val="en-US"/>
              </w:rPr>
              <w:t>HF-hospitalization</w:t>
            </w:r>
          </w:p>
        </w:tc>
      </w:tr>
      <w:tr w:rsidR="00E30D79" w:rsidRPr="0093460E" w14:paraId="18C89D40"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65411CA6"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lang w:val="en-US"/>
              </w:rPr>
              <w:t> </w:t>
            </w:r>
          </w:p>
        </w:tc>
        <w:tc>
          <w:tcPr>
            <w:tcW w:w="1833" w:type="dxa"/>
            <w:tcBorders>
              <w:top w:val="nil"/>
              <w:left w:val="nil"/>
              <w:bottom w:val="nil"/>
              <w:right w:val="nil"/>
            </w:tcBorders>
            <w:shd w:val="clear" w:color="auto" w:fill="auto"/>
            <w:noWrap/>
            <w:vAlign w:val="bottom"/>
          </w:tcPr>
          <w:p w14:paraId="0DF4FDF9"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0% BB</w:t>
            </w:r>
          </w:p>
        </w:tc>
        <w:tc>
          <w:tcPr>
            <w:tcW w:w="2460" w:type="dxa"/>
            <w:tcBorders>
              <w:top w:val="nil"/>
              <w:left w:val="nil"/>
              <w:bottom w:val="nil"/>
              <w:right w:val="nil"/>
            </w:tcBorders>
            <w:shd w:val="clear" w:color="auto" w:fill="auto"/>
            <w:noWrap/>
            <w:vAlign w:val="bottom"/>
          </w:tcPr>
          <w:p w14:paraId="0AC001FE"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1-49% BB</w:t>
            </w:r>
          </w:p>
        </w:tc>
        <w:tc>
          <w:tcPr>
            <w:tcW w:w="1915" w:type="dxa"/>
            <w:tcBorders>
              <w:top w:val="nil"/>
              <w:left w:val="nil"/>
              <w:bottom w:val="nil"/>
              <w:right w:val="nil"/>
            </w:tcBorders>
            <w:shd w:val="clear" w:color="auto" w:fill="auto"/>
            <w:noWrap/>
            <w:vAlign w:val="bottom"/>
          </w:tcPr>
          <w:p w14:paraId="03191A29"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50-99% BB</w:t>
            </w:r>
          </w:p>
        </w:tc>
        <w:tc>
          <w:tcPr>
            <w:tcW w:w="1838" w:type="dxa"/>
            <w:tcBorders>
              <w:top w:val="nil"/>
              <w:left w:val="nil"/>
              <w:bottom w:val="nil"/>
              <w:right w:val="single" w:sz="4" w:space="0" w:color="auto"/>
            </w:tcBorders>
            <w:shd w:val="clear" w:color="auto" w:fill="auto"/>
            <w:noWrap/>
            <w:vAlign w:val="bottom"/>
          </w:tcPr>
          <w:p w14:paraId="750D42CD"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100% BB</w:t>
            </w:r>
          </w:p>
        </w:tc>
      </w:tr>
      <w:tr w:rsidR="00E30D79" w:rsidRPr="0093460E" w14:paraId="18340523" w14:textId="77777777" w:rsidTr="00C26C4B">
        <w:trPr>
          <w:trHeight w:val="240"/>
        </w:trPr>
        <w:tc>
          <w:tcPr>
            <w:tcW w:w="1660" w:type="dxa"/>
            <w:tcBorders>
              <w:top w:val="nil"/>
              <w:left w:val="single" w:sz="4" w:space="0" w:color="auto"/>
              <w:bottom w:val="nil"/>
              <w:right w:val="single" w:sz="4" w:space="0" w:color="auto"/>
            </w:tcBorders>
            <w:shd w:val="clear" w:color="auto" w:fill="D9D9D9" w:themeFill="background1" w:themeFillShade="D9"/>
            <w:noWrap/>
            <w:vAlign w:val="bottom"/>
          </w:tcPr>
          <w:p w14:paraId="63456482"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D9D9D9" w:themeFill="background1" w:themeFillShade="D9"/>
            <w:noWrap/>
            <w:vAlign w:val="bottom"/>
          </w:tcPr>
          <w:p w14:paraId="782DBB45"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w:t>
            </w:r>
          </w:p>
        </w:tc>
        <w:tc>
          <w:tcPr>
            <w:tcW w:w="2460" w:type="dxa"/>
            <w:tcBorders>
              <w:top w:val="nil"/>
              <w:left w:val="nil"/>
              <w:bottom w:val="nil"/>
              <w:right w:val="nil"/>
            </w:tcBorders>
            <w:shd w:val="clear" w:color="auto" w:fill="D9D9D9" w:themeFill="background1" w:themeFillShade="D9"/>
            <w:noWrap/>
            <w:vAlign w:val="bottom"/>
          </w:tcPr>
          <w:p w14:paraId="0D76436D"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1.44 (1.11-1.87; 0.00</w:t>
            </w:r>
            <w:r>
              <w:rPr>
                <w:rFonts w:ascii="Calibri" w:hAnsi="Calibri" w:cs="Calibri"/>
                <w:color w:val="000000"/>
                <w:sz w:val="16"/>
                <w:szCs w:val="16"/>
              </w:rPr>
              <w:t>6</w:t>
            </w:r>
            <w:r w:rsidRPr="00F765E0">
              <w:rPr>
                <w:rFonts w:ascii="Calibri" w:hAnsi="Calibri" w:cs="Calibri"/>
                <w:color w:val="000000"/>
                <w:sz w:val="16"/>
                <w:szCs w:val="16"/>
              </w:rPr>
              <w:t>)</w:t>
            </w:r>
          </w:p>
        </w:tc>
        <w:tc>
          <w:tcPr>
            <w:tcW w:w="1915" w:type="dxa"/>
            <w:tcBorders>
              <w:top w:val="nil"/>
              <w:left w:val="nil"/>
              <w:bottom w:val="nil"/>
              <w:right w:val="nil"/>
            </w:tcBorders>
            <w:shd w:val="clear" w:color="auto" w:fill="D9D9D9" w:themeFill="background1" w:themeFillShade="D9"/>
            <w:noWrap/>
            <w:vAlign w:val="bottom"/>
          </w:tcPr>
          <w:p w14:paraId="0D055BBB"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1.59 (1.14-2.21; 0.00</w:t>
            </w:r>
            <w:r>
              <w:rPr>
                <w:rFonts w:ascii="Calibri" w:hAnsi="Calibri" w:cs="Calibri"/>
                <w:color w:val="000000"/>
                <w:sz w:val="16"/>
                <w:szCs w:val="16"/>
              </w:rPr>
              <w:t>6</w:t>
            </w:r>
            <w:r w:rsidRPr="00F765E0">
              <w:rPr>
                <w:rFonts w:ascii="Calibri" w:hAnsi="Calibri" w:cs="Calibri"/>
                <w:color w:val="000000"/>
                <w:sz w:val="16"/>
                <w:szCs w:val="16"/>
              </w:rPr>
              <w:t>)</w:t>
            </w:r>
          </w:p>
        </w:tc>
        <w:tc>
          <w:tcPr>
            <w:tcW w:w="1838" w:type="dxa"/>
            <w:tcBorders>
              <w:top w:val="nil"/>
              <w:left w:val="nil"/>
              <w:bottom w:val="nil"/>
              <w:right w:val="single" w:sz="4" w:space="0" w:color="auto"/>
            </w:tcBorders>
            <w:shd w:val="clear" w:color="auto" w:fill="D9D9D9" w:themeFill="background1" w:themeFillShade="D9"/>
            <w:noWrap/>
            <w:vAlign w:val="bottom"/>
          </w:tcPr>
          <w:p w14:paraId="219CD214"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1.16 (0.74-1.82; 0.5</w:t>
            </w:r>
            <w:r>
              <w:rPr>
                <w:rFonts w:ascii="Calibri" w:hAnsi="Calibri" w:cs="Calibri"/>
                <w:color w:val="000000"/>
                <w:sz w:val="16"/>
                <w:szCs w:val="16"/>
              </w:rPr>
              <w:t>1</w:t>
            </w:r>
            <w:r w:rsidRPr="00F765E0">
              <w:rPr>
                <w:rFonts w:ascii="Calibri" w:hAnsi="Calibri" w:cs="Calibri"/>
                <w:color w:val="000000"/>
                <w:sz w:val="16"/>
                <w:szCs w:val="16"/>
              </w:rPr>
              <w:t>)</w:t>
            </w:r>
          </w:p>
        </w:tc>
      </w:tr>
      <w:tr w:rsidR="00E30D79" w:rsidRPr="0093460E" w14:paraId="560B2840"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1EB5C837"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auto"/>
            <w:noWrap/>
            <w:vAlign w:val="bottom"/>
          </w:tcPr>
          <w:p w14:paraId="3ECE97CF"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1.39 (1.03-1.88; 0.03)</w:t>
            </w:r>
          </w:p>
        </w:tc>
        <w:tc>
          <w:tcPr>
            <w:tcW w:w="2460" w:type="dxa"/>
            <w:tcBorders>
              <w:top w:val="nil"/>
              <w:left w:val="nil"/>
              <w:bottom w:val="nil"/>
              <w:right w:val="nil"/>
            </w:tcBorders>
            <w:shd w:val="clear" w:color="auto" w:fill="auto"/>
            <w:noWrap/>
            <w:vAlign w:val="bottom"/>
          </w:tcPr>
          <w:p w14:paraId="16A2B206"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1.18 (0.92-1.5</w:t>
            </w:r>
            <w:r>
              <w:rPr>
                <w:rFonts w:ascii="Calibri" w:hAnsi="Calibri" w:cs="Calibri"/>
                <w:color w:val="000000"/>
                <w:sz w:val="16"/>
                <w:szCs w:val="16"/>
              </w:rPr>
              <w:t>0</w:t>
            </w:r>
            <w:r w:rsidRPr="00F765E0">
              <w:rPr>
                <w:rFonts w:ascii="Calibri" w:hAnsi="Calibri" w:cs="Calibri"/>
                <w:color w:val="000000"/>
                <w:sz w:val="16"/>
                <w:szCs w:val="16"/>
              </w:rPr>
              <w:t>; 0.19)</w:t>
            </w:r>
          </w:p>
        </w:tc>
        <w:tc>
          <w:tcPr>
            <w:tcW w:w="1915" w:type="dxa"/>
            <w:tcBorders>
              <w:top w:val="nil"/>
              <w:left w:val="nil"/>
              <w:bottom w:val="nil"/>
              <w:right w:val="nil"/>
            </w:tcBorders>
            <w:shd w:val="clear" w:color="auto" w:fill="auto"/>
            <w:noWrap/>
            <w:vAlign w:val="bottom"/>
          </w:tcPr>
          <w:p w14:paraId="7A945124"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1.02 (0.76-1.39; 0.8</w:t>
            </w:r>
            <w:r>
              <w:rPr>
                <w:rFonts w:ascii="Calibri" w:hAnsi="Calibri" w:cs="Calibri"/>
                <w:color w:val="000000"/>
                <w:sz w:val="16"/>
                <w:szCs w:val="16"/>
              </w:rPr>
              <w:t>8</w:t>
            </w:r>
            <w:r w:rsidRPr="00F765E0">
              <w:rPr>
                <w:rFonts w:ascii="Calibri" w:hAnsi="Calibri" w:cs="Calibri"/>
                <w:color w:val="000000"/>
                <w:sz w:val="16"/>
                <w:szCs w:val="16"/>
              </w:rPr>
              <w:t>)</w:t>
            </w:r>
          </w:p>
        </w:tc>
        <w:tc>
          <w:tcPr>
            <w:tcW w:w="1838" w:type="dxa"/>
            <w:tcBorders>
              <w:top w:val="nil"/>
              <w:left w:val="nil"/>
              <w:bottom w:val="nil"/>
              <w:right w:val="single" w:sz="4" w:space="0" w:color="auto"/>
            </w:tcBorders>
            <w:shd w:val="clear" w:color="auto" w:fill="auto"/>
            <w:noWrap/>
            <w:vAlign w:val="bottom"/>
          </w:tcPr>
          <w:p w14:paraId="26F9BE6D"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1.22 (0.84-1.78; 0.</w:t>
            </w:r>
            <w:r>
              <w:rPr>
                <w:rFonts w:ascii="Calibri" w:hAnsi="Calibri" w:cs="Calibri"/>
                <w:color w:val="000000"/>
                <w:sz w:val="16"/>
                <w:szCs w:val="16"/>
              </w:rPr>
              <w:t>30</w:t>
            </w:r>
            <w:r w:rsidRPr="00F765E0">
              <w:rPr>
                <w:rFonts w:ascii="Calibri" w:hAnsi="Calibri" w:cs="Calibri"/>
                <w:color w:val="000000"/>
                <w:sz w:val="16"/>
                <w:szCs w:val="16"/>
              </w:rPr>
              <w:t>)</w:t>
            </w:r>
          </w:p>
        </w:tc>
      </w:tr>
      <w:tr w:rsidR="00E30D79" w:rsidRPr="0093460E" w14:paraId="13422500" w14:textId="77777777" w:rsidTr="00C26C4B">
        <w:trPr>
          <w:trHeight w:val="240"/>
        </w:trPr>
        <w:tc>
          <w:tcPr>
            <w:tcW w:w="1660" w:type="dxa"/>
            <w:tcBorders>
              <w:top w:val="nil"/>
              <w:left w:val="single" w:sz="4" w:space="0" w:color="auto"/>
              <w:right w:val="single" w:sz="4" w:space="0" w:color="auto"/>
            </w:tcBorders>
            <w:shd w:val="clear" w:color="auto" w:fill="D9D9D9" w:themeFill="background1" w:themeFillShade="D9"/>
            <w:noWrap/>
            <w:vAlign w:val="bottom"/>
          </w:tcPr>
          <w:p w14:paraId="0513F22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right w:val="nil"/>
            </w:tcBorders>
            <w:shd w:val="clear" w:color="auto" w:fill="D9D9D9" w:themeFill="background1" w:themeFillShade="D9"/>
            <w:noWrap/>
            <w:vAlign w:val="bottom"/>
          </w:tcPr>
          <w:p w14:paraId="693C650D"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0.82 (0.55-1.23; 0.33)</w:t>
            </w:r>
          </w:p>
        </w:tc>
        <w:tc>
          <w:tcPr>
            <w:tcW w:w="2460" w:type="dxa"/>
            <w:tcBorders>
              <w:top w:val="nil"/>
              <w:left w:val="nil"/>
              <w:right w:val="nil"/>
            </w:tcBorders>
            <w:shd w:val="clear" w:color="auto" w:fill="D9D9D9" w:themeFill="background1" w:themeFillShade="D9"/>
            <w:noWrap/>
            <w:vAlign w:val="bottom"/>
          </w:tcPr>
          <w:p w14:paraId="4CFDA31A"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0.85 (0.64-1.12; 0.2</w:t>
            </w:r>
            <w:r>
              <w:rPr>
                <w:rFonts w:ascii="Calibri" w:hAnsi="Calibri" w:cs="Calibri"/>
                <w:color w:val="000000"/>
                <w:sz w:val="16"/>
                <w:szCs w:val="16"/>
              </w:rPr>
              <w:t>5</w:t>
            </w:r>
            <w:r w:rsidRPr="00F765E0">
              <w:rPr>
                <w:rFonts w:ascii="Calibri" w:hAnsi="Calibri" w:cs="Calibri"/>
                <w:color w:val="000000"/>
                <w:sz w:val="16"/>
                <w:szCs w:val="16"/>
              </w:rPr>
              <w:t>)</w:t>
            </w:r>
          </w:p>
        </w:tc>
        <w:tc>
          <w:tcPr>
            <w:tcW w:w="1915" w:type="dxa"/>
            <w:tcBorders>
              <w:top w:val="nil"/>
              <w:left w:val="nil"/>
              <w:right w:val="nil"/>
            </w:tcBorders>
            <w:shd w:val="clear" w:color="auto" w:fill="D9D9D9" w:themeFill="background1" w:themeFillShade="D9"/>
            <w:noWrap/>
            <w:vAlign w:val="bottom"/>
          </w:tcPr>
          <w:p w14:paraId="3966EE31"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0.91 (0.65-1.27; 0.57)</w:t>
            </w:r>
          </w:p>
        </w:tc>
        <w:tc>
          <w:tcPr>
            <w:tcW w:w="1838" w:type="dxa"/>
            <w:tcBorders>
              <w:top w:val="nil"/>
              <w:left w:val="nil"/>
              <w:right w:val="single" w:sz="4" w:space="0" w:color="auto"/>
            </w:tcBorders>
            <w:shd w:val="clear" w:color="auto" w:fill="D9D9D9" w:themeFill="background1" w:themeFillShade="D9"/>
            <w:noWrap/>
            <w:vAlign w:val="bottom"/>
          </w:tcPr>
          <w:p w14:paraId="3CCCAE29"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1.11 (0.75-1.65; 0.6</w:t>
            </w:r>
            <w:r>
              <w:rPr>
                <w:rFonts w:ascii="Calibri" w:hAnsi="Calibri" w:cs="Calibri"/>
                <w:color w:val="000000"/>
                <w:sz w:val="16"/>
                <w:szCs w:val="16"/>
              </w:rPr>
              <w:t>1</w:t>
            </w:r>
            <w:r w:rsidRPr="00F765E0">
              <w:rPr>
                <w:rFonts w:ascii="Calibri" w:hAnsi="Calibri" w:cs="Calibri"/>
                <w:color w:val="000000"/>
                <w:sz w:val="16"/>
                <w:szCs w:val="16"/>
              </w:rPr>
              <w:t>)</w:t>
            </w:r>
          </w:p>
        </w:tc>
      </w:tr>
      <w:tr w:rsidR="00E30D79" w:rsidRPr="0093460E" w14:paraId="1A15B561" w14:textId="77777777" w:rsidTr="00C26C4B">
        <w:trPr>
          <w:trHeight w:val="240"/>
        </w:trPr>
        <w:tc>
          <w:tcPr>
            <w:tcW w:w="1660" w:type="dxa"/>
            <w:tcBorders>
              <w:top w:val="nil"/>
              <w:left w:val="single" w:sz="4" w:space="0" w:color="auto"/>
              <w:bottom w:val="single" w:sz="4" w:space="0" w:color="auto"/>
              <w:right w:val="single" w:sz="4" w:space="0" w:color="auto"/>
            </w:tcBorders>
            <w:shd w:val="clear" w:color="auto" w:fill="auto"/>
            <w:noWrap/>
            <w:vAlign w:val="bottom"/>
          </w:tcPr>
          <w:p w14:paraId="6B923D2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single" w:sz="4" w:space="0" w:color="auto"/>
              <w:right w:val="nil"/>
            </w:tcBorders>
            <w:shd w:val="clear" w:color="auto" w:fill="auto"/>
            <w:noWrap/>
            <w:vAlign w:val="bottom"/>
          </w:tcPr>
          <w:p w14:paraId="643FE371"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0.68 (0.4-1.16; 0.15)</w:t>
            </w:r>
          </w:p>
        </w:tc>
        <w:tc>
          <w:tcPr>
            <w:tcW w:w="2460" w:type="dxa"/>
            <w:tcBorders>
              <w:top w:val="nil"/>
              <w:left w:val="nil"/>
              <w:bottom w:val="single" w:sz="4" w:space="0" w:color="auto"/>
              <w:right w:val="nil"/>
            </w:tcBorders>
            <w:shd w:val="clear" w:color="auto" w:fill="auto"/>
            <w:noWrap/>
            <w:vAlign w:val="bottom"/>
          </w:tcPr>
          <w:p w14:paraId="020558C5"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0.88 (0.64-1.21; 0.41)</w:t>
            </w:r>
          </w:p>
        </w:tc>
        <w:tc>
          <w:tcPr>
            <w:tcW w:w="1915" w:type="dxa"/>
            <w:tcBorders>
              <w:top w:val="nil"/>
              <w:left w:val="nil"/>
              <w:bottom w:val="single" w:sz="4" w:space="0" w:color="auto"/>
              <w:right w:val="nil"/>
            </w:tcBorders>
            <w:shd w:val="clear" w:color="auto" w:fill="auto"/>
            <w:noWrap/>
            <w:vAlign w:val="bottom"/>
          </w:tcPr>
          <w:p w14:paraId="222B3491"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1.05 (0.74-1.48; 0.80)</w:t>
            </w:r>
          </w:p>
        </w:tc>
        <w:tc>
          <w:tcPr>
            <w:tcW w:w="1838" w:type="dxa"/>
            <w:tcBorders>
              <w:top w:val="nil"/>
              <w:left w:val="nil"/>
              <w:bottom w:val="single" w:sz="4" w:space="0" w:color="auto"/>
              <w:right w:val="single" w:sz="4" w:space="0" w:color="auto"/>
            </w:tcBorders>
            <w:shd w:val="clear" w:color="auto" w:fill="auto"/>
            <w:noWrap/>
            <w:vAlign w:val="bottom"/>
          </w:tcPr>
          <w:p w14:paraId="6E8C5E97"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0.81 (0.53-1.24; 0.3</w:t>
            </w:r>
            <w:r>
              <w:rPr>
                <w:rFonts w:ascii="Calibri" w:hAnsi="Calibri" w:cs="Calibri"/>
                <w:color w:val="000000"/>
                <w:sz w:val="16"/>
                <w:szCs w:val="16"/>
              </w:rPr>
              <w:t>3</w:t>
            </w:r>
            <w:r w:rsidRPr="00F765E0">
              <w:rPr>
                <w:rFonts w:ascii="Calibri" w:hAnsi="Calibri" w:cs="Calibri"/>
                <w:color w:val="000000"/>
                <w:sz w:val="16"/>
                <w:szCs w:val="16"/>
              </w:rPr>
              <w:t>)</w:t>
            </w:r>
          </w:p>
        </w:tc>
      </w:tr>
      <w:tr w:rsidR="00E30D79" w:rsidRPr="0093460E" w14:paraId="056750EF" w14:textId="77777777" w:rsidTr="00C26C4B">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BFAB7"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WOMEN</w:t>
            </w:r>
          </w:p>
        </w:tc>
        <w:tc>
          <w:tcPr>
            <w:tcW w:w="8046" w:type="dxa"/>
            <w:gridSpan w:val="4"/>
            <w:tcBorders>
              <w:top w:val="single" w:sz="4" w:space="0" w:color="auto"/>
              <w:left w:val="nil"/>
              <w:bottom w:val="nil"/>
              <w:right w:val="single" w:sz="4" w:space="0" w:color="auto"/>
            </w:tcBorders>
            <w:shd w:val="clear" w:color="auto" w:fill="auto"/>
            <w:noWrap/>
            <w:vAlign w:val="bottom"/>
          </w:tcPr>
          <w:p w14:paraId="0B2E2C54" w14:textId="77777777" w:rsidR="00E30D79" w:rsidRPr="0093460E" w:rsidRDefault="00E30D79" w:rsidP="00C26C4B">
            <w:pPr>
              <w:jc w:val="center"/>
              <w:rPr>
                <w:rFonts w:ascii="Calibri" w:hAnsi="Calibri" w:cs="Calibri"/>
                <w:color w:val="000000"/>
                <w:sz w:val="16"/>
                <w:szCs w:val="16"/>
              </w:rPr>
            </w:pPr>
            <w:r w:rsidRPr="0093460E">
              <w:rPr>
                <w:rFonts w:ascii="Calibri" w:eastAsia="Times New Roman" w:hAnsi="Calibri" w:cs="Calibri"/>
                <w:b/>
                <w:bCs/>
                <w:color w:val="000000"/>
                <w:sz w:val="16"/>
                <w:szCs w:val="16"/>
                <w:lang w:val="en-US"/>
              </w:rPr>
              <w:t>Mortality or HF-hospitalization</w:t>
            </w:r>
          </w:p>
        </w:tc>
      </w:tr>
      <w:tr w:rsidR="00E30D79" w:rsidRPr="0093460E" w14:paraId="1292D49B" w14:textId="77777777" w:rsidTr="00C26C4B">
        <w:trPr>
          <w:trHeight w:val="240"/>
        </w:trPr>
        <w:tc>
          <w:tcPr>
            <w:tcW w:w="1660" w:type="dxa"/>
            <w:tcBorders>
              <w:top w:val="single" w:sz="4" w:space="0" w:color="auto"/>
              <w:left w:val="single" w:sz="4" w:space="0" w:color="auto"/>
              <w:bottom w:val="nil"/>
              <w:right w:val="single" w:sz="4" w:space="0" w:color="auto"/>
            </w:tcBorders>
            <w:shd w:val="clear" w:color="auto" w:fill="auto"/>
            <w:noWrap/>
            <w:vAlign w:val="bottom"/>
          </w:tcPr>
          <w:p w14:paraId="6798A01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lang w:val="en-US"/>
              </w:rPr>
              <w:t> </w:t>
            </w:r>
          </w:p>
        </w:tc>
        <w:tc>
          <w:tcPr>
            <w:tcW w:w="1833" w:type="dxa"/>
            <w:tcBorders>
              <w:top w:val="nil"/>
              <w:left w:val="nil"/>
              <w:bottom w:val="nil"/>
              <w:right w:val="nil"/>
            </w:tcBorders>
            <w:shd w:val="clear" w:color="auto" w:fill="auto"/>
            <w:noWrap/>
            <w:vAlign w:val="bottom"/>
          </w:tcPr>
          <w:p w14:paraId="65416B57"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0% BB</w:t>
            </w:r>
          </w:p>
        </w:tc>
        <w:tc>
          <w:tcPr>
            <w:tcW w:w="2460" w:type="dxa"/>
            <w:tcBorders>
              <w:top w:val="nil"/>
              <w:left w:val="nil"/>
              <w:bottom w:val="nil"/>
              <w:right w:val="nil"/>
            </w:tcBorders>
            <w:shd w:val="clear" w:color="auto" w:fill="auto"/>
            <w:noWrap/>
            <w:vAlign w:val="bottom"/>
          </w:tcPr>
          <w:p w14:paraId="19BFC72B"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1-49% BB</w:t>
            </w:r>
          </w:p>
        </w:tc>
        <w:tc>
          <w:tcPr>
            <w:tcW w:w="1915" w:type="dxa"/>
            <w:tcBorders>
              <w:top w:val="nil"/>
              <w:left w:val="nil"/>
              <w:bottom w:val="nil"/>
              <w:right w:val="nil"/>
            </w:tcBorders>
            <w:shd w:val="clear" w:color="auto" w:fill="auto"/>
            <w:noWrap/>
            <w:vAlign w:val="bottom"/>
          </w:tcPr>
          <w:p w14:paraId="6D4878F0"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50-99% BB</w:t>
            </w:r>
          </w:p>
        </w:tc>
        <w:tc>
          <w:tcPr>
            <w:tcW w:w="1838" w:type="dxa"/>
            <w:tcBorders>
              <w:top w:val="nil"/>
              <w:left w:val="nil"/>
              <w:bottom w:val="nil"/>
              <w:right w:val="single" w:sz="4" w:space="0" w:color="auto"/>
            </w:tcBorders>
            <w:shd w:val="clear" w:color="auto" w:fill="auto"/>
            <w:noWrap/>
            <w:vAlign w:val="bottom"/>
          </w:tcPr>
          <w:p w14:paraId="1054717F"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100% BB</w:t>
            </w:r>
          </w:p>
        </w:tc>
      </w:tr>
      <w:tr w:rsidR="00E30D79" w:rsidRPr="0093460E" w14:paraId="01B1484B" w14:textId="77777777" w:rsidTr="00C26C4B">
        <w:trPr>
          <w:trHeight w:val="240"/>
        </w:trPr>
        <w:tc>
          <w:tcPr>
            <w:tcW w:w="1660" w:type="dxa"/>
            <w:tcBorders>
              <w:top w:val="nil"/>
              <w:left w:val="single" w:sz="4" w:space="0" w:color="auto"/>
              <w:bottom w:val="nil"/>
              <w:right w:val="single" w:sz="4" w:space="0" w:color="auto"/>
            </w:tcBorders>
            <w:shd w:val="clear" w:color="auto" w:fill="D9D9D9" w:themeFill="background1" w:themeFillShade="D9"/>
            <w:noWrap/>
            <w:vAlign w:val="bottom"/>
          </w:tcPr>
          <w:p w14:paraId="25F2EC04"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D9D9D9" w:themeFill="background1" w:themeFillShade="D9"/>
            <w:noWrap/>
            <w:vAlign w:val="bottom"/>
          </w:tcPr>
          <w:p w14:paraId="735527A6"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w:t>
            </w:r>
          </w:p>
        </w:tc>
        <w:tc>
          <w:tcPr>
            <w:tcW w:w="2460" w:type="dxa"/>
            <w:tcBorders>
              <w:top w:val="nil"/>
              <w:left w:val="nil"/>
              <w:bottom w:val="nil"/>
              <w:right w:val="nil"/>
            </w:tcBorders>
            <w:shd w:val="clear" w:color="auto" w:fill="D9D9D9" w:themeFill="background1" w:themeFillShade="D9"/>
            <w:noWrap/>
            <w:vAlign w:val="bottom"/>
          </w:tcPr>
          <w:p w14:paraId="24DEEF1C"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1.11 (0.77-1.61; 0.58)</w:t>
            </w:r>
          </w:p>
        </w:tc>
        <w:tc>
          <w:tcPr>
            <w:tcW w:w="1915" w:type="dxa"/>
            <w:tcBorders>
              <w:top w:val="nil"/>
              <w:left w:val="nil"/>
              <w:bottom w:val="nil"/>
              <w:right w:val="nil"/>
            </w:tcBorders>
            <w:shd w:val="clear" w:color="auto" w:fill="D9D9D9" w:themeFill="background1" w:themeFillShade="D9"/>
            <w:noWrap/>
            <w:vAlign w:val="bottom"/>
          </w:tcPr>
          <w:p w14:paraId="1787DCEA"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1</w:t>
            </w:r>
            <w:r>
              <w:rPr>
                <w:rFonts w:ascii="Calibri" w:hAnsi="Calibri" w:cs="Calibri"/>
                <w:color w:val="000000"/>
                <w:sz w:val="16"/>
                <w:szCs w:val="16"/>
              </w:rPr>
              <w:t>.00</w:t>
            </w:r>
            <w:r w:rsidRPr="0093460E">
              <w:rPr>
                <w:rFonts w:ascii="Calibri" w:hAnsi="Calibri" w:cs="Calibri"/>
                <w:color w:val="000000"/>
                <w:sz w:val="16"/>
                <w:szCs w:val="16"/>
              </w:rPr>
              <w:t xml:space="preserve"> (0.61-1.65; 0.99)</w:t>
            </w:r>
          </w:p>
        </w:tc>
        <w:tc>
          <w:tcPr>
            <w:tcW w:w="1838" w:type="dxa"/>
            <w:tcBorders>
              <w:top w:val="nil"/>
              <w:left w:val="nil"/>
              <w:bottom w:val="nil"/>
              <w:right w:val="single" w:sz="4" w:space="0" w:color="auto"/>
            </w:tcBorders>
            <w:shd w:val="clear" w:color="auto" w:fill="D9D9D9" w:themeFill="background1" w:themeFillShade="D9"/>
            <w:noWrap/>
            <w:vAlign w:val="bottom"/>
          </w:tcPr>
          <w:p w14:paraId="5232CB62"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0.94 (0.51-1.74; 0.84)</w:t>
            </w:r>
          </w:p>
        </w:tc>
      </w:tr>
      <w:tr w:rsidR="00E30D79" w:rsidRPr="0093460E" w14:paraId="02911162"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092F28FC"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auto"/>
            <w:noWrap/>
            <w:vAlign w:val="bottom"/>
          </w:tcPr>
          <w:p w14:paraId="714406D1"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0.88 (0.56-1.38; 0.5</w:t>
            </w:r>
            <w:r>
              <w:rPr>
                <w:rFonts w:ascii="Calibri" w:hAnsi="Calibri" w:cs="Calibri"/>
                <w:color w:val="000000"/>
                <w:sz w:val="16"/>
                <w:szCs w:val="16"/>
              </w:rPr>
              <w:t>9</w:t>
            </w:r>
            <w:r w:rsidRPr="0093460E">
              <w:rPr>
                <w:rFonts w:ascii="Calibri" w:hAnsi="Calibri" w:cs="Calibri"/>
                <w:color w:val="000000"/>
                <w:sz w:val="16"/>
                <w:szCs w:val="16"/>
              </w:rPr>
              <w:t>)</w:t>
            </w:r>
          </w:p>
        </w:tc>
        <w:tc>
          <w:tcPr>
            <w:tcW w:w="2460" w:type="dxa"/>
            <w:tcBorders>
              <w:top w:val="nil"/>
              <w:left w:val="nil"/>
              <w:bottom w:val="nil"/>
              <w:right w:val="nil"/>
            </w:tcBorders>
            <w:shd w:val="clear" w:color="auto" w:fill="auto"/>
            <w:noWrap/>
            <w:vAlign w:val="bottom"/>
          </w:tcPr>
          <w:p w14:paraId="59C66465"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0.59 (0.41-0.84; 0.003)</w:t>
            </w:r>
          </w:p>
        </w:tc>
        <w:tc>
          <w:tcPr>
            <w:tcW w:w="1915" w:type="dxa"/>
            <w:tcBorders>
              <w:top w:val="nil"/>
              <w:left w:val="nil"/>
              <w:bottom w:val="nil"/>
              <w:right w:val="nil"/>
            </w:tcBorders>
            <w:shd w:val="clear" w:color="auto" w:fill="auto"/>
            <w:noWrap/>
            <w:vAlign w:val="bottom"/>
          </w:tcPr>
          <w:p w14:paraId="2B065793"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0.51 (0.31-0.84; 0.0</w:t>
            </w:r>
            <w:r>
              <w:rPr>
                <w:rFonts w:ascii="Calibri" w:hAnsi="Calibri" w:cs="Calibri"/>
                <w:color w:val="000000"/>
                <w:sz w:val="16"/>
                <w:szCs w:val="16"/>
              </w:rPr>
              <w:t>08</w:t>
            </w:r>
            <w:r w:rsidRPr="0093460E">
              <w:rPr>
                <w:rFonts w:ascii="Calibri" w:hAnsi="Calibri" w:cs="Calibri"/>
                <w:color w:val="000000"/>
                <w:sz w:val="16"/>
                <w:szCs w:val="16"/>
              </w:rPr>
              <w:t>)</w:t>
            </w:r>
          </w:p>
        </w:tc>
        <w:tc>
          <w:tcPr>
            <w:tcW w:w="1838" w:type="dxa"/>
            <w:tcBorders>
              <w:top w:val="nil"/>
              <w:left w:val="nil"/>
              <w:bottom w:val="nil"/>
              <w:right w:val="single" w:sz="4" w:space="0" w:color="auto"/>
            </w:tcBorders>
            <w:shd w:val="clear" w:color="auto" w:fill="auto"/>
            <w:noWrap/>
            <w:vAlign w:val="bottom"/>
          </w:tcPr>
          <w:p w14:paraId="2D5A76EC"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0.86 (0.47-1.55; 0.6</w:t>
            </w:r>
            <w:r>
              <w:rPr>
                <w:rFonts w:ascii="Calibri" w:hAnsi="Calibri" w:cs="Calibri"/>
                <w:color w:val="000000"/>
                <w:sz w:val="16"/>
                <w:szCs w:val="16"/>
              </w:rPr>
              <w:t>1</w:t>
            </w:r>
            <w:r w:rsidRPr="0093460E">
              <w:rPr>
                <w:rFonts w:ascii="Calibri" w:hAnsi="Calibri" w:cs="Calibri"/>
                <w:color w:val="000000"/>
                <w:sz w:val="16"/>
                <w:szCs w:val="16"/>
              </w:rPr>
              <w:t>)</w:t>
            </w:r>
          </w:p>
        </w:tc>
      </w:tr>
      <w:tr w:rsidR="00E30D79" w:rsidRPr="0093460E" w14:paraId="2EDEB947" w14:textId="77777777" w:rsidTr="00C26C4B">
        <w:trPr>
          <w:trHeight w:val="240"/>
        </w:trPr>
        <w:tc>
          <w:tcPr>
            <w:tcW w:w="1660" w:type="dxa"/>
            <w:tcBorders>
              <w:top w:val="nil"/>
              <w:left w:val="single" w:sz="4" w:space="0" w:color="auto"/>
              <w:right w:val="single" w:sz="4" w:space="0" w:color="auto"/>
            </w:tcBorders>
            <w:shd w:val="clear" w:color="auto" w:fill="D9D9D9" w:themeFill="background1" w:themeFillShade="D9"/>
            <w:noWrap/>
            <w:vAlign w:val="bottom"/>
          </w:tcPr>
          <w:p w14:paraId="12548152"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right w:val="nil"/>
            </w:tcBorders>
            <w:shd w:val="clear" w:color="auto" w:fill="D9D9D9" w:themeFill="background1" w:themeFillShade="D9"/>
            <w:noWrap/>
            <w:vAlign w:val="bottom"/>
          </w:tcPr>
          <w:p w14:paraId="4EF1DA6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0.85 (0.51-1.42; 0.54)</w:t>
            </w:r>
          </w:p>
        </w:tc>
        <w:tc>
          <w:tcPr>
            <w:tcW w:w="2460" w:type="dxa"/>
            <w:tcBorders>
              <w:top w:val="nil"/>
              <w:left w:val="nil"/>
              <w:right w:val="nil"/>
            </w:tcBorders>
            <w:shd w:val="clear" w:color="auto" w:fill="D9D9D9" w:themeFill="background1" w:themeFillShade="D9"/>
            <w:noWrap/>
            <w:vAlign w:val="bottom"/>
          </w:tcPr>
          <w:p w14:paraId="2F550B1F"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0.47 (0.31-0.71;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right w:val="nil"/>
            </w:tcBorders>
            <w:shd w:val="clear" w:color="auto" w:fill="D9D9D9" w:themeFill="background1" w:themeFillShade="D9"/>
            <w:noWrap/>
            <w:vAlign w:val="bottom"/>
          </w:tcPr>
          <w:p w14:paraId="6C986C57"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0.43 (0.3</w:t>
            </w:r>
            <w:r>
              <w:rPr>
                <w:rFonts w:ascii="Calibri" w:hAnsi="Calibri" w:cs="Calibri"/>
                <w:color w:val="000000"/>
                <w:sz w:val="16"/>
                <w:szCs w:val="16"/>
              </w:rPr>
              <w:t>0</w:t>
            </w:r>
            <w:r w:rsidRPr="0093460E">
              <w:rPr>
                <w:rFonts w:ascii="Calibri" w:hAnsi="Calibri" w:cs="Calibri"/>
                <w:color w:val="000000"/>
                <w:sz w:val="16"/>
                <w:szCs w:val="16"/>
              </w:rPr>
              <w:t>-0.61</w:t>
            </w:r>
            <w:r>
              <w:rPr>
                <w:rFonts w:ascii="Calibri" w:hAnsi="Calibri" w:cs="Calibri"/>
                <w:color w:val="000000"/>
                <w:sz w:val="16"/>
                <w:szCs w:val="16"/>
              </w:rPr>
              <w:t>; &lt;0.001</w:t>
            </w:r>
            <w:r w:rsidRPr="00065563">
              <w:rPr>
                <w:rFonts w:ascii="Calibri" w:hAnsi="Calibri" w:cs="Calibri"/>
                <w:color w:val="000000"/>
                <w:sz w:val="16"/>
                <w:szCs w:val="16"/>
              </w:rPr>
              <w:t>)</w:t>
            </w:r>
          </w:p>
        </w:tc>
        <w:tc>
          <w:tcPr>
            <w:tcW w:w="1838" w:type="dxa"/>
            <w:tcBorders>
              <w:top w:val="nil"/>
              <w:left w:val="nil"/>
              <w:right w:val="single" w:sz="4" w:space="0" w:color="auto"/>
            </w:tcBorders>
            <w:shd w:val="clear" w:color="auto" w:fill="D9D9D9" w:themeFill="background1" w:themeFillShade="D9"/>
            <w:noWrap/>
            <w:vAlign w:val="bottom"/>
          </w:tcPr>
          <w:p w14:paraId="2E813BC5"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0.56 (0.39-0.82; 0.00</w:t>
            </w:r>
            <w:r>
              <w:rPr>
                <w:rFonts w:ascii="Calibri" w:hAnsi="Calibri" w:cs="Calibri"/>
                <w:color w:val="000000"/>
                <w:sz w:val="16"/>
                <w:szCs w:val="16"/>
              </w:rPr>
              <w:t>3</w:t>
            </w:r>
            <w:r w:rsidRPr="0093460E">
              <w:rPr>
                <w:rFonts w:ascii="Calibri" w:hAnsi="Calibri" w:cs="Calibri"/>
                <w:color w:val="000000"/>
                <w:sz w:val="16"/>
                <w:szCs w:val="16"/>
              </w:rPr>
              <w:t>)</w:t>
            </w:r>
          </w:p>
        </w:tc>
      </w:tr>
      <w:tr w:rsidR="00E30D79" w:rsidRPr="0093460E" w14:paraId="4E7604D8" w14:textId="77777777" w:rsidTr="00C26C4B">
        <w:trPr>
          <w:trHeight w:val="240"/>
        </w:trPr>
        <w:tc>
          <w:tcPr>
            <w:tcW w:w="1660" w:type="dxa"/>
            <w:tcBorders>
              <w:top w:val="nil"/>
              <w:left w:val="single" w:sz="4" w:space="0" w:color="auto"/>
              <w:bottom w:val="single" w:sz="4" w:space="0" w:color="auto"/>
              <w:right w:val="single" w:sz="4" w:space="0" w:color="auto"/>
            </w:tcBorders>
            <w:shd w:val="clear" w:color="auto" w:fill="auto"/>
            <w:noWrap/>
            <w:vAlign w:val="bottom"/>
          </w:tcPr>
          <w:p w14:paraId="3176A1ED"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single" w:sz="4" w:space="0" w:color="auto"/>
              <w:right w:val="nil"/>
            </w:tcBorders>
            <w:shd w:val="clear" w:color="auto" w:fill="auto"/>
            <w:noWrap/>
            <w:vAlign w:val="bottom"/>
          </w:tcPr>
          <w:p w14:paraId="2F2EBF5D"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1.06 (0.61-1.86; 0.8</w:t>
            </w:r>
            <w:r>
              <w:rPr>
                <w:rFonts w:ascii="Calibri" w:hAnsi="Calibri" w:cs="Calibri"/>
                <w:color w:val="000000"/>
                <w:sz w:val="16"/>
                <w:szCs w:val="16"/>
              </w:rPr>
              <w:t>3</w:t>
            </w:r>
            <w:r w:rsidRPr="0093460E">
              <w:rPr>
                <w:rFonts w:ascii="Calibri" w:hAnsi="Calibri" w:cs="Calibri"/>
                <w:color w:val="000000"/>
                <w:sz w:val="16"/>
                <w:szCs w:val="16"/>
              </w:rPr>
              <w:t>)</w:t>
            </w:r>
          </w:p>
        </w:tc>
        <w:tc>
          <w:tcPr>
            <w:tcW w:w="2460" w:type="dxa"/>
            <w:tcBorders>
              <w:top w:val="nil"/>
              <w:left w:val="nil"/>
              <w:bottom w:val="single" w:sz="4" w:space="0" w:color="auto"/>
              <w:right w:val="nil"/>
            </w:tcBorders>
            <w:shd w:val="clear" w:color="auto" w:fill="auto"/>
            <w:noWrap/>
            <w:vAlign w:val="bottom"/>
          </w:tcPr>
          <w:p w14:paraId="2F702A74"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0.58 (0.37-0.91; 0.0</w:t>
            </w:r>
            <w:r>
              <w:rPr>
                <w:rFonts w:ascii="Calibri" w:hAnsi="Calibri" w:cs="Calibri"/>
                <w:color w:val="000000"/>
                <w:sz w:val="16"/>
                <w:szCs w:val="16"/>
              </w:rPr>
              <w:t>2)</w:t>
            </w:r>
          </w:p>
        </w:tc>
        <w:tc>
          <w:tcPr>
            <w:tcW w:w="1915" w:type="dxa"/>
            <w:tcBorders>
              <w:top w:val="nil"/>
              <w:left w:val="nil"/>
              <w:bottom w:val="single" w:sz="4" w:space="0" w:color="auto"/>
              <w:right w:val="nil"/>
            </w:tcBorders>
            <w:shd w:val="clear" w:color="auto" w:fill="auto"/>
            <w:noWrap/>
            <w:vAlign w:val="bottom"/>
          </w:tcPr>
          <w:p w14:paraId="7D196B8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0.77 (0.55-1.09; 0.1416)</w:t>
            </w:r>
          </w:p>
        </w:tc>
        <w:tc>
          <w:tcPr>
            <w:tcW w:w="1838" w:type="dxa"/>
            <w:tcBorders>
              <w:top w:val="nil"/>
              <w:left w:val="nil"/>
              <w:bottom w:val="single" w:sz="4" w:space="0" w:color="auto"/>
              <w:right w:val="single" w:sz="4" w:space="0" w:color="auto"/>
            </w:tcBorders>
            <w:shd w:val="clear" w:color="auto" w:fill="auto"/>
            <w:noWrap/>
            <w:vAlign w:val="bottom"/>
          </w:tcPr>
          <w:p w14:paraId="533FB7A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0.35 (0.24-0.53; </w:t>
            </w:r>
            <w:r>
              <w:rPr>
                <w:rFonts w:ascii="Calibri" w:hAnsi="Calibri" w:cs="Calibri"/>
                <w:color w:val="000000"/>
                <w:sz w:val="16"/>
                <w:szCs w:val="16"/>
              </w:rPr>
              <w:t>&lt;0.001</w:t>
            </w:r>
            <w:r w:rsidRPr="0093460E">
              <w:rPr>
                <w:rFonts w:ascii="Calibri" w:hAnsi="Calibri" w:cs="Calibri"/>
                <w:color w:val="000000"/>
                <w:sz w:val="16"/>
                <w:szCs w:val="16"/>
              </w:rPr>
              <w:t>)</w:t>
            </w:r>
          </w:p>
        </w:tc>
      </w:tr>
      <w:tr w:rsidR="00E30D79" w:rsidRPr="0093460E" w14:paraId="2FCF9F65" w14:textId="77777777" w:rsidTr="00C26C4B">
        <w:trPr>
          <w:trHeight w:val="240"/>
        </w:trPr>
        <w:tc>
          <w:tcPr>
            <w:tcW w:w="1660" w:type="dxa"/>
            <w:tcBorders>
              <w:top w:val="single" w:sz="4" w:space="0" w:color="auto"/>
              <w:left w:val="single" w:sz="4" w:space="0" w:color="auto"/>
              <w:bottom w:val="nil"/>
              <w:right w:val="single" w:sz="4" w:space="0" w:color="auto"/>
            </w:tcBorders>
            <w:shd w:val="clear" w:color="auto" w:fill="auto"/>
            <w:noWrap/>
            <w:vAlign w:val="bottom"/>
          </w:tcPr>
          <w:p w14:paraId="20A4B7A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w:t>
            </w:r>
          </w:p>
        </w:tc>
        <w:tc>
          <w:tcPr>
            <w:tcW w:w="8046" w:type="dxa"/>
            <w:gridSpan w:val="4"/>
            <w:tcBorders>
              <w:top w:val="single" w:sz="4" w:space="0" w:color="auto"/>
              <w:left w:val="nil"/>
              <w:bottom w:val="nil"/>
              <w:right w:val="single" w:sz="4" w:space="0" w:color="auto"/>
            </w:tcBorders>
            <w:shd w:val="clear" w:color="auto" w:fill="auto"/>
            <w:noWrap/>
            <w:vAlign w:val="bottom"/>
          </w:tcPr>
          <w:p w14:paraId="6A2530D7" w14:textId="77777777" w:rsidR="00E30D79" w:rsidRPr="0093460E" w:rsidRDefault="00E30D79" w:rsidP="00C26C4B">
            <w:pPr>
              <w:jc w:val="center"/>
              <w:rPr>
                <w:rFonts w:ascii="Calibri" w:hAnsi="Calibri" w:cs="Calibri"/>
                <w:color w:val="000000"/>
                <w:sz w:val="16"/>
                <w:szCs w:val="16"/>
              </w:rPr>
            </w:pPr>
            <w:proofErr w:type="spellStart"/>
            <w:r w:rsidRPr="0093460E">
              <w:rPr>
                <w:rFonts w:ascii="Calibri" w:eastAsia="Times New Roman" w:hAnsi="Calibri" w:cs="Calibri"/>
                <w:b/>
                <w:bCs/>
                <w:color w:val="000000"/>
                <w:sz w:val="16"/>
                <w:szCs w:val="16"/>
              </w:rPr>
              <w:t>Mortality</w:t>
            </w:r>
            <w:proofErr w:type="spellEnd"/>
          </w:p>
        </w:tc>
      </w:tr>
      <w:tr w:rsidR="00E30D79" w:rsidRPr="0093460E" w14:paraId="3E405595"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4B229FC3"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w:t>
            </w:r>
          </w:p>
        </w:tc>
        <w:tc>
          <w:tcPr>
            <w:tcW w:w="1833" w:type="dxa"/>
            <w:tcBorders>
              <w:top w:val="nil"/>
              <w:left w:val="nil"/>
              <w:bottom w:val="nil"/>
              <w:right w:val="nil"/>
            </w:tcBorders>
            <w:shd w:val="clear" w:color="auto" w:fill="auto"/>
            <w:noWrap/>
            <w:vAlign w:val="bottom"/>
          </w:tcPr>
          <w:p w14:paraId="0A57CCEA"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0% BB</w:t>
            </w:r>
          </w:p>
        </w:tc>
        <w:tc>
          <w:tcPr>
            <w:tcW w:w="2460" w:type="dxa"/>
            <w:tcBorders>
              <w:top w:val="nil"/>
              <w:left w:val="nil"/>
              <w:bottom w:val="nil"/>
              <w:right w:val="nil"/>
            </w:tcBorders>
            <w:shd w:val="clear" w:color="auto" w:fill="auto"/>
            <w:noWrap/>
            <w:vAlign w:val="bottom"/>
          </w:tcPr>
          <w:p w14:paraId="655CF503"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1-49% BB</w:t>
            </w:r>
          </w:p>
        </w:tc>
        <w:tc>
          <w:tcPr>
            <w:tcW w:w="1915" w:type="dxa"/>
            <w:tcBorders>
              <w:top w:val="nil"/>
              <w:left w:val="nil"/>
              <w:bottom w:val="nil"/>
              <w:right w:val="nil"/>
            </w:tcBorders>
            <w:shd w:val="clear" w:color="auto" w:fill="auto"/>
            <w:noWrap/>
            <w:vAlign w:val="bottom"/>
          </w:tcPr>
          <w:p w14:paraId="3A306349"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50-99% BB</w:t>
            </w:r>
          </w:p>
        </w:tc>
        <w:tc>
          <w:tcPr>
            <w:tcW w:w="1838" w:type="dxa"/>
            <w:tcBorders>
              <w:top w:val="nil"/>
              <w:left w:val="nil"/>
              <w:bottom w:val="nil"/>
              <w:right w:val="single" w:sz="4" w:space="0" w:color="auto"/>
            </w:tcBorders>
            <w:shd w:val="clear" w:color="auto" w:fill="auto"/>
            <w:noWrap/>
            <w:vAlign w:val="bottom"/>
          </w:tcPr>
          <w:p w14:paraId="6D5DB046"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100% BB</w:t>
            </w:r>
          </w:p>
        </w:tc>
      </w:tr>
      <w:tr w:rsidR="00E30D79" w:rsidRPr="0093460E" w14:paraId="50695B30" w14:textId="77777777" w:rsidTr="00C26C4B">
        <w:trPr>
          <w:trHeight w:val="240"/>
        </w:trPr>
        <w:tc>
          <w:tcPr>
            <w:tcW w:w="1660" w:type="dxa"/>
            <w:tcBorders>
              <w:top w:val="nil"/>
              <w:left w:val="single" w:sz="4" w:space="0" w:color="auto"/>
              <w:bottom w:val="nil"/>
              <w:right w:val="single" w:sz="4" w:space="0" w:color="auto"/>
            </w:tcBorders>
            <w:shd w:val="clear" w:color="auto" w:fill="D9D9D9" w:themeFill="background1" w:themeFillShade="D9"/>
            <w:noWrap/>
            <w:vAlign w:val="bottom"/>
          </w:tcPr>
          <w:p w14:paraId="451FFB3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D9D9D9" w:themeFill="background1" w:themeFillShade="D9"/>
            <w:noWrap/>
            <w:vAlign w:val="bottom"/>
          </w:tcPr>
          <w:p w14:paraId="76F433E8"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w:t>
            </w:r>
          </w:p>
        </w:tc>
        <w:tc>
          <w:tcPr>
            <w:tcW w:w="2460" w:type="dxa"/>
            <w:tcBorders>
              <w:top w:val="nil"/>
              <w:left w:val="nil"/>
              <w:bottom w:val="nil"/>
              <w:right w:val="nil"/>
            </w:tcBorders>
            <w:shd w:val="clear" w:color="auto" w:fill="D9D9D9" w:themeFill="background1" w:themeFillShade="D9"/>
            <w:noWrap/>
            <w:vAlign w:val="bottom"/>
          </w:tcPr>
          <w:p w14:paraId="11783276"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0.79 (0.52-1.2</w:t>
            </w:r>
            <w:r>
              <w:rPr>
                <w:rFonts w:ascii="Calibri" w:hAnsi="Calibri" w:cs="Calibri"/>
                <w:color w:val="000000"/>
                <w:sz w:val="16"/>
                <w:szCs w:val="16"/>
              </w:rPr>
              <w:t>0</w:t>
            </w:r>
            <w:r w:rsidRPr="0093460E">
              <w:rPr>
                <w:rFonts w:ascii="Calibri" w:hAnsi="Calibri" w:cs="Calibri"/>
                <w:color w:val="000000"/>
                <w:sz w:val="16"/>
                <w:szCs w:val="16"/>
              </w:rPr>
              <w:t>; 0.27)</w:t>
            </w:r>
          </w:p>
        </w:tc>
        <w:tc>
          <w:tcPr>
            <w:tcW w:w="1915" w:type="dxa"/>
            <w:tcBorders>
              <w:top w:val="nil"/>
              <w:left w:val="nil"/>
              <w:bottom w:val="nil"/>
              <w:right w:val="nil"/>
            </w:tcBorders>
            <w:shd w:val="clear" w:color="auto" w:fill="D9D9D9" w:themeFill="background1" w:themeFillShade="D9"/>
            <w:noWrap/>
            <w:vAlign w:val="bottom"/>
          </w:tcPr>
          <w:p w14:paraId="4B3490FD"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0.67 (0.37-1.22; 0.194</w:t>
            </w:r>
          </w:p>
        </w:tc>
        <w:tc>
          <w:tcPr>
            <w:tcW w:w="1838" w:type="dxa"/>
            <w:tcBorders>
              <w:top w:val="nil"/>
              <w:left w:val="nil"/>
              <w:bottom w:val="nil"/>
              <w:right w:val="single" w:sz="4" w:space="0" w:color="auto"/>
            </w:tcBorders>
            <w:shd w:val="clear" w:color="auto" w:fill="D9D9D9" w:themeFill="background1" w:themeFillShade="D9"/>
            <w:noWrap/>
            <w:vAlign w:val="bottom"/>
          </w:tcPr>
          <w:p w14:paraId="3AAB159F"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0.47 (0.21-1.06; 0.0</w:t>
            </w:r>
            <w:r>
              <w:rPr>
                <w:rFonts w:ascii="Calibri" w:hAnsi="Calibri" w:cs="Calibri"/>
                <w:color w:val="000000"/>
                <w:sz w:val="16"/>
                <w:szCs w:val="16"/>
              </w:rPr>
              <w:t>7</w:t>
            </w:r>
            <w:r w:rsidRPr="0093460E">
              <w:rPr>
                <w:rFonts w:ascii="Calibri" w:hAnsi="Calibri" w:cs="Calibri"/>
                <w:color w:val="000000"/>
                <w:sz w:val="16"/>
                <w:szCs w:val="16"/>
              </w:rPr>
              <w:t>)</w:t>
            </w:r>
          </w:p>
        </w:tc>
      </w:tr>
      <w:tr w:rsidR="00E30D79" w:rsidRPr="0093460E" w14:paraId="6CE53F6F"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74DC25E3"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auto"/>
            <w:noWrap/>
            <w:vAlign w:val="bottom"/>
          </w:tcPr>
          <w:p w14:paraId="3CA6736B"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0.71 (0.43-1.19; 0.19)</w:t>
            </w:r>
          </w:p>
        </w:tc>
        <w:tc>
          <w:tcPr>
            <w:tcW w:w="2460" w:type="dxa"/>
            <w:tcBorders>
              <w:top w:val="nil"/>
              <w:left w:val="nil"/>
              <w:bottom w:val="nil"/>
              <w:right w:val="nil"/>
            </w:tcBorders>
            <w:shd w:val="clear" w:color="auto" w:fill="auto"/>
            <w:noWrap/>
            <w:vAlign w:val="bottom"/>
          </w:tcPr>
          <w:p w14:paraId="58A6B6BF"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0.34 (0.23-0.52;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bottom w:val="nil"/>
              <w:right w:val="nil"/>
            </w:tcBorders>
            <w:shd w:val="clear" w:color="auto" w:fill="auto"/>
            <w:noWrap/>
            <w:vAlign w:val="bottom"/>
          </w:tcPr>
          <w:p w14:paraId="0EBDA64A"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0.33 (0.18-0.6</w:t>
            </w:r>
            <w:r>
              <w:rPr>
                <w:rFonts w:ascii="Calibri" w:hAnsi="Calibri" w:cs="Calibri"/>
                <w:color w:val="000000"/>
                <w:sz w:val="16"/>
                <w:szCs w:val="16"/>
              </w:rPr>
              <w:t>0</w:t>
            </w:r>
            <w:r w:rsidRPr="0093460E">
              <w:rPr>
                <w:rFonts w:ascii="Calibri" w:hAnsi="Calibri" w:cs="Calibri"/>
                <w:color w:val="000000"/>
                <w:sz w:val="16"/>
                <w:szCs w:val="16"/>
              </w:rPr>
              <w:t xml:space="preserve">;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nil"/>
              <w:right w:val="single" w:sz="4" w:space="0" w:color="auto"/>
            </w:tcBorders>
            <w:shd w:val="clear" w:color="auto" w:fill="auto"/>
            <w:noWrap/>
            <w:vAlign w:val="bottom"/>
          </w:tcPr>
          <w:p w14:paraId="1CA123C0"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0.44 (0.2</w:t>
            </w:r>
            <w:r>
              <w:rPr>
                <w:rFonts w:ascii="Calibri" w:hAnsi="Calibri" w:cs="Calibri"/>
                <w:color w:val="000000"/>
                <w:sz w:val="16"/>
                <w:szCs w:val="16"/>
              </w:rPr>
              <w:t>0</w:t>
            </w:r>
            <w:r w:rsidRPr="0093460E">
              <w:rPr>
                <w:rFonts w:ascii="Calibri" w:hAnsi="Calibri" w:cs="Calibri"/>
                <w:color w:val="000000"/>
                <w:sz w:val="16"/>
                <w:szCs w:val="16"/>
              </w:rPr>
              <w:t>-0.96; 0.0</w:t>
            </w:r>
            <w:r>
              <w:rPr>
                <w:rFonts w:ascii="Calibri" w:hAnsi="Calibri" w:cs="Calibri"/>
                <w:color w:val="000000"/>
                <w:sz w:val="16"/>
                <w:szCs w:val="16"/>
              </w:rPr>
              <w:t>4</w:t>
            </w:r>
            <w:r w:rsidRPr="0093460E">
              <w:rPr>
                <w:rFonts w:ascii="Calibri" w:hAnsi="Calibri" w:cs="Calibri"/>
                <w:color w:val="000000"/>
                <w:sz w:val="16"/>
                <w:szCs w:val="16"/>
              </w:rPr>
              <w:t>)</w:t>
            </w:r>
          </w:p>
        </w:tc>
      </w:tr>
      <w:tr w:rsidR="00E30D79" w:rsidRPr="0093460E" w14:paraId="6B9B14A2" w14:textId="77777777" w:rsidTr="00C26C4B">
        <w:trPr>
          <w:trHeight w:val="240"/>
        </w:trPr>
        <w:tc>
          <w:tcPr>
            <w:tcW w:w="1660" w:type="dxa"/>
            <w:tcBorders>
              <w:top w:val="nil"/>
              <w:left w:val="single" w:sz="4" w:space="0" w:color="auto"/>
              <w:right w:val="single" w:sz="4" w:space="0" w:color="auto"/>
            </w:tcBorders>
            <w:shd w:val="clear" w:color="auto" w:fill="D9D9D9" w:themeFill="background1" w:themeFillShade="D9"/>
            <w:noWrap/>
            <w:vAlign w:val="bottom"/>
          </w:tcPr>
          <w:p w14:paraId="31BF787D"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right w:val="nil"/>
            </w:tcBorders>
            <w:shd w:val="clear" w:color="auto" w:fill="D9D9D9" w:themeFill="background1" w:themeFillShade="D9"/>
            <w:noWrap/>
            <w:vAlign w:val="bottom"/>
          </w:tcPr>
          <w:p w14:paraId="197E344C"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0.58 (0.32-1.05; 0.07)</w:t>
            </w:r>
          </w:p>
        </w:tc>
        <w:tc>
          <w:tcPr>
            <w:tcW w:w="2460" w:type="dxa"/>
            <w:tcBorders>
              <w:top w:val="nil"/>
              <w:left w:val="nil"/>
              <w:right w:val="nil"/>
            </w:tcBorders>
            <w:shd w:val="clear" w:color="auto" w:fill="D9D9D9" w:themeFill="background1" w:themeFillShade="D9"/>
            <w:noWrap/>
            <w:vAlign w:val="bottom"/>
          </w:tcPr>
          <w:p w14:paraId="19A8F5C5"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0.28 (0.17-0.45;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right w:val="nil"/>
            </w:tcBorders>
            <w:shd w:val="clear" w:color="auto" w:fill="D9D9D9" w:themeFill="background1" w:themeFillShade="D9"/>
            <w:noWrap/>
            <w:vAlign w:val="bottom"/>
          </w:tcPr>
          <w:p w14:paraId="01E935DA"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0.21 (0.14-0.32</w:t>
            </w:r>
            <w:r>
              <w:rPr>
                <w:rFonts w:ascii="Calibri" w:hAnsi="Calibri" w:cs="Calibri"/>
                <w:color w:val="000000"/>
                <w:sz w:val="16"/>
                <w:szCs w:val="16"/>
              </w:rPr>
              <w:t>; &lt;0.001</w:t>
            </w:r>
            <w:r w:rsidRPr="00065563">
              <w:rPr>
                <w:rFonts w:ascii="Calibri" w:hAnsi="Calibri" w:cs="Calibri"/>
                <w:color w:val="000000"/>
                <w:sz w:val="16"/>
                <w:szCs w:val="16"/>
              </w:rPr>
              <w:t>)</w:t>
            </w:r>
          </w:p>
        </w:tc>
        <w:tc>
          <w:tcPr>
            <w:tcW w:w="1838" w:type="dxa"/>
            <w:tcBorders>
              <w:top w:val="nil"/>
              <w:left w:val="nil"/>
              <w:right w:val="single" w:sz="4" w:space="0" w:color="auto"/>
            </w:tcBorders>
            <w:shd w:val="clear" w:color="auto" w:fill="D9D9D9" w:themeFill="background1" w:themeFillShade="D9"/>
            <w:noWrap/>
            <w:vAlign w:val="bottom"/>
          </w:tcPr>
          <w:p w14:paraId="6AC390E8" w14:textId="77777777" w:rsidR="00E30D79" w:rsidRPr="0093460E" w:rsidRDefault="00E30D79" w:rsidP="00C26C4B">
            <w:pPr>
              <w:rPr>
                <w:rFonts w:ascii="Calibri" w:hAnsi="Calibri" w:cs="Calibri"/>
                <w:color w:val="000000"/>
                <w:sz w:val="16"/>
                <w:szCs w:val="16"/>
              </w:rPr>
            </w:pPr>
            <w:r w:rsidRPr="0093460E">
              <w:rPr>
                <w:rFonts w:ascii="Calibri" w:hAnsi="Calibri" w:cs="Calibri"/>
                <w:color w:val="000000"/>
                <w:sz w:val="16"/>
                <w:szCs w:val="16"/>
              </w:rPr>
              <w:t xml:space="preserve">0.22 (0.14-0.36;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40131B" w14:paraId="72755C4F" w14:textId="77777777" w:rsidTr="00C26C4B">
        <w:trPr>
          <w:trHeight w:val="240"/>
        </w:trPr>
        <w:tc>
          <w:tcPr>
            <w:tcW w:w="1660" w:type="dxa"/>
            <w:tcBorders>
              <w:top w:val="nil"/>
              <w:left w:val="single" w:sz="4" w:space="0" w:color="auto"/>
              <w:bottom w:val="single" w:sz="4" w:space="0" w:color="auto"/>
              <w:right w:val="single" w:sz="4" w:space="0" w:color="auto"/>
            </w:tcBorders>
            <w:shd w:val="clear" w:color="auto" w:fill="auto"/>
            <w:noWrap/>
            <w:vAlign w:val="bottom"/>
          </w:tcPr>
          <w:p w14:paraId="37738177"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single" w:sz="4" w:space="0" w:color="auto"/>
              <w:right w:val="nil"/>
            </w:tcBorders>
            <w:shd w:val="clear" w:color="auto" w:fill="auto"/>
            <w:noWrap/>
            <w:vAlign w:val="bottom"/>
          </w:tcPr>
          <w:p w14:paraId="653A7A62" w14:textId="77777777" w:rsidR="00E30D79" w:rsidRPr="0040131B" w:rsidRDefault="00E30D79" w:rsidP="00C26C4B">
            <w:pPr>
              <w:rPr>
                <w:rFonts w:ascii="Calibri" w:hAnsi="Calibri" w:cs="Calibri"/>
                <w:color w:val="000000"/>
                <w:sz w:val="16"/>
                <w:szCs w:val="16"/>
              </w:rPr>
            </w:pPr>
            <w:r w:rsidRPr="0040131B">
              <w:rPr>
                <w:rFonts w:ascii="Calibri" w:hAnsi="Calibri" w:cs="Calibri"/>
                <w:color w:val="000000"/>
                <w:sz w:val="16"/>
                <w:szCs w:val="16"/>
              </w:rPr>
              <w:t>0.74 (0.49-1.13; 0.16)</w:t>
            </w:r>
          </w:p>
        </w:tc>
        <w:tc>
          <w:tcPr>
            <w:tcW w:w="2460" w:type="dxa"/>
            <w:tcBorders>
              <w:top w:val="nil"/>
              <w:left w:val="nil"/>
              <w:bottom w:val="single" w:sz="4" w:space="0" w:color="auto"/>
              <w:right w:val="nil"/>
            </w:tcBorders>
            <w:shd w:val="clear" w:color="auto" w:fill="auto"/>
            <w:noWrap/>
            <w:vAlign w:val="bottom"/>
          </w:tcPr>
          <w:p w14:paraId="0F75FEBC" w14:textId="77777777" w:rsidR="00E30D79" w:rsidRPr="0040131B" w:rsidRDefault="00E30D79" w:rsidP="00C26C4B">
            <w:pPr>
              <w:rPr>
                <w:rFonts w:ascii="Calibri" w:hAnsi="Calibri" w:cs="Calibri"/>
                <w:color w:val="000000"/>
                <w:sz w:val="16"/>
                <w:szCs w:val="16"/>
              </w:rPr>
            </w:pPr>
            <w:r w:rsidRPr="0040131B">
              <w:rPr>
                <w:rFonts w:ascii="Calibri" w:hAnsi="Calibri" w:cs="Calibri"/>
                <w:color w:val="000000"/>
                <w:sz w:val="16"/>
                <w:szCs w:val="16"/>
              </w:rPr>
              <w:t xml:space="preserve">0.42 (0.31-0.57; </w:t>
            </w:r>
            <w:r>
              <w:rPr>
                <w:rFonts w:ascii="Calibri" w:hAnsi="Calibri" w:cs="Calibri"/>
                <w:color w:val="000000"/>
                <w:sz w:val="16"/>
                <w:szCs w:val="16"/>
              </w:rPr>
              <w:t>&lt;0.001</w:t>
            </w:r>
            <w:r w:rsidRPr="00065563">
              <w:rPr>
                <w:rFonts w:ascii="Calibri" w:hAnsi="Calibri" w:cs="Calibri"/>
                <w:color w:val="000000"/>
                <w:sz w:val="16"/>
                <w:szCs w:val="16"/>
              </w:rPr>
              <w:t>)</w:t>
            </w:r>
          </w:p>
        </w:tc>
        <w:tc>
          <w:tcPr>
            <w:tcW w:w="1915" w:type="dxa"/>
            <w:tcBorders>
              <w:top w:val="nil"/>
              <w:left w:val="nil"/>
              <w:bottom w:val="single" w:sz="4" w:space="0" w:color="auto"/>
              <w:right w:val="nil"/>
            </w:tcBorders>
            <w:shd w:val="clear" w:color="auto" w:fill="auto"/>
            <w:noWrap/>
            <w:vAlign w:val="bottom"/>
          </w:tcPr>
          <w:p w14:paraId="3CBA32D0" w14:textId="77777777" w:rsidR="00E30D79" w:rsidRPr="0040131B" w:rsidRDefault="00E30D79" w:rsidP="00C26C4B">
            <w:pPr>
              <w:rPr>
                <w:rFonts w:ascii="Calibri" w:hAnsi="Calibri" w:cs="Calibri"/>
                <w:color w:val="000000"/>
                <w:sz w:val="16"/>
                <w:szCs w:val="16"/>
              </w:rPr>
            </w:pPr>
            <w:r w:rsidRPr="0040131B">
              <w:rPr>
                <w:rFonts w:ascii="Calibri" w:hAnsi="Calibri" w:cs="Calibri"/>
                <w:color w:val="000000"/>
                <w:sz w:val="16"/>
                <w:szCs w:val="16"/>
              </w:rPr>
              <w:t>0.39 (0.31-0.5</w:t>
            </w:r>
            <w:r>
              <w:rPr>
                <w:rFonts w:ascii="Calibri" w:hAnsi="Calibri" w:cs="Calibri"/>
                <w:color w:val="000000"/>
                <w:sz w:val="16"/>
                <w:szCs w:val="16"/>
              </w:rPr>
              <w:t>0</w:t>
            </w:r>
            <w:r w:rsidRPr="0040131B">
              <w:rPr>
                <w:rFonts w:ascii="Calibri" w:hAnsi="Calibri" w:cs="Calibri"/>
                <w:color w:val="000000"/>
                <w:sz w:val="16"/>
                <w:szCs w:val="16"/>
              </w:rPr>
              <w:t xml:space="preserve">; </w:t>
            </w:r>
            <w:r>
              <w:rPr>
                <w:rFonts w:ascii="Calibri" w:hAnsi="Calibri" w:cs="Calibri"/>
                <w:color w:val="000000"/>
                <w:sz w:val="16"/>
                <w:szCs w:val="16"/>
              </w:rPr>
              <w:t>&lt;0.001</w:t>
            </w:r>
            <w:r w:rsidRPr="00065563">
              <w:rPr>
                <w:rFonts w:ascii="Calibri" w:hAnsi="Calibri" w:cs="Calibri"/>
                <w:color w:val="000000"/>
                <w:sz w:val="16"/>
                <w:szCs w:val="16"/>
              </w:rPr>
              <w:t>)</w:t>
            </w:r>
          </w:p>
        </w:tc>
        <w:tc>
          <w:tcPr>
            <w:tcW w:w="1838" w:type="dxa"/>
            <w:tcBorders>
              <w:top w:val="nil"/>
              <w:left w:val="nil"/>
              <w:bottom w:val="single" w:sz="4" w:space="0" w:color="auto"/>
              <w:right w:val="single" w:sz="4" w:space="0" w:color="auto"/>
            </w:tcBorders>
            <w:shd w:val="clear" w:color="auto" w:fill="auto"/>
            <w:noWrap/>
            <w:vAlign w:val="bottom"/>
          </w:tcPr>
          <w:p w14:paraId="4E3C1819" w14:textId="77777777" w:rsidR="00E30D79" w:rsidRPr="0040131B" w:rsidRDefault="00E30D79" w:rsidP="00C26C4B">
            <w:pPr>
              <w:rPr>
                <w:rFonts w:ascii="Calibri" w:hAnsi="Calibri" w:cs="Calibri"/>
                <w:color w:val="000000"/>
                <w:sz w:val="16"/>
                <w:szCs w:val="16"/>
              </w:rPr>
            </w:pPr>
            <w:r w:rsidRPr="0040131B">
              <w:rPr>
                <w:rFonts w:ascii="Calibri" w:hAnsi="Calibri" w:cs="Calibri"/>
                <w:color w:val="000000"/>
                <w:sz w:val="16"/>
                <w:szCs w:val="16"/>
              </w:rPr>
              <w:t xml:space="preserve">0.15 (0.11-0.21; </w:t>
            </w:r>
            <w:r>
              <w:rPr>
                <w:rFonts w:ascii="Calibri" w:hAnsi="Calibri" w:cs="Calibri"/>
                <w:color w:val="000000"/>
                <w:sz w:val="16"/>
                <w:szCs w:val="16"/>
              </w:rPr>
              <w:t>&lt;0.001</w:t>
            </w:r>
            <w:r w:rsidRPr="00065563">
              <w:rPr>
                <w:rFonts w:ascii="Calibri" w:hAnsi="Calibri" w:cs="Calibri"/>
                <w:color w:val="000000"/>
                <w:sz w:val="16"/>
                <w:szCs w:val="16"/>
              </w:rPr>
              <w:t>)</w:t>
            </w:r>
          </w:p>
        </w:tc>
      </w:tr>
      <w:tr w:rsidR="00E30D79" w:rsidRPr="0093460E" w14:paraId="71898EC5" w14:textId="77777777" w:rsidTr="00C26C4B">
        <w:trPr>
          <w:trHeight w:val="240"/>
        </w:trPr>
        <w:tc>
          <w:tcPr>
            <w:tcW w:w="1660" w:type="dxa"/>
            <w:tcBorders>
              <w:top w:val="single" w:sz="4" w:space="0" w:color="auto"/>
              <w:left w:val="single" w:sz="4" w:space="0" w:color="auto"/>
              <w:bottom w:val="nil"/>
              <w:right w:val="single" w:sz="4" w:space="0" w:color="auto"/>
            </w:tcBorders>
            <w:shd w:val="clear" w:color="auto" w:fill="auto"/>
            <w:noWrap/>
            <w:vAlign w:val="bottom"/>
          </w:tcPr>
          <w:p w14:paraId="1B632BC0"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lang w:val="en-US"/>
              </w:rPr>
              <w:t> </w:t>
            </w:r>
          </w:p>
        </w:tc>
        <w:tc>
          <w:tcPr>
            <w:tcW w:w="8046" w:type="dxa"/>
            <w:gridSpan w:val="4"/>
            <w:tcBorders>
              <w:top w:val="single" w:sz="4" w:space="0" w:color="auto"/>
              <w:left w:val="nil"/>
              <w:bottom w:val="nil"/>
              <w:right w:val="single" w:sz="4" w:space="0" w:color="auto"/>
            </w:tcBorders>
            <w:shd w:val="clear" w:color="auto" w:fill="auto"/>
            <w:noWrap/>
            <w:vAlign w:val="bottom"/>
          </w:tcPr>
          <w:p w14:paraId="469231B4" w14:textId="77777777" w:rsidR="00E30D79" w:rsidRPr="0093460E" w:rsidRDefault="00E30D79" w:rsidP="00C26C4B">
            <w:pPr>
              <w:jc w:val="center"/>
              <w:rPr>
                <w:rFonts w:ascii="Calibri" w:hAnsi="Calibri" w:cs="Calibri"/>
                <w:color w:val="000000"/>
                <w:sz w:val="16"/>
                <w:szCs w:val="16"/>
              </w:rPr>
            </w:pPr>
            <w:r w:rsidRPr="0093460E">
              <w:rPr>
                <w:rFonts w:ascii="Calibri" w:eastAsia="Times New Roman" w:hAnsi="Calibri" w:cs="Calibri"/>
                <w:b/>
                <w:bCs/>
                <w:color w:val="000000"/>
                <w:sz w:val="16"/>
                <w:szCs w:val="16"/>
                <w:lang w:val="en-US"/>
              </w:rPr>
              <w:t>HF-hospitalization</w:t>
            </w:r>
          </w:p>
        </w:tc>
      </w:tr>
      <w:tr w:rsidR="00E30D79" w:rsidRPr="0093460E" w14:paraId="57D89163"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4537073D"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lang w:val="en-US"/>
              </w:rPr>
              <w:t> </w:t>
            </w:r>
          </w:p>
        </w:tc>
        <w:tc>
          <w:tcPr>
            <w:tcW w:w="1833" w:type="dxa"/>
            <w:tcBorders>
              <w:top w:val="nil"/>
              <w:left w:val="nil"/>
              <w:bottom w:val="nil"/>
              <w:right w:val="nil"/>
            </w:tcBorders>
            <w:shd w:val="clear" w:color="auto" w:fill="auto"/>
            <w:noWrap/>
            <w:vAlign w:val="bottom"/>
          </w:tcPr>
          <w:p w14:paraId="6B1D89BF"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0% BB</w:t>
            </w:r>
          </w:p>
        </w:tc>
        <w:tc>
          <w:tcPr>
            <w:tcW w:w="2460" w:type="dxa"/>
            <w:tcBorders>
              <w:top w:val="nil"/>
              <w:left w:val="nil"/>
              <w:bottom w:val="nil"/>
              <w:right w:val="nil"/>
            </w:tcBorders>
            <w:shd w:val="clear" w:color="auto" w:fill="auto"/>
            <w:noWrap/>
            <w:vAlign w:val="bottom"/>
          </w:tcPr>
          <w:p w14:paraId="673A5560"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1-49% BB</w:t>
            </w:r>
          </w:p>
        </w:tc>
        <w:tc>
          <w:tcPr>
            <w:tcW w:w="1915" w:type="dxa"/>
            <w:tcBorders>
              <w:top w:val="nil"/>
              <w:left w:val="nil"/>
              <w:bottom w:val="nil"/>
              <w:right w:val="nil"/>
            </w:tcBorders>
            <w:shd w:val="clear" w:color="auto" w:fill="auto"/>
            <w:noWrap/>
            <w:vAlign w:val="bottom"/>
          </w:tcPr>
          <w:p w14:paraId="43EA40C8"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50-99% BB</w:t>
            </w:r>
          </w:p>
        </w:tc>
        <w:tc>
          <w:tcPr>
            <w:tcW w:w="1838" w:type="dxa"/>
            <w:tcBorders>
              <w:top w:val="nil"/>
              <w:left w:val="nil"/>
              <w:bottom w:val="nil"/>
              <w:right w:val="single" w:sz="4" w:space="0" w:color="auto"/>
            </w:tcBorders>
            <w:shd w:val="clear" w:color="auto" w:fill="auto"/>
            <w:noWrap/>
            <w:vAlign w:val="bottom"/>
          </w:tcPr>
          <w:p w14:paraId="0CC40AA2" w14:textId="77777777" w:rsidR="00E30D79" w:rsidRPr="0093460E" w:rsidRDefault="00E30D79" w:rsidP="00C26C4B">
            <w:pPr>
              <w:rPr>
                <w:rFonts w:ascii="Calibri" w:hAnsi="Calibri" w:cs="Calibri"/>
                <w:color w:val="000000"/>
                <w:sz w:val="16"/>
                <w:szCs w:val="16"/>
              </w:rPr>
            </w:pPr>
            <w:r w:rsidRPr="0093460E">
              <w:rPr>
                <w:rFonts w:ascii="Calibri" w:eastAsia="Times New Roman" w:hAnsi="Calibri" w:cs="Calibri"/>
                <w:b/>
                <w:bCs/>
                <w:color w:val="000000"/>
                <w:sz w:val="16"/>
                <w:szCs w:val="16"/>
              </w:rPr>
              <w:t>100% BB</w:t>
            </w:r>
          </w:p>
        </w:tc>
      </w:tr>
      <w:tr w:rsidR="00E30D79" w:rsidRPr="0093460E" w14:paraId="34CCF5E6" w14:textId="77777777" w:rsidTr="00C26C4B">
        <w:trPr>
          <w:trHeight w:val="240"/>
        </w:trPr>
        <w:tc>
          <w:tcPr>
            <w:tcW w:w="1660" w:type="dxa"/>
            <w:tcBorders>
              <w:top w:val="nil"/>
              <w:left w:val="single" w:sz="4" w:space="0" w:color="auto"/>
              <w:bottom w:val="nil"/>
              <w:right w:val="single" w:sz="4" w:space="0" w:color="auto"/>
            </w:tcBorders>
            <w:shd w:val="clear" w:color="auto" w:fill="D9D9D9" w:themeFill="background1" w:themeFillShade="D9"/>
            <w:noWrap/>
            <w:vAlign w:val="bottom"/>
          </w:tcPr>
          <w:p w14:paraId="2A4E6712"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D9D9D9" w:themeFill="background1" w:themeFillShade="D9"/>
            <w:noWrap/>
            <w:vAlign w:val="bottom"/>
          </w:tcPr>
          <w:p w14:paraId="1CD4EACB"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w:t>
            </w:r>
          </w:p>
        </w:tc>
        <w:tc>
          <w:tcPr>
            <w:tcW w:w="2460" w:type="dxa"/>
            <w:tcBorders>
              <w:top w:val="nil"/>
              <w:left w:val="nil"/>
              <w:bottom w:val="nil"/>
              <w:right w:val="nil"/>
            </w:tcBorders>
            <w:shd w:val="clear" w:color="auto" w:fill="D9D9D9" w:themeFill="background1" w:themeFillShade="D9"/>
            <w:noWrap/>
            <w:vAlign w:val="bottom"/>
          </w:tcPr>
          <w:p w14:paraId="2F402BA3"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1.68 (1</w:t>
            </w:r>
            <w:r>
              <w:rPr>
                <w:rFonts w:ascii="Calibri" w:hAnsi="Calibri" w:cs="Calibri"/>
                <w:color w:val="000000"/>
                <w:sz w:val="16"/>
                <w:szCs w:val="16"/>
              </w:rPr>
              <w:t>.00</w:t>
            </w:r>
            <w:r w:rsidRPr="00F765E0">
              <w:rPr>
                <w:rFonts w:ascii="Calibri" w:hAnsi="Calibri" w:cs="Calibri"/>
                <w:color w:val="000000"/>
                <w:sz w:val="16"/>
                <w:szCs w:val="16"/>
              </w:rPr>
              <w:t>-2.82; 0.05)</w:t>
            </w:r>
          </w:p>
        </w:tc>
        <w:tc>
          <w:tcPr>
            <w:tcW w:w="1915" w:type="dxa"/>
            <w:tcBorders>
              <w:top w:val="nil"/>
              <w:left w:val="nil"/>
              <w:bottom w:val="nil"/>
              <w:right w:val="nil"/>
            </w:tcBorders>
            <w:shd w:val="clear" w:color="auto" w:fill="D9D9D9" w:themeFill="background1" w:themeFillShade="D9"/>
            <w:noWrap/>
            <w:vAlign w:val="bottom"/>
          </w:tcPr>
          <w:p w14:paraId="4BD6E767"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1.88 (0.98-3.6</w:t>
            </w:r>
            <w:r>
              <w:rPr>
                <w:rFonts w:ascii="Calibri" w:hAnsi="Calibri" w:cs="Calibri"/>
                <w:color w:val="000000"/>
                <w:sz w:val="16"/>
                <w:szCs w:val="16"/>
              </w:rPr>
              <w:t>0</w:t>
            </w:r>
            <w:r w:rsidRPr="00F765E0">
              <w:rPr>
                <w:rFonts w:ascii="Calibri" w:hAnsi="Calibri" w:cs="Calibri"/>
                <w:color w:val="000000"/>
                <w:sz w:val="16"/>
                <w:szCs w:val="16"/>
              </w:rPr>
              <w:t>; 0.057)</w:t>
            </w:r>
          </w:p>
        </w:tc>
        <w:tc>
          <w:tcPr>
            <w:tcW w:w="1838" w:type="dxa"/>
            <w:tcBorders>
              <w:top w:val="nil"/>
              <w:left w:val="nil"/>
              <w:bottom w:val="nil"/>
              <w:right w:val="single" w:sz="4" w:space="0" w:color="auto"/>
            </w:tcBorders>
            <w:shd w:val="clear" w:color="auto" w:fill="D9D9D9" w:themeFill="background1" w:themeFillShade="D9"/>
            <w:noWrap/>
            <w:vAlign w:val="bottom"/>
          </w:tcPr>
          <w:p w14:paraId="0E78366F"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1.62 (0.72-3.65; 0.2</w:t>
            </w:r>
            <w:r>
              <w:rPr>
                <w:rFonts w:ascii="Calibri" w:hAnsi="Calibri" w:cs="Calibri"/>
                <w:color w:val="000000"/>
                <w:sz w:val="16"/>
                <w:szCs w:val="16"/>
              </w:rPr>
              <w:t>5</w:t>
            </w:r>
            <w:r w:rsidRPr="00F765E0">
              <w:rPr>
                <w:rFonts w:ascii="Calibri" w:hAnsi="Calibri" w:cs="Calibri"/>
                <w:color w:val="000000"/>
                <w:sz w:val="16"/>
                <w:szCs w:val="16"/>
              </w:rPr>
              <w:t>)</w:t>
            </w:r>
          </w:p>
        </w:tc>
      </w:tr>
      <w:tr w:rsidR="00E30D79" w:rsidRPr="0093460E" w14:paraId="55B36B97" w14:textId="77777777" w:rsidTr="00C26C4B">
        <w:trPr>
          <w:trHeight w:val="240"/>
        </w:trPr>
        <w:tc>
          <w:tcPr>
            <w:tcW w:w="1660" w:type="dxa"/>
            <w:tcBorders>
              <w:top w:val="nil"/>
              <w:left w:val="single" w:sz="4" w:space="0" w:color="auto"/>
              <w:bottom w:val="nil"/>
              <w:right w:val="single" w:sz="4" w:space="0" w:color="auto"/>
            </w:tcBorders>
            <w:shd w:val="clear" w:color="auto" w:fill="auto"/>
            <w:noWrap/>
            <w:vAlign w:val="bottom"/>
          </w:tcPr>
          <w:p w14:paraId="36024D86"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1-49%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auto"/>
            <w:noWrap/>
            <w:vAlign w:val="bottom"/>
          </w:tcPr>
          <w:p w14:paraId="1164E6C6"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1.18 (0.62-2.23; 0.6</w:t>
            </w:r>
            <w:r>
              <w:rPr>
                <w:rFonts w:ascii="Calibri" w:hAnsi="Calibri" w:cs="Calibri"/>
                <w:color w:val="000000"/>
                <w:sz w:val="16"/>
                <w:szCs w:val="16"/>
              </w:rPr>
              <w:t>2</w:t>
            </w:r>
            <w:r w:rsidRPr="00F765E0">
              <w:rPr>
                <w:rFonts w:ascii="Calibri" w:hAnsi="Calibri" w:cs="Calibri"/>
                <w:color w:val="000000"/>
                <w:sz w:val="16"/>
                <w:szCs w:val="16"/>
              </w:rPr>
              <w:t>)</w:t>
            </w:r>
          </w:p>
        </w:tc>
        <w:tc>
          <w:tcPr>
            <w:tcW w:w="2460" w:type="dxa"/>
            <w:tcBorders>
              <w:top w:val="nil"/>
              <w:left w:val="nil"/>
              <w:bottom w:val="nil"/>
              <w:right w:val="nil"/>
            </w:tcBorders>
            <w:shd w:val="clear" w:color="auto" w:fill="auto"/>
            <w:noWrap/>
            <w:vAlign w:val="bottom"/>
          </w:tcPr>
          <w:p w14:paraId="66F5EC48"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1.34 (0.83-2.18; 0.23)</w:t>
            </w:r>
          </w:p>
        </w:tc>
        <w:tc>
          <w:tcPr>
            <w:tcW w:w="1915" w:type="dxa"/>
            <w:tcBorders>
              <w:top w:val="nil"/>
              <w:left w:val="nil"/>
              <w:bottom w:val="nil"/>
              <w:right w:val="nil"/>
            </w:tcBorders>
            <w:shd w:val="clear" w:color="auto" w:fill="auto"/>
            <w:noWrap/>
            <w:vAlign w:val="bottom"/>
          </w:tcPr>
          <w:p w14:paraId="03766266"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1.4</w:t>
            </w:r>
            <w:r>
              <w:rPr>
                <w:rFonts w:ascii="Calibri" w:hAnsi="Calibri" w:cs="Calibri"/>
                <w:color w:val="000000"/>
                <w:sz w:val="16"/>
                <w:szCs w:val="16"/>
              </w:rPr>
              <w:t>0</w:t>
            </w:r>
            <w:r w:rsidRPr="00F765E0">
              <w:rPr>
                <w:rFonts w:ascii="Calibri" w:hAnsi="Calibri" w:cs="Calibri"/>
                <w:color w:val="000000"/>
                <w:sz w:val="16"/>
                <w:szCs w:val="16"/>
              </w:rPr>
              <w:t xml:space="preserve"> (0.76-2.59; 0.2791)</w:t>
            </w:r>
          </w:p>
        </w:tc>
        <w:tc>
          <w:tcPr>
            <w:tcW w:w="1838" w:type="dxa"/>
            <w:tcBorders>
              <w:top w:val="nil"/>
              <w:left w:val="nil"/>
              <w:bottom w:val="nil"/>
              <w:right w:val="single" w:sz="4" w:space="0" w:color="auto"/>
            </w:tcBorders>
            <w:shd w:val="clear" w:color="auto" w:fill="auto"/>
            <w:noWrap/>
            <w:vAlign w:val="bottom"/>
          </w:tcPr>
          <w:p w14:paraId="6FA9872B"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1.51 (0.67-3.4</w:t>
            </w:r>
            <w:r>
              <w:rPr>
                <w:rFonts w:ascii="Calibri" w:hAnsi="Calibri" w:cs="Calibri"/>
                <w:color w:val="000000"/>
                <w:sz w:val="16"/>
                <w:szCs w:val="16"/>
              </w:rPr>
              <w:t>0</w:t>
            </w:r>
            <w:r w:rsidRPr="00F765E0">
              <w:rPr>
                <w:rFonts w:ascii="Calibri" w:hAnsi="Calibri" w:cs="Calibri"/>
                <w:color w:val="000000"/>
                <w:sz w:val="16"/>
                <w:szCs w:val="16"/>
              </w:rPr>
              <w:t>; 0.32)</w:t>
            </w:r>
          </w:p>
        </w:tc>
      </w:tr>
      <w:tr w:rsidR="00E30D79" w:rsidRPr="0093460E" w14:paraId="112C07FA" w14:textId="77777777" w:rsidTr="00C26C4B">
        <w:trPr>
          <w:trHeight w:val="240"/>
        </w:trPr>
        <w:tc>
          <w:tcPr>
            <w:tcW w:w="1660" w:type="dxa"/>
            <w:tcBorders>
              <w:top w:val="nil"/>
              <w:left w:val="single" w:sz="4" w:space="0" w:color="auto"/>
              <w:bottom w:val="nil"/>
              <w:right w:val="single" w:sz="4" w:space="0" w:color="auto"/>
            </w:tcBorders>
            <w:shd w:val="clear" w:color="auto" w:fill="D9D9D9" w:themeFill="background1" w:themeFillShade="D9"/>
            <w:noWrap/>
            <w:vAlign w:val="bottom"/>
          </w:tcPr>
          <w:p w14:paraId="5F335A24"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50-99%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nil"/>
              <w:right w:val="nil"/>
            </w:tcBorders>
            <w:shd w:val="clear" w:color="auto" w:fill="D9D9D9" w:themeFill="background1" w:themeFillShade="D9"/>
            <w:noWrap/>
            <w:vAlign w:val="bottom"/>
          </w:tcPr>
          <w:p w14:paraId="5016128F"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1.26 (0.62-2.56; 0.5</w:t>
            </w:r>
            <w:r>
              <w:rPr>
                <w:rFonts w:ascii="Calibri" w:hAnsi="Calibri" w:cs="Calibri"/>
                <w:color w:val="000000"/>
                <w:sz w:val="16"/>
                <w:szCs w:val="16"/>
              </w:rPr>
              <w:t>3</w:t>
            </w:r>
            <w:r w:rsidRPr="00F765E0">
              <w:rPr>
                <w:rFonts w:ascii="Calibri" w:hAnsi="Calibri" w:cs="Calibri"/>
                <w:color w:val="000000"/>
                <w:sz w:val="16"/>
                <w:szCs w:val="16"/>
              </w:rPr>
              <w:t>)</w:t>
            </w:r>
          </w:p>
        </w:tc>
        <w:tc>
          <w:tcPr>
            <w:tcW w:w="2460" w:type="dxa"/>
            <w:tcBorders>
              <w:top w:val="nil"/>
              <w:left w:val="nil"/>
              <w:bottom w:val="nil"/>
              <w:right w:val="nil"/>
            </w:tcBorders>
            <w:shd w:val="clear" w:color="auto" w:fill="D9D9D9" w:themeFill="background1" w:themeFillShade="D9"/>
            <w:noWrap/>
            <w:vAlign w:val="bottom"/>
          </w:tcPr>
          <w:p w14:paraId="79D2DEF9"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0.99 (0.57-1.72; 0.9</w:t>
            </w:r>
            <w:r>
              <w:rPr>
                <w:rFonts w:ascii="Calibri" w:hAnsi="Calibri" w:cs="Calibri"/>
                <w:color w:val="000000"/>
                <w:sz w:val="16"/>
                <w:szCs w:val="16"/>
              </w:rPr>
              <w:t>7</w:t>
            </w:r>
            <w:r w:rsidRPr="00F765E0">
              <w:rPr>
                <w:rFonts w:ascii="Calibri" w:hAnsi="Calibri" w:cs="Calibri"/>
                <w:color w:val="000000"/>
                <w:sz w:val="16"/>
                <w:szCs w:val="16"/>
              </w:rPr>
              <w:t>)</w:t>
            </w:r>
          </w:p>
        </w:tc>
        <w:tc>
          <w:tcPr>
            <w:tcW w:w="1915" w:type="dxa"/>
            <w:tcBorders>
              <w:top w:val="nil"/>
              <w:left w:val="nil"/>
              <w:bottom w:val="nil"/>
              <w:right w:val="nil"/>
            </w:tcBorders>
            <w:shd w:val="clear" w:color="auto" w:fill="D9D9D9" w:themeFill="background1" w:themeFillShade="D9"/>
            <w:noWrap/>
            <w:vAlign w:val="bottom"/>
          </w:tcPr>
          <w:p w14:paraId="29C0ED4C"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0.88 (0.43-1.83; 0.7355)</w:t>
            </w:r>
          </w:p>
        </w:tc>
        <w:tc>
          <w:tcPr>
            <w:tcW w:w="1838" w:type="dxa"/>
            <w:tcBorders>
              <w:top w:val="nil"/>
              <w:left w:val="nil"/>
              <w:bottom w:val="nil"/>
              <w:right w:val="single" w:sz="4" w:space="0" w:color="auto"/>
            </w:tcBorders>
            <w:shd w:val="clear" w:color="auto" w:fill="D9D9D9" w:themeFill="background1" w:themeFillShade="D9"/>
            <w:noWrap/>
            <w:vAlign w:val="bottom"/>
          </w:tcPr>
          <w:p w14:paraId="695C3361"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1.63 (0.79-3.39; 0.1</w:t>
            </w:r>
            <w:r>
              <w:rPr>
                <w:rFonts w:ascii="Calibri" w:hAnsi="Calibri" w:cs="Calibri"/>
                <w:color w:val="000000"/>
                <w:sz w:val="16"/>
                <w:szCs w:val="16"/>
              </w:rPr>
              <w:t>9</w:t>
            </w:r>
            <w:r w:rsidRPr="00F765E0">
              <w:rPr>
                <w:rFonts w:ascii="Calibri" w:hAnsi="Calibri" w:cs="Calibri"/>
                <w:color w:val="000000"/>
                <w:sz w:val="16"/>
                <w:szCs w:val="16"/>
              </w:rPr>
              <w:t>)</w:t>
            </w:r>
          </w:p>
        </w:tc>
      </w:tr>
      <w:tr w:rsidR="00E30D79" w:rsidRPr="0093460E" w14:paraId="690E6191" w14:textId="77777777" w:rsidTr="00C26C4B">
        <w:trPr>
          <w:trHeight w:val="240"/>
        </w:trPr>
        <w:tc>
          <w:tcPr>
            <w:tcW w:w="1660" w:type="dxa"/>
            <w:tcBorders>
              <w:top w:val="nil"/>
              <w:left w:val="single" w:sz="4" w:space="0" w:color="auto"/>
              <w:bottom w:val="single" w:sz="4" w:space="0" w:color="auto"/>
              <w:right w:val="single" w:sz="4" w:space="0" w:color="auto"/>
            </w:tcBorders>
            <w:shd w:val="clear" w:color="auto" w:fill="auto"/>
            <w:noWrap/>
            <w:vAlign w:val="bottom"/>
          </w:tcPr>
          <w:p w14:paraId="613ABF56" w14:textId="77777777" w:rsidR="00E30D79" w:rsidRPr="0093460E" w:rsidRDefault="00E30D79" w:rsidP="00C26C4B">
            <w:pPr>
              <w:rPr>
                <w:rFonts w:ascii="Calibri" w:eastAsia="Times New Roman" w:hAnsi="Calibri" w:cs="Calibri"/>
                <w:b/>
                <w:bCs/>
                <w:color w:val="000000"/>
                <w:sz w:val="16"/>
                <w:szCs w:val="16"/>
              </w:rPr>
            </w:pPr>
            <w:r w:rsidRPr="0093460E">
              <w:rPr>
                <w:rFonts w:ascii="Calibri" w:eastAsia="Times New Roman" w:hAnsi="Calibri" w:cs="Calibri"/>
                <w:b/>
                <w:bCs/>
                <w:color w:val="000000"/>
                <w:sz w:val="16"/>
                <w:szCs w:val="16"/>
              </w:rPr>
              <w:t xml:space="preserve">100% </w:t>
            </w:r>
            <w:proofErr w:type="spellStart"/>
            <w:r w:rsidRPr="0093460E">
              <w:rPr>
                <w:rFonts w:ascii="Calibri" w:eastAsia="Times New Roman" w:hAnsi="Calibri" w:cs="Calibri"/>
                <w:b/>
                <w:bCs/>
                <w:color w:val="000000"/>
                <w:sz w:val="16"/>
                <w:szCs w:val="16"/>
              </w:rPr>
              <w:t>ACEi</w:t>
            </w:r>
            <w:proofErr w:type="spellEnd"/>
            <w:r w:rsidRPr="0093460E">
              <w:rPr>
                <w:rFonts w:ascii="Calibri" w:eastAsia="Times New Roman" w:hAnsi="Calibri" w:cs="Calibri"/>
                <w:b/>
                <w:bCs/>
                <w:color w:val="000000"/>
                <w:sz w:val="16"/>
                <w:szCs w:val="16"/>
              </w:rPr>
              <w:t>/ARB</w:t>
            </w:r>
          </w:p>
        </w:tc>
        <w:tc>
          <w:tcPr>
            <w:tcW w:w="1833" w:type="dxa"/>
            <w:tcBorders>
              <w:top w:val="nil"/>
              <w:left w:val="nil"/>
              <w:bottom w:val="single" w:sz="4" w:space="0" w:color="auto"/>
              <w:right w:val="nil"/>
            </w:tcBorders>
            <w:shd w:val="clear" w:color="auto" w:fill="auto"/>
            <w:noWrap/>
            <w:vAlign w:val="bottom"/>
          </w:tcPr>
          <w:p w14:paraId="25CB24F4"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1.1</w:t>
            </w:r>
            <w:r>
              <w:rPr>
                <w:rFonts w:ascii="Calibri" w:hAnsi="Calibri" w:cs="Calibri"/>
                <w:color w:val="000000"/>
                <w:sz w:val="16"/>
                <w:szCs w:val="16"/>
              </w:rPr>
              <w:t>0</w:t>
            </w:r>
            <w:r w:rsidRPr="00F765E0">
              <w:rPr>
                <w:rFonts w:ascii="Calibri" w:hAnsi="Calibri" w:cs="Calibri"/>
                <w:color w:val="000000"/>
                <w:sz w:val="16"/>
                <w:szCs w:val="16"/>
              </w:rPr>
              <w:t xml:space="preserve"> (0.47-2.58; 0.8</w:t>
            </w:r>
            <w:r>
              <w:rPr>
                <w:rFonts w:ascii="Calibri" w:hAnsi="Calibri" w:cs="Calibri"/>
                <w:color w:val="000000"/>
                <w:sz w:val="16"/>
                <w:szCs w:val="16"/>
              </w:rPr>
              <w:t>3</w:t>
            </w:r>
            <w:r w:rsidRPr="00F765E0">
              <w:rPr>
                <w:rFonts w:ascii="Calibri" w:hAnsi="Calibri" w:cs="Calibri"/>
                <w:color w:val="000000"/>
                <w:sz w:val="16"/>
                <w:szCs w:val="16"/>
              </w:rPr>
              <w:t>)</w:t>
            </w:r>
          </w:p>
        </w:tc>
        <w:tc>
          <w:tcPr>
            <w:tcW w:w="2460" w:type="dxa"/>
            <w:tcBorders>
              <w:top w:val="nil"/>
              <w:left w:val="nil"/>
              <w:bottom w:val="single" w:sz="4" w:space="0" w:color="auto"/>
              <w:right w:val="nil"/>
            </w:tcBorders>
            <w:shd w:val="clear" w:color="auto" w:fill="auto"/>
            <w:noWrap/>
            <w:vAlign w:val="bottom"/>
          </w:tcPr>
          <w:p w14:paraId="7D556EE4"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1.34 (0.74-2.44; 0.3</w:t>
            </w:r>
            <w:r>
              <w:rPr>
                <w:rFonts w:ascii="Calibri" w:hAnsi="Calibri" w:cs="Calibri"/>
                <w:color w:val="000000"/>
                <w:sz w:val="16"/>
                <w:szCs w:val="16"/>
              </w:rPr>
              <w:t>4</w:t>
            </w:r>
            <w:r w:rsidRPr="00F765E0">
              <w:rPr>
                <w:rFonts w:ascii="Calibri" w:hAnsi="Calibri" w:cs="Calibri"/>
                <w:color w:val="000000"/>
                <w:sz w:val="16"/>
                <w:szCs w:val="16"/>
              </w:rPr>
              <w:t>)</w:t>
            </w:r>
          </w:p>
        </w:tc>
        <w:tc>
          <w:tcPr>
            <w:tcW w:w="1915" w:type="dxa"/>
            <w:tcBorders>
              <w:top w:val="nil"/>
              <w:left w:val="nil"/>
              <w:bottom w:val="single" w:sz="4" w:space="0" w:color="auto"/>
              <w:right w:val="nil"/>
            </w:tcBorders>
            <w:shd w:val="clear" w:color="auto" w:fill="auto"/>
            <w:noWrap/>
            <w:vAlign w:val="bottom"/>
          </w:tcPr>
          <w:p w14:paraId="518C2141"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1.59 (0.81-3.13; 0.1795)</w:t>
            </w:r>
          </w:p>
        </w:tc>
        <w:tc>
          <w:tcPr>
            <w:tcW w:w="1838" w:type="dxa"/>
            <w:tcBorders>
              <w:top w:val="nil"/>
              <w:left w:val="nil"/>
              <w:bottom w:val="single" w:sz="4" w:space="0" w:color="auto"/>
              <w:right w:val="single" w:sz="4" w:space="0" w:color="auto"/>
            </w:tcBorders>
            <w:shd w:val="clear" w:color="auto" w:fill="auto"/>
            <w:noWrap/>
            <w:vAlign w:val="bottom"/>
          </w:tcPr>
          <w:p w14:paraId="07E4A158" w14:textId="77777777" w:rsidR="00E30D79" w:rsidRPr="0093460E" w:rsidRDefault="00E30D79" w:rsidP="00C26C4B">
            <w:pPr>
              <w:rPr>
                <w:rFonts w:ascii="Calibri" w:hAnsi="Calibri" w:cs="Calibri"/>
                <w:color w:val="000000"/>
                <w:sz w:val="16"/>
                <w:szCs w:val="16"/>
              </w:rPr>
            </w:pPr>
            <w:r w:rsidRPr="00F765E0">
              <w:rPr>
                <w:rFonts w:ascii="Calibri" w:hAnsi="Calibri" w:cs="Calibri"/>
                <w:color w:val="000000"/>
                <w:sz w:val="16"/>
                <w:szCs w:val="16"/>
              </w:rPr>
              <w:t>0.75 (0.3</w:t>
            </w:r>
            <w:r>
              <w:rPr>
                <w:rFonts w:ascii="Calibri" w:hAnsi="Calibri" w:cs="Calibri"/>
                <w:color w:val="000000"/>
                <w:sz w:val="16"/>
                <w:szCs w:val="16"/>
              </w:rPr>
              <w:t>0</w:t>
            </w:r>
            <w:r w:rsidRPr="00F765E0">
              <w:rPr>
                <w:rFonts w:ascii="Calibri" w:hAnsi="Calibri" w:cs="Calibri"/>
                <w:color w:val="000000"/>
                <w:sz w:val="16"/>
                <w:szCs w:val="16"/>
              </w:rPr>
              <w:t>-1.86; 0.53)</w:t>
            </w:r>
          </w:p>
        </w:tc>
      </w:tr>
    </w:tbl>
    <w:p w14:paraId="67C1E525" w14:textId="77777777" w:rsidR="00E30D79" w:rsidRPr="00ED6D24" w:rsidRDefault="00E30D79" w:rsidP="00E30D79">
      <w:pPr>
        <w:rPr>
          <w:b/>
          <w:bCs/>
          <w:lang w:val="en-US"/>
        </w:rPr>
      </w:pPr>
    </w:p>
    <w:p w14:paraId="57CEECD6" w14:textId="364AC00D" w:rsidR="00A35FFE" w:rsidRPr="0003073C" w:rsidRDefault="00A35FFE" w:rsidP="007419B4">
      <w:pPr>
        <w:pStyle w:val="Sansinterligne"/>
        <w:widowControl/>
        <w:spacing w:line="480" w:lineRule="auto"/>
        <w:jc w:val="both"/>
        <w:rPr>
          <w:rFonts w:ascii="Times New Roman" w:eastAsia="Times New Roman" w:hAnsi="Times New Roman" w:cs="Times New Roman"/>
          <w:spacing w:val="-18"/>
          <w:w w:val="105"/>
          <w:sz w:val="24"/>
          <w:szCs w:val="24"/>
          <w:lang w:val="en-GB"/>
        </w:rPr>
      </w:pPr>
    </w:p>
    <w:sectPr w:rsidR="00A35FFE" w:rsidRPr="0003073C" w:rsidSect="00AD74B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0CAA8" w14:textId="77777777" w:rsidR="005C4657" w:rsidRDefault="005C4657">
      <w:r>
        <w:separator/>
      </w:r>
    </w:p>
  </w:endnote>
  <w:endnote w:type="continuationSeparator" w:id="0">
    <w:p w14:paraId="64E8CA93" w14:textId="77777777" w:rsidR="005C4657" w:rsidRDefault="005C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游明朝"/>
    <w:charset w:val="80"/>
    <w:family w:val="roman"/>
    <w:pitch w:val="variable"/>
    <w:sig w:usb0="800002E7" w:usb1="2AC7FCFF" w:usb2="00000012" w:usb3="00000000" w:csb0="000200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3290" w14:textId="0EE4202D" w:rsidR="00CA4169" w:rsidRDefault="00CA4169">
    <w:pPr>
      <w:spacing w:line="200" w:lineRule="exact"/>
      <w:rPr>
        <w:sz w:val="20"/>
        <w:szCs w:val="20"/>
      </w:rPr>
    </w:pPr>
    <w:r>
      <w:rPr>
        <w:noProof/>
        <w:lang w:val="fr-FR" w:eastAsia="fr-FR"/>
      </w:rPr>
      <mc:AlternateContent>
        <mc:Choice Requires="wps">
          <w:drawing>
            <wp:anchor distT="0" distB="0" distL="114300" distR="114300" simplePos="0" relativeHeight="251660288" behindDoc="1" locked="0" layoutInCell="1" allowOverlap="1" wp14:anchorId="264DEE14" wp14:editId="4F62730A">
              <wp:simplePos x="0" y="0"/>
              <wp:positionH relativeFrom="page">
                <wp:posOffset>3679825</wp:posOffset>
              </wp:positionH>
              <wp:positionV relativeFrom="page">
                <wp:posOffset>9020810</wp:posOffset>
              </wp:positionV>
              <wp:extent cx="199390" cy="177165"/>
              <wp:effectExtent l="3175" t="635"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7CF0" w14:textId="7449DFA0" w:rsidR="00CA4169" w:rsidRDefault="00CA4169">
                          <w:pPr>
                            <w:pStyle w:val="Corpsdetexte"/>
                            <w:spacing w:line="250" w:lineRule="exact"/>
                            <w:ind w:left="40"/>
                          </w:pPr>
                          <w:r>
                            <w:fldChar w:fldCharType="begin"/>
                          </w:r>
                          <w:r>
                            <w:rPr>
                              <w:w w:val="95"/>
                            </w:rPr>
                            <w:instrText xml:space="preserve"> PAGE </w:instrText>
                          </w:r>
                          <w:r>
                            <w:fldChar w:fldCharType="separate"/>
                          </w:r>
                          <w:r w:rsidR="00FF5E33">
                            <w:rPr>
                              <w:noProof/>
                              <w:w w:val="95"/>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DEE14" id="_x0000_t202" coordsize="21600,21600" o:spt="202" path="m,l,21600r21600,l21600,xe">
              <v:stroke joinstyle="miter"/>
              <v:path gradientshapeok="t" o:connecttype="rect"/>
            </v:shapetype>
            <v:shape id="Text Box 1" o:spid="_x0000_s1026" type="#_x0000_t202" style="position:absolute;margin-left:289.75pt;margin-top:710.3pt;width:15.7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" filled="f" stroked="f">
              <v:textbox inset="0,0,0,0">
                <w:txbxContent>
                  <w:p w14:paraId="79307CF0" w14:textId="7449DFA0" w:rsidR="00CA4169" w:rsidRDefault="00CA4169">
                    <w:pPr>
                      <w:pStyle w:val="Corpsdetexte"/>
                      <w:spacing w:line="250" w:lineRule="exact"/>
                      <w:ind w:left="40"/>
                    </w:pPr>
                    <w:r>
                      <w:fldChar w:fldCharType="begin"/>
                    </w:r>
                    <w:r>
                      <w:rPr>
                        <w:w w:val="95"/>
                      </w:rPr>
                      <w:instrText xml:space="preserve"> PAGE </w:instrText>
                    </w:r>
                    <w:r>
                      <w:fldChar w:fldCharType="separate"/>
                    </w:r>
                    <w:r w:rsidR="00FF5E33">
                      <w:rPr>
                        <w:noProof/>
                        <w:w w:val="95"/>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8BC5" w14:textId="77777777" w:rsidR="005C4657" w:rsidRDefault="005C4657">
      <w:r>
        <w:separator/>
      </w:r>
    </w:p>
  </w:footnote>
  <w:footnote w:type="continuationSeparator" w:id="0">
    <w:p w14:paraId="4B1351CB" w14:textId="77777777" w:rsidR="005C4657" w:rsidRDefault="005C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228"/>
    <w:multiLevelType w:val="hybridMultilevel"/>
    <w:tmpl w:val="DE1A432C"/>
    <w:lvl w:ilvl="0" w:tplc="3EC6BC50">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E5A492B"/>
    <w:multiLevelType w:val="hybridMultilevel"/>
    <w:tmpl w:val="21423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30DC3"/>
    <w:multiLevelType w:val="hybridMultilevel"/>
    <w:tmpl w:val="AE98739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1E9C0734"/>
    <w:multiLevelType w:val="hybridMultilevel"/>
    <w:tmpl w:val="134A7360"/>
    <w:lvl w:ilvl="0" w:tplc="A28442B0">
      <w:start w:val="1"/>
      <w:numFmt w:val="bullet"/>
      <w:lvlText w:val="•"/>
      <w:lvlJc w:val="left"/>
      <w:pPr>
        <w:tabs>
          <w:tab w:val="num" w:pos="720"/>
        </w:tabs>
        <w:ind w:left="720" w:hanging="360"/>
      </w:pPr>
      <w:rPr>
        <w:rFonts w:ascii="Arial" w:hAnsi="Arial" w:cs="Times New Roman" w:hint="default"/>
      </w:rPr>
    </w:lvl>
    <w:lvl w:ilvl="1" w:tplc="B93A81E8">
      <w:start w:val="1"/>
      <w:numFmt w:val="bullet"/>
      <w:lvlText w:val="•"/>
      <w:lvlJc w:val="left"/>
      <w:pPr>
        <w:tabs>
          <w:tab w:val="num" w:pos="1440"/>
        </w:tabs>
        <w:ind w:left="1440" w:hanging="360"/>
      </w:pPr>
      <w:rPr>
        <w:rFonts w:ascii="Arial" w:hAnsi="Arial" w:cs="Times New Roman" w:hint="default"/>
      </w:rPr>
    </w:lvl>
    <w:lvl w:ilvl="2" w:tplc="376CB038">
      <w:start w:val="1"/>
      <w:numFmt w:val="bullet"/>
      <w:lvlText w:val="•"/>
      <w:lvlJc w:val="left"/>
      <w:pPr>
        <w:tabs>
          <w:tab w:val="num" w:pos="2160"/>
        </w:tabs>
        <w:ind w:left="2160" w:hanging="360"/>
      </w:pPr>
      <w:rPr>
        <w:rFonts w:ascii="Arial" w:hAnsi="Arial" w:cs="Times New Roman" w:hint="default"/>
      </w:rPr>
    </w:lvl>
    <w:lvl w:ilvl="3" w:tplc="ECAAD384">
      <w:start w:val="1"/>
      <w:numFmt w:val="bullet"/>
      <w:lvlText w:val="•"/>
      <w:lvlJc w:val="left"/>
      <w:pPr>
        <w:tabs>
          <w:tab w:val="num" w:pos="2880"/>
        </w:tabs>
        <w:ind w:left="2880" w:hanging="360"/>
      </w:pPr>
      <w:rPr>
        <w:rFonts w:ascii="Arial" w:hAnsi="Arial" w:cs="Times New Roman" w:hint="default"/>
      </w:rPr>
    </w:lvl>
    <w:lvl w:ilvl="4" w:tplc="ED627040">
      <w:start w:val="1"/>
      <w:numFmt w:val="bullet"/>
      <w:lvlText w:val="•"/>
      <w:lvlJc w:val="left"/>
      <w:pPr>
        <w:tabs>
          <w:tab w:val="num" w:pos="3600"/>
        </w:tabs>
        <w:ind w:left="3600" w:hanging="360"/>
      </w:pPr>
      <w:rPr>
        <w:rFonts w:ascii="Arial" w:hAnsi="Arial" w:cs="Times New Roman" w:hint="default"/>
      </w:rPr>
    </w:lvl>
    <w:lvl w:ilvl="5" w:tplc="E09C3AFA">
      <w:start w:val="1"/>
      <w:numFmt w:val="bullet"/>
      <w:lvlText w:val="•"/>
      <w:lvlJc w:val="left"/>
      <w:pPr>
        <w:tabs>
          <w:tab w:val="num" w:pos="4320"/>
        </w:tabs>
        <w:ind w:left="4320" w:hanging="360"/>
      </w:pPr>
      <w:rPr>
        <w:rFonts w:ascii="Arial" w:hAnsi="Arial" w:cs="Times New Roman" w:hint="default"/>
      </w:rPr>
    </w:lvl>
    <w:lvl w:ilvl="6" w:tplc="E9BA3452">
      <w:start w:val="1"/>
      <w:numFmt w:val="bullet"/>
      <w:lvlText w:val="•"/>
      <w:lvlJc w:val="left"/>
      <w:pPr>
        <w:tabs>
          <w:tab w:val="num" w:pos="5040"/>
        </w:tabs>
        <w:ind w:left="5040" w:hanging="360"/>
      </w:pPr>
      <w:rPr>
        <w:rFonts w:ascii="Arial" w:hAnsi="Arial" w:cs="Times New Roman" w:hint="default"/>
      </w:rPr>
    </w:lvl>
    <w:lvl w:ilvl="7" w:tplc="BBF4F1DC">
      <w:start w:val="1"/>
      <w:numFmt w:val="bullet"/>
      <w:lvlText w:val="•"/>
      <w:lvlJc w:val="left"/>
      <w:pPr>
        <w:tabs>
          <w:tab w:val="num" w:pos="5760"/>
        </w:tabs>
        <w:ind w:left="5760" w:hanging="360"/>
      </w:pPr>
      <w:rPr>
        <w:rFonts w:ascii="Arial" w:hAnsi="Arial" w:cs="Times New Roman" w:hint="default"/>
      </w:rPr>
    </w:lvl>
    <w:lvl w:ilvl="8" w:tplc="3518461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5834A48"/>
    <w:multiLevelType w:val="hybridMultilevel"/>
    <w:tmpl w:val="DDCA17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804563D"/>
    <w:multiLevelType w:val="hybridMultilevel"/>
    <w:tmpl w:val="1840BEA2"/>
    <w:lvl w:ilvl="0" w:tplc="7BEA1F8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BC6A63"/>
    <w:multiLevelType w:val="multilevel"/>
    <w:tmpl w:val="1FC89DD4"/>
    <w:lvl w:ilvl="0">
      <w:start w:val="50"/>
      <w:numFmt w:val="decimal"/>
      <w:lvlText w:val="%1"/>
      <w:lvlJc w:val="left"/>
      <w:pPr>
        <w:ind w:hanging="510"/>
      </w:pPr>
      <w:rPr>
        <w:rFonts w:hint="default"/>
      </w:rPr>
    </w:lvl>
    <w:lvl w:ilvl="1">
      <w:start w:val="99"/>
      <w:numFmt w:val="decimal"/>
      <w:lvlText w:val="%1-%2"/>
      <w:lvlJc w:val="left"/>
      <w:pPr>
        <w:ind w:hanging="510"/>
      </w:pPr>
      <w:rPr>
        <w:rFonts w:ascii="Arial" w:eastAsia="Arial" w:hAnsi="Arial" w:hint="default"/>
        <w:w w:val="99"/>
        <w:sz w:val="20"/>
        <w:szCs w:val="20"/>
      </w:rPr>
    </w:lvl>
    <w:lvl w:ilvl="2">
      <w:start w:val="1"/>
      <w:numFmt w:val="upperLetter"/>
      <w:lvlText w:val="%3."/>
      <w:lvlJc w:val="left"/>
      <w:pPr>
        <w:ind w:hanging="318"/>
      </w:pPr>
      <w:rPr>
        <w:rFonts w:ascii="Times New Roman" w:eastAsia="Times New Roman" w:hAnsi="Times New Roman" w:hint="default"/>
        <w:w w:val="10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C840966"/>
    <w:multiLevelType w:val="hybridMultilevel"/>
    <w:tmpl w:val="BBFC4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761121"/>
    <w:multiLevelType w:val="hybridMultilevel"/>
    <w:tmpl w:val="AC5CE004"/>
    <w:lvl w:ilvl="0" w:tplc="1756B1BA">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DB04A23"/>
    <w:multiLevelType w:val="hybridMultilevel"/>
    <w:tmpl w:val="F36E8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2673AF"/>
    <w:multiLevelType w:val="hybridMultilevel"/>
    <w:tmpl w:val="A94A166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04A78CB"/>
    <w:multiLevelType w:val="hybridMultilevel"/>
    <w:tmpl w:val="2F4A9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8D6A5D"/>
    <w:multiLevelType w:val="hybridMultilevel"/>
    <w:tmpl w:val="A560CE50"/>
    <w:lvl w:ilvl="0" w:tplc="48A2CD88">
      <w:start w:val="1"/>
      <w:numFmt w:val="upperLetter"/>
      <w:lvlText w:val="%1."/>
      <w:lvlJc w:val="left"/>
      <w:pPr>
        <w:ind w:hanging="319"/>
      </w:pPr>
      <w:rPr>
        <w:rFonts w:ascii="Times New Roman" w:eastAsia="Times New Roman" w:hAnsi="Times New Roman" w:hint="default"/>
        <w:w w:val="102"/>
        <w:sz w:val="24"/>
        <w:szCs w:val="24"/>
      </w:rPr>
    </w:lvl>
    <w:lvl w:ilvl="1" w:tplc="80D25F9C">
      <w:start w:val="1"/>
      <w:numFmt w:val="bullet"/>
      <w:lvlText w:val="•"/>
      <w:lvlJc w:val="left"/>
      <w:rPr>
        <w:rFonts w:hint="default"/>
      </w:rPr>
    </w:lvl>
    <w:lvl w:ilvl="2" w:tplc="6DEC7F40">
      <w:start w:val="1"/>
      <w:numFmt w:val="bullet"/>
      <w:lvlText w:val="•"/>
      <w:lvlJc w:val="left"/>
      <w:rPr>
        <w:rFonts w:hint="default"/>
      </w:rPr>
    </w:lvl>
    <w:lvl w:ilvl="3" w:tplc="551A3200">
      <w:start w:val="1"/>
      <w:numFmt w:val="bullet"/>
      <w:lvlText w:val="•"/>
      <w:lvlJc w:val="left"/>
      <w:rPr>
        <w:rFonts w:hint="default"/>
      </w:rPr>
    </w:lvl>
    <w:lvl w:ilvl="4" w:tplc="AAE0ECE0">
      <w:start w:val="1"/>
      <w:numFmt w:val="bullet"/>
      <w:lvlText w:val="•"/>
      <w:lvlJc w:val="left"/>
      <w:rPr>
        <w:rFonts w:hint="default"/>
      </w:rPr>
    </w:lvl>
    <w:lvl w:ilvl="5" w:tplc="003081EC">
      <w:start w:val="1"/>
      <w:numFmt w:val="bullet"/>
      <w:lvlText w:val="•"/>
      <w:lvlJc w:val="left"/>
      <w:rPr>
        <w:rFonts w:hint="default"/>
      </w:rPr>
    </w:lvl>
    <w:lvl w:ilvl="6" w:tplc="E08E4A1E">
      <w:start w:val="1"/>
      <w:numFmt w:val="bullet"/>
      <w:lvlText w:val="•"/>
      <w:lvlJc w:val="left"/>
      <w:rPr>
        <w:rFonts w:hint="default"/>
      </w:rPr>
    </w:lvl>
    <w:lvl w:ilvl="7" w:tplc="ECD4315A">
      <w:start w:val="1"/>
      <w:numFmt w:val="bullet"/>
      <w:lvlText w:val="•"/>
      <w:lvlJc w:val="left"/>
      <w:rPr>
        <w:rFonts w:hint="default"/>
      </w:rPr>
    </w:lvl>
    <w:lvl w:ilvl="8" w:tplc="AC2ED580">
      <w:start w:val="1"/>
      <w:numFmt w:val="bullet"/>
      <w:lvlText w:val="•"/>
      <w:lvlJc w:val="left"/>
      <w:rPr>
        <w:rFonts w:hint="default"/>
      </w:rPr>
    </w:lvl>
  </w:abstractNum>
  <w:abstractNum w:abstractNumId="13" w15:restartNumberingAfterBreak="0">
    <w:nsid w:val="60197A49"/>
    <w:multiLevelType w:val="hybridMultilevel"/>
    <w:tmpl w:val="2F4A9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E500D6"/>
    <w:multiLevelType w:val="hybridMultilevel"/>
    <w:tmpl w:val="BBC637EE"/>
    <w:lvl w:ilvl="0" w:tplc="D638E438">
      <w:numFmt w:val="bullet"/>
      <w:lvlText w:val=""/>
      <w:lvlJc w:val="left"/>
      <w:pPr>
        <w:ind w:left="720" w:hanging="360"/>
      </w:pPr>
      <w:rPr>
        <w:rFonts w:ascii="Wingdings" w:eastAsiaTheme="minorHAnsi"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10E63E2"/>
    <w:multiLevelType w:val="hybridMultilevel"/>
    <w:tmpl w:val="0562B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4439FC"/>
    <w:multiLevelType w:val="hybridMultilevel"/>
    <w:tmpl w:val="ADD42E92"/>
    <w:lvl w:ilvl="0" w:tplc="F826665E">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A5C6FDD"/>
    <w:multiLevelType w:val="hybridMultilevel"/>
    <w:tmpl w:val="47FAB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266D4E"/>
    <w:multiLevelType w:val="hybridMultilevel"/>
    <w:tmpl w:val="BBFC4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6"/>
  </w:num>
  <w:num w:numId="3">
    <w:abstractNumId w:val="15"/>
  </w:num>
  <w:num w:numId="4">
    <w:abstractNumId w:val="9"/>
  </w:num>
  <w:num w:numId="5">
    <w:abstractNumId w:val="1"/>
  </w:num>
  <w:num w:numId="6">
    <w:abstractNumId w:val="5"/>
  </w:num>
  <w:num w:numId="7">
    <w:abstractNumId w:val="2"/>
  </w:num>
  <w:num w:numId="8">
    <w:abstractNumId w:val="10"/>
  </w:num>
  <w:num w:numId="9">
    <w:abstractNumId w:val="14"/>
  </w:num>
  <w:num w:numId="10">
    <w:abstractNumId w:val="17"/>
  </w:num>
  <w:num w:numId="11">
    <w:abstractNumId w:val="7"/>
  </w:num>
  <w:num w:numId="12">
    <w:abstractNumId w:val="11"/>
  </w:num>
  <w:num w:numId="13">
    <w:abstractNumId w:val="18"/>
  </w:num>
  <w:num w:numId="14">
    <w:abstractNumId w:val="13"/>
  </w:num>
  <w:num w:numId="15">
    <w:abstractNumId w:val="16"/>
  </w:num>
  <w:num w:numId="16">
    <w:abstractNumId w:val="4"/>
  </w:num>
  <w:num w:numId="17">
    <w:abstractNumId w:val="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nl-NL" w:vendorID="64" w:dllVersion="131078" w:nlCheck="1" w:checkStyle="0"/>
  <w:activeWritingStyle w:appName="MSWord" w:lang="en-SG" w:vendorID="64" w:dllVersion="131078" w:nlCheck="1" w:checkStyle="1"/>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sd05e9w9rfviezet35za0wzrv992war5r0&quot;&gt;heartfailureupdated_backup_16Sept2014_11May2018_16Aug2018&lt;record-ids&gt;&lt;item&gt;3877&lt;/item&gt;&lt;item&gt;3940&lt;/item&gt;&lt;/record-ids&gt;&lt;/item&gt;&lt;/Libraries&gt;"/>
  </w:docVars>
  <w:rsids>
    <w:rsidRoot w:val="003215EF"/>
    <w:rsid w:val="000029D2"/>
    <w:rsid w:val="00003A69"/>
    <w:rsid w:val="00004833"/>
    <w:rsid w:val="00004FB0"/>
    <w:rsid w:val="0000603B"/>
    <w:rsid w:val="00006343"/>
    <w:rsid w:val="00006F1B"/>
    <w:rsid w:val="00010260"/>
    <w:rsid w:val="00010399"/>
    <w:rsid w:val="0001052C"/>
    <w:rsid w:val="0001060C"/>
    <w:rsid w:val="00010E99"/>
    <w:rsid w:val="00013341"/>
    <w:rsid w:val="0001337C"/>
    <w:rsid w:val="00013709"/>
    <w:rsid w:val="000137F7"/>
    <w:rsid w:val="00014CA4"/>
    <w:rsid w:val="00014E6E"/>
    <w:rsid w:val="00014FD4"/>
    <w:rsid w:val="000163DF"/>
    <w:rsid w:val="0001647A"/>
    <w:rsid w:val="00016495"/>
    <w:rsid w:val="000167DB"/>
    <w:rsid w:val="00017E14"/>
    <w:rsid w:val="000201A8"/>
    <w:rsid w:val="000203B1"/>
    <w:rsid w:val="00020D67"/>
    <w:rsid w:val="000213AA"/>
    <w:rsid w:val="0002149A"/>
    <w:rsid w:val="00021556"/>
    <w:rsid w:val="000220DE"/>
    <w:rsid w:val="00023119"/>
    <w:rsid w:val="0002460E"/>
    <w:rsid w:val="00025ED0"/>
    <w:rsid w:val="00026572"/>
    <w:rsid w:val="000268F6"/>
    <w:rsid w:val="000277F6"/>
    <w:rsid w:val="00027B64"/>
    <w:rsid w:val="0003073C"/>
    <w:rsid w:val="00030862"/>
    <w:rsid w:val="00030954"/>
    <w:rsid w:val="000342EC"/>
    <w:rsid w:val="00034924"/>
    <w:rsid w:val="00034FE5"/>
    <w:rsid w:val="00035620"/>
    <w:rsid w:val="00035761"/>
    <w:rsid w:val="00035F7B"/>
    <w:rsid w:val="00036B1F"/>
    <w:rsid w:val="00036D03"/>
    <w:rsid w:val="000373D2"/>
    <w:rsid w:val="00040249"/>
    <w:rsid w:val="00040391"/>
    <w:rsid w:val="00040A32"/>
    <w:rsid w:val="00040B17"/>
    <w:rsid w:val="0004223B"/>
    <w:rsid w:val="000430B7"/>
    <w:rsid w:val="00043B6A"/>
    <w:rsid w:val="00043F61"/>
    <w:rsid w:val="0004403D"/>
    <w:rsid w:val="00044213"/>
    <w:rsid w:val="0004432E"/>
    <w:rsid w:val="000444AB"/>
    <w:rsid w:val="00044969"/>
    <w:rsid w:val="000459DB"/>
    <w:rsid w:val="00047647"/>
    <w:rsid w:val="00047B8C"/>
    <w:rsid w:val="0005024E"/>
    <w:rsid w:val="00050A45"/>
    <w:rsid w:val="00050DE4"/>
    <w:rsid w:val="00051771"/>
    <w:rsid w:val="00051A85"/>
    <w:rsid w:val="00052D14"/>
    <w:rsid w:val="000531EA"/>
    <w:rsid w:val="00053D69"/>
    <w:rsid w:val="000542AD"/>
    <w:rsid w:val="000546F4"/>
    <w:rsid w:val="0005597C"/>
    <w:rsid w:val="00056320"/>
    <w:rsid w:val="00056473"/>
    <w:rsid w:val="000569DE"/>
    <w:rsid w:val="0005733E"/>
    <w:rsid w:val="00057A1E"/>
    <w:rsid w:val="00057BC6"/>
    <w:rsid w:val="000602CF"/>
    <w:rsid w:val="000609F7"/>
    <w:rsid w:val="00060D2B"/>
    <w:rsid w:val="00060DCE"/>
    <w:rsid w:val="00061E6A"/>
    <w:rsid w:val="00062D35"/>
    <w:rsid w:val="0006314F"/>
    <w:rsid w:val="0006401D"/>
    <w:rsid w:val="000648E7"/>
    <w:rsid w:val="00064A09"/>
    <w:rsid w:val="00064AED"/>
    <w:rsid w:val="00064AF4"/>
    <w:rsid w:val="00064F86"/>
    <w:rsid w:val="00065223"/>
    <w:rsid w:val="000652B2"/>
    <w:rsid w:val="00065425"/>
    <w:rsid w:val="00065BED"/>
    <w:rsid w:val="0006680C"/>
    <w:rsid w:val="00066963"/>
    <w:rsid w:val="00066B73"/>
    <w:rsid w:val="00066BD5"/>
    <w:rsid w:val="000673C5"/>
    <w:rsid w:val="00067698"/>
    <w:rsid w:val="00067C7A"/>
    <w:rsid w:val="000710B4"/>
    <w:rsid w:val="0007179F"/>
    <w:rsid w:val="00071D2A"/>
    <w:rsid w:val="00071F84"/>
    <w:rsid w:val="00072124"/>
    <w:rsid w:val="00073489"/>
    <w:rsid w:val="00073DCD"/>
    <w:rsid w:val="00073DDD"/>
    <w:rsid w:val="00073E3C"/>
    <w:rsid w:val="00074289"/>
    <w:rsid w:val="000748A6"/>
    <w:rsid w:val="0007664D"/>
    <w:rsid w:val="00076676"/>
    <w:rsid w:val="00076747"/>
    <w:rsid w:val="00076A4D"/>
    <w:rsid w:val="00076FED"/>
    <w:rsid w:val="00080BA7"/>
    <w:rsid w:val="00080BEF"/>
    <w:rsid w:val="00081D44"/>
    <w:rsid w:val="00081F17"/>
    <w:rsid w:val="00082B89"/>
    <w:rsid w:val="00082FE4"/>
    <w:rsid w:val="00086198"/>
    <w:rsid w:val="00086C95"/>
    <w:rsid w:val="00086ED8"/>
    <w:rsid w:val="0008750C"/>
    <w:rsid w:val="00087D5B"/>
    <w:rsid w:val="00087EED"/>
    <w:rsid w:val="000904BD"/>
    <w:rsid w:val="000906E6"/>
    <w:rsid w:val="0009075E"/>
    <w:rsid w:val="00090B9E"/>
    <w:rsid w:val="00090C25"/>
    <w:rsid w:val="00090E58"/>
    <w:rsid w:val="00091346"/>
    <w:rsid w:val="000916F9"/>
    <w:rsid w:val="0009207E"/>
    <w:rsid w:val="00092111"/>
    <w:rsid w:val="000924EB"/>
    <w:rsid w:val="00093927"/>
    <w:rsid w:val="00093BC3"/>
    <w:rsid w:val="00093F42"/>
    <w:rsid w:val="000943B9"/>
    <w:rsid w:val="00096216"/>
    <w:rsid w:val="00096DBB"/>
    <w:rsid w:val="0009761E"/>
    <w:rsid w:val="00097C70"/>
    <w:rsid w:val="00097D22"/>
    <w:rsid w:val="00097DD8"/>
    <w:rsid w:val="000A24B8"/>
    <w:rsid w:val="000A306F"/>
    <w:rsid w:val="000A33C8"/>
    <w:rsid w:val="000A3B40"/>
    <w:rsid w:val="000A3C32"/>
    <w:rsid w:val="000A50D9"/>
    <w:rsid w:val="000A59D5"/>
    <w:rsid w:val="000A606D"/>
    <w:rsid w:val="000A6388"/>
    <w:rsid w:val="000A6B03"/>
    <w:rsid w:val="000A74A6"/>
    <w:rsid w:val="000B0C0E"/>
    <w:rsid w:val="000B0EE2"/>
    <w:rsid w:val="000B135C"/>
    <w:rsid w:val="000B1498"/>
    <w:rsid w:val="000B17B6"/>
    <w:rsid w:val="000B19AD"/>
    <w:rsid w:val="000B1BEE"/>
    <w:rsid w:val="000B2A34"/>
    <w:rsid w:val="000B3AE4"/>
    <w:rsid w:val="000B4495"/>
    <w:rsid w:val="000B4BF1"/>
    <w:rsid w:val="000B545F"/>
    <w:rsid w:val="000B575C"/>
    <w:rsid w:val="000B7054"/>
    <w:rsid w:val="000B715D"/>
    <w:rsid w:val="000B7922"/>
    <w:rsid w:val="000C16BC"/>
    <w:rsid w:val="000C1FEF"/>
    <w:rsid w:val="000C213A"/>
    <w:rsid w:val="000C248A"/>
    <w:rsid w:val="000C2851"/>
    <w:rsid w:val="000C3083"/>
    <w:rsid w:val="000C40FC"/>
    <w:rsid w:val="000C52BC"/>
    <w:rsid w:val="000C54B2"/>
    <w:rsid w:val="000C5591"/>
    <w:rsid w:val="000C5CED"/>
    <w:rsid w:val="000C68F6"/>
    <w:rsid w:val="000C6C44"/>
    <w:rsid w:val="000C7224"/>
    <w:rsid w:val="000D0B27"/>
    <w:rsid w:val="000D0C0B"/>
    <w:rsid w:val="000D0C6F"/>
    <w:rsid w:val="000D0EDC"/>
    <w:rsid w:val="000D0FE1"/>
    <w:rsid w:val="000D1757"/>
    <w:rsid w:val="000D1D25"/>
    <w:rsid w:val="000D20DE"/>
    <w:rsid w:val="000D375B"/>
    <w:rsid w:val="000D3817"/>
    <w:rsid w:val="000D6920"/>
    <w:rsid w:val="000D6FCE"/>
    <w:rsid w:val="000D70F5"/>
    <w:rsid w:val="000D7CBB"/>
    <w:rsid w:val="000D7F2A"/>
    <w:rsid w:val="000E0D31"/>
    <w:rsid w:val="000E123A"/>
    <w:rsid w:val="000E1B04"/>
    <w:rsid w:val="000E1CCE"/>
    <w:rsid w:val="000E2305"/>
    <w:rsid w:val="000E3448"/>
    <w:rsid w:val="000E4B74"/>
    <w:rsid w:val="000E570E"/>
    <w:rsid w:val="000E5E3F"/>
    <w:rsid w:val="000E62B2"/>
    <w:rsid w:val="000E65D5"/>
    <w:rsid w:val="000E70B1"/>
    <w:rsid w:val="000E7305"/>
    <w:rsid w:val="000E761A"/>
    <w:rsid w:val="000E76F1"/>
    <w:rsid w:val="000E7EEB"/>
    <w:rsid w:val="000F003D"/>
    <w:rsid w:val="000F010F"/>
    <w:rsid w:val="000F0869"/>
    <w:rsid w:val="000F15B2"/>
    <w:rsid w:val="000F303D"/>
    <w:rsid w:val="000F3C8B"/>
    <w:rsid w:val="000F49B6"/>
    <w:rsid w:val="000F5740"/>
    <w:rsid w:val="000F6648"/>
    <w:rsid w:val="000F74AD"/>
    <w:rsid w:val="000F76BF"/>
    <w:rsid w:val="000F77E7"/>
    <w:rsid w:val="0010043B"/>
    <w:rsid w:val="00100503"/>
    <w:rsid w:val="00100681"/>
    <w:rsid w:val="00101D9A"/>
    <w:rsid w:val="00101E2F"/>
    <w:rsid w:val="001021A2"/>
    <w:rsid w:val="0010281E"/>
    <w:rsid w:val="001030E5"/>
    <w:rsid w:val="00103389"/>
    <w:rsid w:val="0010377A"/>
    <w:rsid w:val="00104CBE"/>
    <w:rsid w:val="00104CE3"/>
    <w:rsid w:val="0010507F"/>
    <w:rsid w:val="00106534"/>
    <w:rsid w:val="00106F82"/>
    <w:rsid w:val="0010716E"/>
    <w:rsid w:val="0010775D"/>
    <w:rsid w:val="00110837"/>
    <w:rsid w:val="001131F3"/>
    <w:rsid w:val="001135A0"/>
    <w:rsid w:val="00113681"/>
    <w:rsid w:val="00115368"/>
    <w:rsid w:val="00115559"/>
    <w:rsid w:val="00115838"/>
    <w:rsid w:val="00115BD0"/>
    <w:rsid w:val="00115FD4"/>
    <w:rsid w:val="00120563"/>
    <w:rsid w:val="001207AE"/>
    <w:rsid w:val="0012086E"/>
    <w:rsid w:val="00120C26"/>
    <w:rsid w:val="00120EAF"/>
    <w:rsid w:val="00121F4A"/>
    <w:rsid w:val="0012200B"/>
    <w:rsid w:val="00123B4C"/>
    <w:rsid w:val="0012499E"/>
    <w:rsid w:val="001254E2"/>
    <w:rsid w:val="0012723D"/>
    <w:rsid w:val="00127436"/>
    <w:rsid w:val="00127F46"/>
    <w:rsid w:val="001316C7"/>
    <w:rsid w:val="001321BA"/>
    <w:rsid w:val="001321E5"/>
    <w:rsid w:val="00132817"/>
    <w:rsid w:val="00132CA6"/>
    <w:rsid w:val="0013333A"/>
    <w:rsid w:val="001334A6"/>
    <w:rsid w:val="001343C2"/>
    <w:rsid w:val="00134E8E"/>
    <w:rsid w:val="00135D22"/>
    <w:rsid w:val="00136266"/>
    <w:rsid w:val="00137B8C"/>
    <w:rsid w:val="00140E11"/>
    <w:rsid w:val="001411AA"/>
    <w:rsid w:val="0014174B"/>
    <w:rsid w:val="00141EE4"/>
    <w:rsid w:val="001420ED"/>
    <w:rsid w:val="00142146"/>
    <w:rsid w:val="00142435"/>
    <w:rsid w:val="00142ACE"/>
    <w:rsid w:val="00142EE5"/>
    <w:rsid w:val="001432BC"/>
    <w:rsid w:val="00143E77"/>
    <w:rsid w:val="00144100"/>
    <w:rsid w:val="0014479D"/>
    <w:rsid w:val="00144B9E"/>
    <w:rsid w:val="00145710"/>
    <w:rsid w:val="0014582B"/>
    <w:rsid w:val="00145E55"/>
    <w:rsid w:val="00146F6F"/>
    <w:rsid w:val="00147132"/>
    <w:rsid w:val="00150251"/>
    <w:rsid w:val="001503ED"/>
    <w:rsid w:val="00150774"/>
    <w:rsid w:val="00151A64"/>
    <w:rsid w:val="00151CF4"/>
    <w:rsid w:val="00151DEB"/>
    <w:rsid w:val="001531FB"/>
    <w:rsid w:val="0015340C"/>
    <w:rsid w:val="001544A3"/>
    <w:rsid w:val="001548F9"/>
    <w:rsid w:val="00154B5A"/>
    <w:rsid w:val="00154F5C"/>
    <w:rsid w:val="00155ADE"/>
    <w:rsid w:val="001561C2"/>
    <w:rsid w:val="00156BCD"/>
    <w:rsid w:val="00156C25"/>
    <w:rsid w:val="00156FB6"/>
    <w:rsid w:val="001603D9"/>
    <w:rsid w:val="001615A2"/>
    <w:rsid w:val="001622B9"/>
    <w:rsid w:val="00162439"/>
    <w:rsid w:val="00163936"/>
    <w:rsid w:val="00163E5F"/>
    <w:rsid w:val="001641B3"/>
    <w:rsid w:val="00164A51"/>
    <w:rsid w:val="00165B75"/>
    <w:rsid w:val="00167501"/>
    <w:rsid w:val="00167812"/>
    <w:rsid w:val="0016783F"/>
    <w:rsid w:val="00171C42"/>
    <w:rsid w:val="0017290D"/>
    <w:rsid w:val="001729AC"/>
    <w:rsid w:val="0017472D"/>
    <w:rsid w:val="001747BA"/>
    <w:rsid w:val="00175F9F"/>
    <w:rsid w:val="0017621E"/>
    <w:rsid w:val="001767E7"/>
    <w:rsid w:val="001773DA"/>
    <w:rsid w:val="001773FF"/>
    <w:rsid w:val="00177578"/>
    <w:rsid w:val="00177CF0"/>
    <w:rsid w:val="001816C8"/>
    <w:rsid w:val="0018266C"/>
    <w:rsid w:val="00182F4B"/>
    <w:rsid w:val="0018475B"/>
    <w:rsid w:val="0018516F"/>
    <w:rsid w:val="001876C6"/>
    <w:rsid w:val="00190079"/>
    <w:rsid w:val="001902B2"/>
    <w:rsid w:val="0019034B"/>
    <w:rsid w:val="00190F7B"/>
    <w:rsid w:val="00192A10"/>
    <w:rsid w:val="001932DA"/>
    <w:rsid w:val="0019343C"/>
    <w:rsid w:val="0019349A"/>
    <w:rsid w:val="001959CD"/>
    <w:rsid w:val="001961E4"/>
    <w:rsid w:val="00196781"/>
    <w:rsid w:val="00196F64"/>
    <w:rsid w:val="001A0E78"/>
    <w:rsid w:val="001A1BAD"/>
    <w:rsid w:val="001A2082"/>
    <w:rsid w:val="001A2486"/>
    <w:rsid w:val="001A28B2"/>
    <w:rsid w:val="001A2C96"/>
    <w:rsid w:val="001A2F7A"/>
    <w:rsid w:val="001A392B"/>
    <w:rsid w:val="001A41EE"/>
    <w:rsid w:val="001A4277"/>
    <w:rsid w:val="001A493D"/>
    <w:rsid w:val="001A4DFA"/>
    <w:rsid w:val="001A5077"/>
    <w:rsid w:val="001A6B84"/>
    <w:rsid w:val="001A6E34"/>
    <w:rsid w:val="001A7425"/>
    <w:rsid w:val="001A762E"/>
    <w:rsid w:val="001A7833"/>
    <w:rsid w:val="001B172E"/>
    <w:rsid w:val="001B1C41"/>
    <w:rsid w:val="001B2116"/>
    <w:rsid w:val="001B34B9"/>
    <w:rsid w:val="001B377E"/>
    <w:rsid w:val="001B39E5"/>
    <w:rsid w:val="001B4D10"/>
    <w:rsid w:val="001B4D51"/>
    <w:rsid w:val="001B5B5D"/>
    <w:rsid w:val="001B5C8A"/>
    <w:rsid w:val="001B602F"/>
    <w:rsid w:val="001B668D"/>
    <w:rsid w:val="001B7226"/>
    <w:rsid w:val="001B7938"/>
    <w:rsid w:val="001B7A7B"/>
    <w:rsid w:val="001B7AE2"/>
    <w:rsid w:val="001B7BA8"/>
    <w:rsid w:val="001C0037"/>
    <w:rsid w:val="001C1323"/>
    <w:rsid w:val="001C1422"/>
    <w:rsid w:val="001C1840"/>
    <w:rsid w:val="001C1EFD"/>
    <w:rsid w:val="001C20E2"/>
    <w:rsid w:val="001C22D8"/>
    <w:rsid w:val="001C2B38"/>
    <w:rsid w:val="001C2EE5"/>
    <w:rsid w:val="001C3525"/>
    <w:rsid w:val="001C368F"/>
    <w:rsid w:val="001C397E"/>
    <w:rsid w:val="001C4049"/>
    <w:rsid w:val="001C5532"/>
    <w:rsid w:val="001C672E"/>
    <w:rsid w:val="001C6779"/>
    <w:rsid w:val="001C6A5B"/>
    <w:rsid w:val="001C6C76"/>
    <w:rsid w:val="001C71C4"/>
    <w:rsid w:val="001C7215"/>
    <w:rsid w:val="001D10C2"/>
    <w:rsid w:val="001D2CE2"/>
    <w:rsid w:val="001D3AE9"/>
    <w:rsid w:val="001D4304"/>
    <w:rsid w:val="001D5CD9"/>
    <w:rsid w:val="001D66C2"/>
    <w:rsid w:val="001D6816"/>
    <w:rsid w:val="001D74D8"/>
    <w:rsid w:val="001D75A3"/>
    <w:rsid w:val="001D7F0D"/>
    <w:rsid w:val="001E070D"/>
    <w:rsid w:val="001E0801"/>
    <w:rsid w:val="001E0E33"/>
    <w:rsid w:val="001E1438"/>
    <w:rsid w:val="001E16F0"/>
    <w:rsid w:val="001E1E15"/>
    <w:rsid w:val="001E1E70"/>
    <w:rsid w:val="001E1F82"/>
    <w:rsid w:val="001E2127"/>
    <w:rsid w:val="001E2CA1"/>
    <w:rsid w:val="001E2D57"/>
    <w:rsid w:val="001E3001"/>
    <w:rsid w:val="001E3138"/>
    <w:rsid w:val="001E3248"/>
    <w:rsid w:val="001E349A"/>
    <w:rsid w:val="001E3718"/>
    <w:rsid w:val="001E387E"/>
    <w:rsid w:val="001E3FB7"/>
    <w:rsid w:val="001E44F5"/>
    <w:rsid w:val="001E6EE4"/>
    <w:rsid w:val="001E7BEA"/>
    <w:rsid w:val="001F1331"/>
    <w:rsid w:val="001F1573"/>
    <w:rsid w:val="001F18A5"/>
    <w:rsid w:val="001F1F91"/>
    <w:rsid w:val="001F20D4"/>
    <w:rsid w:val="001F25B3"/>
    <w:rsid w:val="001F3B3B"/>
    <w:rsid w:val="001F44A1"/>
    <w:rsid w:val="001F500B"/>
    <w:rsid w:val="001F540C"/>
    <w:rsid w:val="001F5B07"/>
    <w:rsid w:val="001F5CA7"/>
    <w:rsid w:val="001F66C1"/>
    <w:rsid w:val="001F69B4"/>
    <w:rsid w:val="001F6A4B"/>
    <w:rsid w:val="001F75FA"/>
    <w:rsid w:val="001F77ED"/>
    <w:rsid w:val="001F783E"/>
    <w:rsid w:val="002008DC"/>
    <w:rsid w:val="00200E6F"/>
    <w:rsid w:val="00201A84"/>
    <w:rsid w:val="00201E8F"/>
    <w:rsid w:val="00201EBE"/>
    <w:rsid w:val="00201FC6"/>
    <w:rsid w:val="002021B3"/>
    <w:rsid w:val="0020336E"/>
    <w:rsid w:val="0020339D"/>
    <w:rsid w:val="002048BB"/>
    <w:rsid w:val="00204965"/>
    <w:rsid w:val="0020582B"/>
    <w:rsid w:val="00205E43"/>
    <w:rsid w:val="00206EEC"/>
    <w:rsid w:val="0020782E"/>
    <w:rsid w:val="00207884"/>
    <w:rsid w:val="00207C27"/>
    <w:rsid w:val="00207CBF"/>
    <w:rsid w:val="00210152"/>
    <w:rsid w:val="00210982"/>
    <w:rsid w:val="00211664"/>
    <w:rsid w:val="002117FB"/>
    <w:rsid w:val="00212D50"/>
    <w:rsid w:val="002137B6"/>
    <w:rsid w:val="0021398E"/>
    <w:rsid w:val="002139D2"/>
    <w:rsid w:val="00214333"/>
    <w:rsid w:val="002144DC"/>
    <w:rsid w:val="0021532C"/>
    <w:rsid w:val="00215A00"/>
    <w:rsid w:val="00215FC8"/>
    <w:rsid w:val="00217B80"/>
    <w:rsid w:val="0022219E"/>
    <w:rsid w:val="002226E0"/>
    <w:rsid w:val="00222DDC"/>
    <w:rsid w:val="002232CC"/>
    <w:rsid w:val="00223386"/>
    <w:rsid w:val="0022362B"/>
    <w:rsid w:val="0022370B"/>
    <w:rsid w:val="00223FE9"/>
    <w:rsid w:val="00226397"/>
    <w:rsid w:val="002307B4"/>
    <w:rsid w:val="0023182E"/>
    <w:rsid w:val="00231D1C"/>
    <w:rsid w:val="002336F3"/>
    <w:rsid w:val="002340DC"/>
    <w:rsid w:val="00234672"/>
    <w:rsid w:val="002355D6"/>
    <w:rsid w:val="00236921"/>
    <w:rsid w:val="00237C72"/>
    <w:rsid w:val="0024032A"/>
    <w:rsid w:val="00240487"/>
    <w:rsid w:val="00240863"/>
    <w:rsid w:val="00241106"/>
    <w:rsid w:val="0024256E"/>
    <w:rsid w:val="00242DCE"/>
    <w:rsid w:val="00243F2D"/>
    <w:rsid w:val="00244805"/>
    <w:rsid w:val="00244A98"/>
    <w:rsid w:val="00245340"/>
    <w:rsid w:val="0024574D"/>
    <w:rsid w:val="002460BD"/>
    <w:rsid w:val="0024633A"/>
    <w:rsid w:val="002463CA"/>
    <w:rsid w:val="002463E0"/>
    <w:rsid w:val="00247554"/>
    <w:rsid w:val="00247B10"/>
    <w:rsid w:val="0025077B"/>
    <w:rsid w:val="00250E7B"/>
    <w:rsid w:val="00250EE0"/>
    <w:rsid w:val="0025190C"/>
    <w:rsid w:val="00252422"/>
    <w:rsid w:val="002533D1"/>
    <w:rsid w:val="00254100"/>
    <w:rsid w:val="00255875"/>
    <w:rsid w:val="00255D1C"/>
    <w:rsid w:val="0026092D"/>
    <w:rsid w:val="00260D3C"/>
    <w:rsid w:val="002613F5"/>
    <w:rsid w:val="0026194D"/>
    <w:rsid w:val="00262B65"/>
    <w:rsid w:val="0026393C"/>
    <w:rsid w:val="00263F31"/>
    <w:rsid w:val="00263F53"/>
    <w:rsid w:val="0026408C"/>
    <w:rsid w:val="00265186"/>
    <w:rsid w:val="00265899"/>
    <w:rsid w:val="00265C74"/>
    <w:rsid w:val="00266CCA"/>
    <w:rsid w:val="00267352"/>
    <w:rsid w:val="002674EA"/>
    <w:rsid w:val="00267661"/>
    <w:rsid w:val="00267848"/>
    <w:rsid w:val="00267994"/>
    <w:rsid w:val="00267BDC"/>
    <w:rsid w:val="002706FC"/>
    <w:rsid w:val="002708E5"/>
    <w:rsid w:val="00270909"/>
    <w:rsid w:val="00270C8D"/>
    <w:rsid w:val="00271947"/>
    <w:rsid w:val="002719B8"/>
    <w:rsid w:val="00272DF9"/>
    <w:rsid w:val="00273777"/>
    <w:rsid w:val="002750A1"/>
    <w:rsid w:val="0027553C"/>
    <w:rsid w:val="002758AB"/>
    <w:rsid w:val="00275C6E"/>
    <w:rsid w:val="0027651B"/>
    <w:rsid w:val="00276556"/>
    <w:rsid w:val="00276A23"/>
    <w:rsid w:val="0027705B"/>
    <w:rsid w:val="00280C3C"/>
    <w:rsid w:val="00280C64"/>
    <w:rsid w:val="00280E47"/>
    <w:rsid w:val="00283861"/>
    <w:rsid w:val="00285D53"/>
    <w:rsid w:val="00286A95"/>
    <w:rsid w:val="00290844"/>
    <w:rsid w:val="002908CC"/>
    <w:rsid w:val="002908E1"/>
    <w:rsid w:val="00290A65"/>
    <w:rsid w:val="00290C29"/>
    <w:rsid w:val="002910D3"/>
    <w:rsid w:val="002913AE"/>
    <w:rsid w:val="002915B7"/>
    <w:rsid w:val="00292B17"/>
    <w:rsid w:val="00292D8C"/>
    <w:rsid w:val="00293130"/>
    <w:rsid w:val="00293275"/>
    <w:rsid w:val="00293A0E"/>
    <w:rsid w:val="00294146"/>
    <w:rsid w:val="00294DA2"/>
    <w:rsid w:val="00295051"/>
    <w:rsid w:val="0029627A"/>
    <w:rsid w:val="00296350"/>
    <w:rsid w:val="0029772F"/>
    <w:rsid w:val="002979BF"/>
    <w:rsid w:val="00297F21"/>
    <w:rsid w:val="002A0509"/>
    <w:rsid w:val="002A1857"/>
    <w:rsid w:val="002A1FC7"/>
    <w:rsid w:val="002A2466"/>
    <w:rsid w:val="002A24D8"/>
    <w:rsid w:val="002A30DF"/>
    <w:rsid w:val="002A3544"/>
    <w:rsid w:val="002A3EA2"/>
    <w:rsid w:val="002A443D"/>
    <w:rsid w:val="002A46C2"/>
    <w:rsid w:val="002A4A4F"/>
    <w:rsid w:val="002A4CCE"/>
    <w:rsid w:val="002A6402"/>
    <w:rsid w:val="002A6925"/>
    <w:rsid w:val="002A6DB3"/>
    <w:rsid w:val="002A6E07"/>
    <w:rsid w:val="002A78E7"/>
    <w:rsid w:val="002B06E7"/>
    <w:rsid w:val="002B0712"/>
    <w:rsid w:val="002B0D4C"/>
    <w:rsid w:val="002B0EA5"/>
    <w:rsid w:val="002B1281"/>
    <w:rsid w:val="002B15E6"/>
    <w:rsid w:val="002B1AA1"/>
    <w:rsid w:val="002B24BE"/>
    <w:rsid w:val="002B27B7"/>
    <w:rsid w:val="002B3407"/>
    <w:rsid w:val="002B410E"/>
    <w:rsid w:val="002B4333"/>
    <w:rsid w:val="002B4CC0"/>
    <w:rsid w:val="002B55D8"/>
    <w:rsid w:val="002B56B2"/>
    <w:rsid w:val="002B5FF0"/>
    <w:rsid w:val="002B6333"/>
    <w:rsid w:val="002B6528"/>
    <w:rsid w:val="002B6805"/>
    <w:rsid w:val="002B684B"/>
    <w:rsid w:val="002B69E5"/>
    <w:rsid w:val="002B6B4F"/>
    <w:rsid w:val="002C09D4"/>
    <w:rsid w:val="002C0BAA"/>
    <w:rsid w:val="002C0CD8"/>
    <w:rsid w:val="002C1C59"/>
    <w:rsid w:val="002C3824"/>
    <w:rsid w:val="002C4243"/>
    <w:rsid w:val="002C49AE"/>
    <w:rsid w:val="002C4BF7"/>
    <w:rsid w:val="002C59DC"/>
    <w:rsid w:val="002C6D4E"/>
    <w:rsid w:val="002C7001"/>
    <w:rsid w:val="002C700B"/>
    <w:rsid w:val="002C7429"/>
    <w:rsid w:val="002C7C6C"/>
    <w:rsid w:val="002C7CB7"/>
    <w:rsid w:val="002D0700"/>
    <w:rsid w:val="002D07B7"/>
    <w:rsid w:val="002D0855"/>
    <w:rsid w:val="002D134F"/>
    <w:rsid w:val="002D1AE1"/>
    <w:rsid w:val="002D2D81"/>
    <w:rsid w:val="002D4460"/>
    <w:rsid w:val="002D4676"/>
    <w:rsid w:val="002D5721"/>
    <w:rsid w:val="002D7511"/>
    <w:rsid w:val="002E0409"/>
    <w:rsid w:val="002E067C"/>
    <w:rsid w:val="002E1BDD"/>
    <w:rsid w:val="002E216F"/>
    <w:rsid w:val="002E39F8"/>
    <w:rsid w:val="002E41DA"/>
    <w:rsid w:val="002E490C"/>
    <w:rsid w:val="002E4C4E"/>
    <w:rsid w:val="002E5525"/>
    <w:rsid w:val="002E55C8"/>
    <w:rsid w:val="002E5D00"/>
    <w:rsid w:val="002E5DCF"/>
    <w:rsid w:val="002E6542"/>
    <w:rsid w:val="002E7C1C"/>
    <w:rsid w:val="002E7FA1"/>
    <w:rsid w:val="002F0686"/>
    <w:rsid w:val="002F10D2"/>
    <w:rsid w:val="002F12E5"/>
    <w:rsid w:val="002F1550"/>
    <w:rsid w:val="002F1702"/>
    <w:rsid w:val="002F20B6"/>
    <w:rsid w:val="002F2C3C"/>
    <w:rsid w:val="002F3847"/>
    <w:rsid w:val="002F3B9B"/>
    <w:rsid w:val="002F47D5"/>
    <w:rsid w:val="002F505D"/>
    <w:rsid w:val="002F55DF"/>
    <w:rsid w:val="002F59B2"/>
    <w:rsid w:val="002F683A"/>
    <w:rsid w:val="0030066A"/>
    <w:rsid w:val="00300818"/>
    <w:rsid w:val="00300DFE"/>
    <w:rsid w:val="00301ABF"/>
    <w:rsid w:val="00302262"/>
    <w:rsid w:val="003022DD"/>
    <w:rsid w:val="00302477"/>
    <w:rsid w:val="00303B5D"/>
    <w:rsid w:val="00303CC0"/>
    <w:rsid w:val="00304020"/>
    <w:rsid w:val="003041B5"/>
    <w:rsid w:val="00304F1E"/>
    <w:rsid w:val="003053C4"/>
    <w:rsid w:val="00305A45"/>
    <w:rsid w:val="00305A4C"/>
    <w:rsid w:val="00305F56"/>
    <w:rsid w:val="00306483"/>
    <w:rsid w:val="00306FD7"/>
    <w:rsid w:val="003075B0"/>
    <w:rsid w:val="0031093A"/>
    <w:rsid w:val="00311131"/>
    <w:rsid w:val="00311971"/>
    <w:rsid w:val="00311DF6"/>
    <w:rsid w:val="00314964"/>
    <w:rsid w:val="00315762"/>
    <w:rsid w:val="0031576B"/>
    <w:rsid w:val="00316D7A"/>
    <w:rsid w:val="0031743A"/>
    <w:rsid w:val="003175FD"/>
    <w:rsid w:val="003179E8"/>
    <w:rsid w:val="00320268"/>
    <w:rsid w:val="00320A2F"/>
    <w:rsid w:val="00320E4B"/>
    <w:rsid w:val="003211D8"/>
    <w:rsid w:val="003215EF"/>
    <w:rsid w:val="00321E6E"/>
    <w:rsid w:val="0032239C"/>
    <w:rsid w:val="00322EFD"/>
    <w:rsid w:val="003235D4"/>
    <w:rsid w:val="0032376A"/>
    <w:rsid w:val="00323946"/>
    <w:rsid w:val="00323D03"/>
    <w:rsid w:val="0032440B"/>
    <w:rsid w:val="0032458B"/>
    <w:rsid w:val="00324EC9"/>
    <w:rsid w:val="00324FC4"/>
    <w:rsid w:val="0032519F"/>
    <w:rsid w:val="003252A4"/>
    <w:rsid w:val="003268C2"/>
    <w:rsid w:val="003268D6"/>
    <w:rsid w:val="00326AAA"/>
    <w:rsid w:val="00326AD1"/>
    <w:rsid w:val="00327BC9"/>
    <w:rsid w:val="00330C64"/>
    <w:rsid w:val="0033146A"/>
    <w:rsid w:val="0033209A"/>
    <w:rsid w:val="00332927"/>
    <w:rsid w:val="00332F3F"/>
    <w:rsid w:val="0033308D"/>
    <w:rsid w:val="0033345B"/>
    <w:rsid w:val="00333FDB"/>
    <w:rsid w:val="00334314"/>
    <w:rsid w:val="003352A6"/>
    <w:rsid w:val="003355D3"/>
    <w:rsid w:val="00335706"/>
    <w:rsid w:val="0033572C"/>
    <w:rsid w:val="00335E7E"/>
    <w:rsid w:val="00336AFB"/>
    <w:rsid w:val="00337701"/>
    <w:rsid w:val="003377A8"/>
    <w:rsid w:val="00337CBA"/>
    <w:rsid w:val="00337D78"/>
    <w:rsid w:val="00337E9D"/>
    <w:rsid w:val="00337EE3"/>
    <w:rsid w:val="0034092F"/>
    <w:rsid w:val="00340AC9"/>
    <w:rsid w:val="00340CF8"/>
    <w:rsid w:val="003410CE"/>
    <w:rsid w:val="00341135"/>
    <w:rsid w:val="00341840"/>
    <w:rsid w:val="00341B53"/>
    <w:rsid w:val="00341D39"/>
    <w:rsid w:val="00343023"/>
    <w:rsid w:val="00343106"/>
    <w:rsid w:val="00343B16"/>
    <w:rsid w:val="00344A31"/>
    <w:rsid w:val="00344BD6"/>
    <w:rsid w:val="00344BDE"/>
    <w:rsid w:val="00344E45"/>
    <w:rsid w:val="0034539C"/>
    <w:rsid w:val="00345536"/>
    <w:rsid w:val="003459FC"/>
    <w:rsid w:val="00345A8B"/>
    <w:rsid w:val="00345FC0"/>
    <w:rsid w:val="003462C7"/>
    <w:rsid w:val="00346A01"/>
    <w:rsid w:val="00347181"/>
    <w:rsid w:val="003472B1"/>
    <w:rsid w:val="0034745F"/>
    <w:rsid w:val="00347A84"/>
    <w:rsid w:val="003503EA"/>
    <w:rsid w:val="00350AFB"/>
    <w:rsid w:val="003514C8"/>
    <w:rsid w:val="00351C53"/>
    <w:rsid w:val="003521CF"/>
    <w:rsid w:val="00352DA0"/>
    <w:rsid w:val="00353969"/>
    <w:rsid w:val="00353EE3"/>
    <w:rsid w:val="00354408"/>
    <w:rsid w:val="00354CF2"/>
    <w:rsid w:val="003550DE"/>
    <w:rsid w:val="003552DC"/>
    <w:rsid w:val="00355B93"/>
    <w:rsid w:val="00355D0D"/>
    <w:rsid w:val="00356EC6"/>
    <w:rsid w:val="00356FDA"/>
    <w:rsid w:val="003576C8"/>
    <w:rsid w:val="0036030B"/>
    <w:rsid w:val="0036052E"/>
    <w:rsid w:val="00360806"/>
    <w:rsid w:val="00360F46"/>
    <w:rsid w:val="003613A8"/>
    <w:rsid w:val="00362042"/>
    <w:rsid w:val="0036236B"/>
    <w:rsid w:val="003627AC"/>
    <w:rsid w:val="003628E9"/>
    <w:rsid w:val="00363A97"/>
    <w:rsid w:val="00363B79"/>
    <w:rsid w:val="003640FE"/>
    <w:rsid w:val="00364A3A"/>
    <w:rsid w:val="0036510D"/>
    <w:rsid w:val="00365318"/>
    <w:rsid w:val="003655E3"/>
    <w:rsid w:val="003655FF"/>
    <w:rsid w:val="00365813"/>
    <w:rsid w:val="00365EB4"/>
    <w:rsid w:val="003667D7"/>
    <w:rsid w:val="00367725"/>
    <w:rsid w:val="00367AB6"/>
    <w:rsid w:val="00367E83"/>
    <w:rsid w:val="003701AA"/>
    <w:rsid w:val="00370CF0"/>
    <w:rsid w:val="00370ECB"/>
    <w:rsid w:val="00371AF9"/>
    <w:rsid w:val="003721E0"/>
    <w:rsid w:val="00372A67"/>
    <w:rsid w:val="00373142"/>
    <w:rsid w:val="00373DBB"/>
    <w:rsid w:val="00374BA7"/>
    <w:rsid w:val="00374D72"/>
    <w:rsid w:val="003750FD"/>
    <w:rsid w:val="00375732"/>
    <w:rsid w:val="00377E07"/>
    <w:rsid w:val="003802AC"/>
    <w:rsid w:val="00380412"/>
    <w:rsid w:val="003807BD"/>
    <w:rsid w:val="00382B46"/>
    <w:rsid w:val="0038301F"/>
    <w:rsid w:val="0038558D"/>
    <w:rsid w:val="0038766C"/>
    <w:rsid w:val="00387890"/>
    <w:rsid w:val="00387E5F"/>
    <w:rsid w:val="00390CFE"/>
    <w:rsid w:val="0039163D"/>
    <w:rsid w:val="0039208D"/>
    <w:rsid w:val="0039265A"/>
    <w:rsid w:val="00392AD8"/>
    <w:rsid w:val="00392F65"/>
    <w:rsid w:val="003932D8"/>
    <w:rsid w:val="003944B1"/>
    <w:rsid w:val="00394DF8"/>
    <w:rsid w:val="00395194"/>
    <w:rsid w:val="0039521E"/>
    <w:rsid w:val="00395E1F"/>
    <w:rsid w:val="0039603B"/>
    <w:rsid w:val="00396E21"/>
    <w:rsid w:val="00397436"/>
    <w:rsid w:val="00397D13"/>
    <w:rsid w:val="003A0188"/>
    <w:rsid w:val="003A09C4"/>
    <w:rsid w:val="003A0C39"/>
    <w:rsid w:val="003A0DAA"/>
    <w:rsid w:val="003A223D"/>
    <w:rsid w:val="003A3082"/>
    <w:rsid w:val="003A30B4"/>
    <w:rsid w:val="003A403B"/>
    <w:rsid w:val="003A421C"/>
    <w:rsid w:val="003A6603"/>
    <w:rsid w:val="003A675D"/>
    <w:rsid w:val="003B0052"/>
    <w:rsid w:val="003B065E"/>
    <w:rsid w:val="003B0769"/>
    <w:rsid w:val="003B0F31"/>
    <w:rsid w:val="003B1603"/>
    <w:rsid w:val="003B26EB"/>
    <w:rsid w:val="003B31AD"/>
    <w:rsid w:val="003B3237"/>
    <w:rsid w:val="003B37A3"/>
    <w:rsid w:val="003B3FC2"/>
    <w:rsid w:val="003B4B45"/>
    <w:rsid w:val="003B53E8"/>
    <w:rsid w:val="003B729A"/>
    <w:rsid w:val="003C03C5"/>
    <w:rsid w:val="003C1777"/>
    <w:rsid w:val="003C231D"/>
    <w:rsid w:val="003C502A"/>
    <w:rsid w:val="003C6196"/>
    <w:rsid w:val="003D0F28"/>
    <w:rsid w:val="003D102D"/>
    <w:rsid w:val="003D1422"/>
    <w:rsid w:val="003D3543"/>
    <w:rsid w:val="003D42E1"/>
    <w:rsid w:val="003D453A"/>
    <w:rsid w:val="003D4586"/>
    <w:rsid w:val="003D50DF"/>
    <w:rsid w:val="003D606A"/>
    <w:rsid w:val="003D6165"/>
    <w:rsid w:val="003D63CF"/>
    <w:rsid w:val="003D6808"/>
    <w:rsid w:val="003D6B19"/>
    <w:rsid w:val="003D7219"/>
    <w:rsid w:val="003D73E0"/>
    <w:rsid w:val="003D7C3D"/>
    <w:rsid w:val="003D7C68"/>
    <w:rsid w:val="003E05D2"/>
    <w:rsid w:val="003E0BAB"/>
    <w:rsid w:val="003E0E21"/>
    <w:rsid w:val="003E10AB"/>
    <w:rsid w:val="003E15D4"/>
    <w:rsid w:val="003E1694"/>
    <w:rsid w:val="003E1A2C"/>
    <w:rsid w:val="003E249D"/>
    <w:rsid w:val="003E24FB"/>
    <w:rsid w:val="003E2901"/>
    <w:rsid w:val="003E3352"/>
    <w:rsid w:val="003E3AA7"/>
    <w:rsid w:val="003E3CBA"/>
    <w:rsid w:val="003E4CF2"/>
    <w:rsid w:val="003E4D84"/>
    <w:rsid w:val="003E5098"/>
    <w:rsid w:val="003E549E"/>
    <w:rsid w:val="003E5678"/>
    <w:rsid w:val="003E56B2"/>
    <w:rsid w:val="003E691B"/>
    <w:rsid w:val="003E6EDF"/>
    <w:rsid w:val="003E6F53"/>
    <w:rsid w:val="003E7D3D"/>
    <w:rsid w:val="003F004F"/>
    <w:rsid w:val="003F0828"/>
    <w:rsid w:val="003F0D75"/>
    <w:rsid w:val="003F0E51"/>
    <w:rsid w:val="003F1935"/>
    <w:rsid w:val="003F1DA4"/>
    <w:rsid w:val="003F2B23"/>
    <w:rsid w:val="003F32DF"/>
    <w:rsid w:val="003F3AE7"/>
    <w:rsid w:val="003F403A"/>
    <w:rsid w:val="003F4A5A"/>
    <w:rsid w:val="003F4E4E"/>
    <w:rsid w:val="003F5126"/>
    <w:rsid w:val="003F63CC"/>
    <w:rsid w:val="003F6803"/>
    <w:rsid w:val="003F7B86"/>
    <w:rsid w:val="003F7D5E"/>
    <w:rsid w:val="00400595"/>
    <w:rsid w:val="00400B5C"/>
    <w:rsid w:val="00401523"/>
    <w:rsid w:val="00401D34"/>
    <w:rsid w:val="00402056"/>
    <w:rsid w:val="0040244A"/>
    <w:rsid w:val="00402603"/>
    <w:rsid w:val="0040374B"/>
    <w:rsid w:val="00404AD7"/>
    <w:rsid w:val="00404F4A"/>
    <w:rsid w:val="00405467"/>
    <w:rsid w:val="00405FB2"/>
    <w:rsid w:val="004063E3"/>
    <w:rsid w:val="00406479"/>
    <w:rsid w:val="0040719C"/>
    <w:rsid w:val="00407840"/>
    <w:rsid w:val="00407C82"/>
    <w:rsid w:val="00410BE4"/>
    <w:rsid w:val="0041118A"/>
    <w:rsid w:val="0041252B"/>
    <w:rsid w:val="004127DE"/>
    <w:rsid w:val="00412B9B"/>
    <w:rsid w:val="00413DC2"/>
    <w:rsid w:val="004140D4"/>
    <w:rsid w:val="0041427D"/>
    <w:rsid w:val="00414C63"/>
    <w:rsid w:val="004165E7"/>
    <w:rsid w:val="0041683F"/>
    <w:rsid w:val="0041738F"/>
    <w:rsid w:val="004175A8"/>
    <w:rsid w:val="00417719"/>
    <w:rsid w:val="00417A85"/>
    <w:rsid w:val="00420197"/>
    <w:rsid w:val="00420853"/>
    <w:rsid w:val="00420F33"/>
    <w:rsid w:val="004216C8"/>
    <w:rsid w:val="004217EB"/>
    <w:rsid w:val="00421A40"/>
    <w:rsid w:val="00421E0B"/>
    <w:rsid w:val="00421E8E"/>
    <w:rsid w:val="00422021"/>
    <w:rsid w:val="0042229E"/>
    <w:rsid w:val="0042313B"/>
    <w:rsid w:val="0042324F"/>
    <w:rsid w:val="00424BA3"/>
    <w:rsid w:val="00424D28"/>
    <w:rsid w:val="00424D64"/>
    <w:rsid w:val="00425976"/>
    <w:rsid w:val="004262B8"/>
    <w:rsid w:val="004271CF"/>
    <w:rsid w:val="00427949"/>
    <w:rsid w:val="00427BF3"/>
    <w:rsid w:val="00427C18"/>
    <w:rsid w:val="00430273"/>
    <w:rsid w:val="0043141D"/>
    <w:rsid w:val="00431A0C"/>
    <w:rsid w:val="00432071"/>
    <w:rsid w:val="00432625"/>
    <w:rsid w:val="00432634"/>
    <w:rsid w:val="00432DFE"/>
    <w:rsid w:val="00433733"/>
    <w:rsid w:val="004338CA"/>
    <w:rsid w:val="004343C0"/>
    <w:rsid w:val="00434AD2"/>
    <w:rsid w:val="00434FB1"/>
    <w:rsid w:val="00436075"/>
    <w:rsid w:val="00436337"/>
    <w:rsid w:val="00436AD8"/>
    <w:rsid w:val="00436B75"/>
    <w:rsid w:val="00436DDA"/>
    <w:rsid w:val="004370F6"/>
    <w:rsid w:val="00437A6A"/>
    <w:rsid w:val="00437C68"/>
    <w:rsid w:val="0044008C"/>
    <w:rsid w:val="00440862"/>
    <w:rsid w:val="00440A38"/>
    <w:rsid w:val="0044156B"/>
    <w:rsid w:val="004415BE"/>
    <w:rsid w:val="00441667"/>
    <w:rsid w:val="00441B99"/>
    <w:rsid w:val="00441DDC"/>
    <w:rsid w:val="004420B0"/>
    <w:rsid w:val="004420FB"/>
    <w:rsid w:val="004430F0"/>
    <w:rsid w:val="00443178"/>
    <w:rsid w:val="0044384D"/>
    <w:rsid w:val="00444297"/>
    <w:rsid w:val="004447C3"/>
    <w:rsid w:val="00445A1F"/>
    <w:rsid w:val="00445F76"/>
    <w:rsid w:val="00446CA5"/>
    <w:rsid w:val="00450230"/>
    <w:rsid w:val="00450381"/>
    <w:rsid w:val="00450900"/>
    <w:rsid w:val="0045264E"/>
    <w:rsid w:val="00452AC7"/>
    <w:rsid w:val="00452B9C"/>
    <w:rsid w:val="00452C39"/>
    <w:rsid w:val="00452F25"/>
    <w:rsid w:val="00453186"/>
    <w:rsid w:val="00453216"/>
    <w:rsid w:val="004541EB"/>
    <w:rsid w:val="00455633"/>
    <w:rsid w:val="00455D0C"/>
    <w:rsid w:val="00456117"/>
    <w:rsid w:val="0045634C"/>
    <w:rsid w:val="0045755A"/>
    <w:rsid w:val="0045784F"/>
    <w:rsid w:val="00457947"/>
    <w:rsid w:val="004604C6"/>
    <w:rsid w:val="00460C33"/>
    <w:rsid w:val="00460E91"/>
    <w:rsid w:val="00462921"/>
    <w:rsid w:val="0046366E"/>
    <w:rsid w:val="00463B75"/>
    <w:rsid w:val="0046409D"/>
    <w:rsid w:val="00465BCF"/>
    <w:rsid w:val="00465C8E"/>
    <w:rsid w:val="00465FFE"/>
    <w:rsid w:val="0046605C"/>
    <w:rsid w:val="00467230"/>
    <w:rsid w:val="004709B7"/>
    <w:rsid w:val="004712BD"/>
    <w:rsid w:val="00471367"/>
    <w:rsid w:val="00471A03"/>
    <w:rsid w:val="00472597"/>
    <w:rsid w:val="00472F32"/>
    <w:rsid w:val="00473818"/>
    <w:rsid w:val="00474667"/>
    <w:rsid w:val="00475136"/>
    <w:rsid w:val="004757FF"/>
    <w:rsid w:val="0047604D"/>
    <w:rsid w:val="0047613E"/>
    <w:rsid w:val="00476A30"/>
    <w:rsid w:val="00480DCB"/>
    <w:rsid w:val="00481A40"/>
    <w:rsid w:val="00481A4E"/>
    <w:rsid w:val="0048289E"/>
    <w:rsid w:val="0048377C"/>
    <w:rsid w:val="004857DC"/>
    <w:rsid w:val="00485BC2"/>
    <w:rsid w:val="00485F63"/>
    <w:rsid w:val="00486594"/>
    <w:rsid w:val="00486736"/>
    <w:rsid w:val="004901F5"/>
    <w:rsid w:val="00491208"/>
    <w:rsid w:val="00492A98"/>
    <w:rsid w:val="00493429"/>
    <w:rsid w:val="00493B6D"/>
    <w:rsid w:val="004947A3"/>
    <w:rsid w:val="00495615"/>
    <w:rsid w:val="00496122"/>
    <w:rsid w:val="00497E35"/>
    <w:rsid w:val="004A0E50"/>
    <w:rsid w:val="004A3455"/>
    <w:rsid w:val="004A3D66"/>
    <w:rsid w:val="004A44B7"/>
    <w:rsid w:val="004A496C"/>
    <w:rsid w:val="004A5A7E"/>
    <w:rsid w:val="004A5CBA"/>
    <w:rsid w:val="004A5FF9"/>
    <w:rsid w:val="004A65EE"/>
    <w:rsid w:val="004A695E"/>
    <w:rsid w:val="004A71A0"/>
    <w:rsid w:val="004B00BB"/>
    <w:rsid w:val="004B0321"/>
    <w:rsid w:val="004B06C4"/>
    <w:rsid w:val="004B0D1A"/>
    <w:rsid w:val="004B129C"/>
    <w:rsid w:val="004B129F"/>
    <w:rsid w:val="004B16CC"/>
    <w:rsid w:val="004B2D51"/>
    <w:rsid w:val="004B2FA1"/>
    <w:rsid w:val="004B4842"/>
    <w:rsid w:val="004B4A11"/>
    <w:rsid w:val="004B4C0B"/>
    <w:rsid w:val="004B547E"/>
    <w:rsid w:val="004B6E5B"/>
    <w:rsid w:val="004C0DC0"/>
    <w:rsid w:val="004C164C"/>
    <w:rsid w:val="004C5A25"/>
    <w:rsid w:val="004C6875"/>
    <w:rsid w:val="004C75BB"/>
    <w:rsid w:val="004C787B"/>
    <w:rsid w:val="004D0F23"/>
    <w:rsid w:val="004D20B2"/>
    <w:rsid w:val="004D27F7"/>
    <w:rsid w:val="004D2C61"/>
    <w:rsid w:val="004D314A"/>
    <w:rsid w:val="004D32EE"/>
    <w:rsid w:val="004D330F"/>
    <w:rsid w:val="004D351B"/>
    <w:rsid w:val="004D365D"/>
    <w:rsid w:val="004D3905"/>
    <w:rsid w:val="004D3E4B"/>
    <w:rsid w:val="004D4055"/>
    <w:rsid w:val="004D4168"/>
    <w:rsid w:val="004D5921"/>
    <w:rsid w:val="004D5F1B"/>
    <w:rsid w:val="004D616D"/>
    <w:rsid w:val="004D67CE"/>
    <w:rsid w:val="004D6861"/>
    <w:rsid w:val="004D69EC"/>
    <w:rsid w:val="004D6EFB"/>
    <w:rsid w:val="004E1594"/>
    <w:rsid w:val="004E1655"/>
    <w:rsid w:val="004E1C3F"/>
    <w:rsid w:val="004E34F1"/>
    <w:rsid w:val="004E3DFB"/>
    <w:rsid w:val="004E4AC3"/>
    <w:rsid w:val="004E4EE2"/>
    <w:rsid w:val="004E5461"/>
    <w:rsid w:val="004E5578"/>
    <w:rsid w:val="004E5914"/>
    <w:rsid w:val="004E5F1E"/>
    <w:rsid w:val="004E611B"/>
    <w:rsid w:val="004E662D"/>
    <w:rsid w:val="004E769A"/>
    <w:rsid w:val="004F0D78"/>
    <w:rsid w:val="004F157C"/>
    <w:rsid w:val="004F2034"/>
    <w:rsid w:val="004F27C2"/>
    <w:rsid w:val="004F39FD"/>
    <w:rsid w:val="004F3B21"/>
    <w:rsid w:val="004F405E"/>
    <w:rsid w:val="004F4064"/>
    <w:rsid w:val="004F43C8"/>
    <w:rsid w:val="004F4794"/>
    <w:rsid w:val="004F48EE"/>
    <w:rsid w:val="004F4A8D"/>
    <w:rsid w:val="004F4F70"/>
    <w:rsid w:val="004F55A6"/>
    <w:rsid w:val="004F5C3C"/>
    <w:rsid w:val="004F5EBC"/>
    <w:rsid w:val="004F63DE"/>
    <w:rsid w:val="004F63EE"/>
    <w:rsid w:val="004F6B67"/>
    <w:rsid w:val="004F6C24"/>
    <w:rsid w:val="004F7346"/>
    <w:rsid w:val="004F7517"/>
    <w:rsid w:val="004F7AF8"/>
    <w:rsid w:val="005010D9"/>
    <w:rsid w:val="00501367"/>
    <w:rsid w:val="005014EB"/>
    <w:rsid w:val="005017E0"/>
    <w:rsid w:val="00501ADE"/>
    <w:rsid w:val="00501BFC"/>
    <w:rsid w:val="00501D19"/>
    <w:rsid w:val="00501EFE"/>
    <w:rsid w:val="00501FC2"/>
    <w:rsid w:val="00502B84"/>
    <w:rsid w:val="00502EC6"/>
    <w:rsid w:val="005033B5"/>
    <w:rsid w:val="00503731"/>
    <w:rsid w:val="0050397F"/>
    <w:rsid w:val="00503AE2"/>
    <w:rsid w:val="00503CB5"/>
    <w:rsid w:val="0050459D"/>
    <w:rsid w:val="00504E8E"/>
    <w:rsid w:val="00505A84"/>
    <w:rsid w:val="00506471"/>
    <w:rsid w:val="0050669B"/>
    <w:rsid w:val="00506798"/>
    <w:rsid w:val="00506E96"/>
    <w:rsid w:val="00506F0D"/>
    <w:rsid w:val="00507959"/>
    <w:rsid w:val="00507DEA"/>
    <w:rsid w:val="005100DF"/>
    <w:rsid w:val="00510927"/>
    <w:rsid w:val="00511A27"/>
    <w:rsid w:val="00511E61"/>
    <w:rsid w:val="005124EA"/>
    <w:rsid w:val="005125BD"/>
    <w:rsid w:val="0051313E"/>
    <w:rsid w:val="00513E58"/>
    <w:rsid w:val="00514CE3"/>
    <w:rsid w:val="00514DF5"/>
    <w:rsid w:val="005152AE"/>
    <w:rsid w:val="00515DAE"/>
    <w:rsid w:val="00515F2B"/>
    <w:rsid w:val="00516DE4"/>
    <w:rsid w:val="005173EF"/>
    <w:rsid w:val="0052019C"/>
    <w:rsid w:val="0052077A"/>
    <w:rsid w:val="00521080"/>
    <w:rsid w:val="005217E7"/>
    <w:rsid w:val="005228BE"/>
    <w:rsid w:val="00522F12"/>
    <w:rsid w:val="005234B2"/>
    <w:rsid w:val="00523B5B"/>
    <w:rsid w:val="00524310"/>
    <w:rsid w:val="00524489"/>
    <w:rsid w:val="0052483C"/>
    <w:rsid w:val="005250BA"/>
    <w:rsid w:val="00525FC1"/>
    <w:rsid w:val="005268AA"/>
    <w:rsid w:val="00526EDD"/>
    <w:rsid w:val="00527C22"/>
    <w:rsid w:val="00530233"/>
    <w:rsid w:val="00530BE5"/>
    <w:rsid w:val="0053254F"/>
    <w:rsid w:val="00533191"/>
    <w:rsid w:val="00533443"/>
    <w:rsid w:val="00534310"/>
    <w:rsid w:val="00534807"/>
    <w:rsid w:val="00534976"/>
    <w:rsid w:val="00534E87"/>
    <w:rsid w:val="00535193"/>
    <w:rsid w:val="00535C05"/>
    <w:rsid w:val="00535CEB"/>
    <w:rsid w:val="005361C9"/>
    <w:rsid w:val="005366AF"/>
    <w:rsid w:val="00536C06"/>
    <w:rsid w:val="00536C8D"/>
    <w:rsid w:val="00537397"/>
    <w:rsid w:val="005418B7"/>
    <w:rsid w:val="00541B7E"/>
    <w:rsid w:val="00542606"/>
    <w:rsid w:val="00542A01"/>
    <w:rsid w:val="00542D6D"/>
    <w:rsid w:val="00543603"/>
    <w:rsid w:val="00543705"/>
    <w:rsid w:val="005459A2"/>
    <w:rsid w:val="00545A8F"/>
    <w:rsid w:val="00545B56"/>
    <w:rsid w:val="005461C6"/>
    <w:rsid w:val="0054687C"/>
    <w:rsid w:val="00546EAE"/>
    <w:rsid w:val="00547465"/>
    <w:rsid w:val="00547788"/>
    <w:rsid w:val="00547C0B"/>
    <w:rsid w:val="0055231F"/>
    <w:rsid w:val="00553268"/>
    <w:rsid w:val="00555565"/>
    <w:rsid w:val="00555C1C"/>
    <w:rsid w:val="00556079"/>
    <w:rsid w:val="0055622E"/>
    <w:rsid w:val="005568BA"/>
    <w:rsid w:val="00557491"/>
    <w:rsid w:val="005608FB"/>
    <w:rsid w:val="00561FA7"/>
    <w:rsid w:val="005623F5"/>
    <w:rsid w:val="00562898"/>
    <w:rsid w:val="00563339"/>
    <w:rsid w:val="00563569"/>
    <w:rsid w:val="00563C60"/>
    <w:rsid w:val="00563F8A"/>
    <w:rsid w:val="0056400E"/>
    <w:rsid w:val="005644D6"/>
    <w:rsid w:val="0056457A"/>
    <w:rsid w:val="00565172"/>
    <w:rsid w:val="005654A1"/>
    <w:rsid w:val="00565903"/>
    <w:rsid w:val="005669F9"/>
    <w:rsid w:val="00567219"/>
    <w:rsid w:val="005674FF"/>
    <w:rsid w:val="00570318"/>
    <w:rsid w:val="00570416"/>
    <w:rsid w:val="00570561"/>
    <w:rsid w:val="00570BCC"/>
    <w:rsid w:val="00570D45"/>
    <w:rsid w:val="00570D59"/>
    <w:rsid w:val="00570ECD"/>
    <w:rsid w:val="00571CF3"/>
    <w:rsid w:val="00571FA4"/>
    <w:rsid w:val="00572645"/>
    <w:rsid w:val="00572A23"/>
    <w:rsid w:val="005734AA"/>
    <w:rsid w:val="005736DD"/>
    <w:rsid w:val="00573789"/>
    <w:rsid w:val="00573C2D"/>
    <w:rsid w:val="0057486F"/>
    <w:rsid w:val="005749B8"/>
    <w:rsid w:val="00574C89"/>
    <w:rsid w:val="005762D5"/>
    <w:rsid w:val="00576D7D"/>
    <w:rsid w:val="00577A17"/>
    <w:rsid w:val="00580497"/>
    <w:rsid w:val="00580C10"/>
    <w:rsid w:val="00581024"/>
    <w:rsid w:val="00582029"/>
    <w:rsid w:val="005823E6"/>
    <w:rsid w:val="0058244B"/>
    <w:rsid w:val="005826B7"/>
    <w:rsid w:val="005832C6"/>
    <w:rsid w:val="00583569"/>
    <w:rsid w:val="005836E3"/>
    <w:rsid w:val="0058380E"/>
    <w:rsid w:val="005839B1"/>
    <w:rsid w:val="00583E6C"/>
    <w:rsid w:val="0058490C"/>
    <w:rsid w:val="00584D49"/>
    <w:rsid w:val="00585124"/>
    <w:rsid w:val="005858EF"/>
    <w:rsid w:val="00586297"/>
    <w:rsid w:val="00586455"/>
    <w:rsid w:val="00586BA0"/>
    <w:rsid w:val="005870D2"/>
    <w:rsid w:val="005879E8"/>
    <w:rsid w:val="0059040F"/>
    <w:rsid w:val="00590555"/>
    <w:rsid w:val="005905E9"/>
    <w:rsid w:val="0059271A"/>
    <w:rsid w:val="00593A70"/>
    <w:rsid w:val="005943A1"/>
    <w:rsid w:val="00594529"/>
    <w:rsid w:val="005948BA"/>
    <w:rsid w:val="00594925"/>
    <w:rsid w:val="00596271"/>
    <w:rsid w:val="00596B9C"/>
    <w:rsid w:val="00596F29"/>
    <w:rsid w:val="0059763D"/>
    <w:rsid w:val="00597E1B"/>
    <w:rsid w:val="005A0131"/>
    <w:rsid w:val="005A0B89"/>
    <w:rsid w:val="005A12EE"/>
    <w:rsid w:val="005A18E0"/>
    <w:rsid w:val="005A1A5D"/>
    <w:rsid w:val="005A1D17"/>
    <w:rsid w:val="005A1D73"/>
    <w:rsid w:val="005A2137"/>
    <w:rsid w:val="005A2A16"/>
    <w:rsid w:val="005A3C55"/>
    <w:rsid w:val="005A42A9"/>
    <w:rsid w:val="005A5403"/>
    <w:rsid w:val="005A54AE"/>
    <w:rsid w:val="005A6236"/>
    <w:rsid w:val="005A6549"/>
    <w:rsid w:val="005A6780"/>
    <w:rsid w:val="005A6DD7"/>
    <w:rsid w:val="005A7547"/>
    <w:rsid w:val="005A75F1"/>
    <w:rsid w:val="005A7C81"/>
    <w:rsid w:val="005B0201"/>
    <w:rsid w:val="005B08FB"/>
    <w:rsid w:val="005B115B"/>
    <w:rsid w:val="005B11BE"/>
    <w:rsid w:val="005B1FB6"/>
    <w:rsid w:val="005B292C"/>
    <w:rsid w:val="005B29DE"/>
    <w:rsid w:val="005B4028"/>
    <w:rsid w:val="005B463B"/>
    <w:rsid w:val="005B4915"/>
    <w:rsid w:val="005B4B91"/>
    <w:rsid w:val="005B4D49"/>
    <w:rsid w:val="005B531F"/>
    <w:rsid w:val="005B6F5E"/>
    <w:rsid w:val="005C0145"/>
    <w:rsid w:val="005C066B"/>
    <w:rsid w:val="005C0C98"/>
    <w:rsid w:val="005C37B6"/>
    <w:rsid w:val="005C37E2"/>
    <w:rsid w:val="005C4657"/>
    <w:rsid w:val="005C4B28"/>
    <w:rsid w:val="005C4E34"/>
    <w:rsid w:val="005C6474"/>
    <w:rsid w:val="005C7511"/>
    <w:rsid w:val="005C7D30"/>
    <w:rsid w:val="005D02D0"/>
    <w:rsid w:val="005D039D"/>
    <w:rsid w:val="005D0922"/>
    <w:rsid w:val="005D0A31"/>
    <w:rsid w:val="005D0AB6"/>
    <w:rsid w:val="005D1368"/>
    <w:rsid w:val="005D1822"/>
    <w:rsid w:val="005D18C9"/>
    <w:rsid w:val="005D1E8D"/>
    <w:rsid w:val="005D2CBD"/>
    <w:rsid w:val="005D3967"/>
    <w:rsid w:val="005D3A98"/>
    <w:rsid w:val="005D4C3B"/>
    <w:rsid w:val="005D4CFC"/>
    <w:rsid w:val="005D5659"/>
    <w:rsid w:val="005D5A86"/>
    <w:rsid w:val="005D6070"/>
    <w:rsid w:val="005D704C"/>
    <w:rsid w:val="005D708B"/>
    <w:rsid w:val="005D7C4D"/>
    <w:rsid w:val="005E05C2"/>
    <w:rsid w:val="005E06AC"/>
    <w:rsid w:val="005E0E6F"/>
    <w:rsid w:val="005E1C92"/>
    <w:rsid w:val="005E3BE7"/>
    <w:rsid w:val="005E4F9A"/>
    <w:rsid w:val="005E76CA"/>
    <w:rsid w:val="005F02B7"/>
    <w:rsid w:val="005F05A5"/>
    <w:rsid w:val="005F0C30"/>
    <w:rsid w:val="005F16D5"/>
    <w:rsid w:val="005F1B99"/>
    <w:rsid w:val="005F1C7C"/>
    <w:rsid w:val="005F2A18"/>
    <w:rsid w:val="005F2E1E"/>
    <w:rsid w:val="005F303C"/>
    <w:rsid w:val="005F3271"/>
    <w:rsid w:val="005F47EE"/>
    <w:rsid w:val="005F4B73"/>
    <w:rsid w:val="005F6BEF"/>
    <w:rsid w:val="005F6C98"/>
    <w:rsid w:val="005F7EC6"/>
    <w:rsid w:val="006001B6"/>
    <w:rsid w:val="00601591"/>
    <w:rsid w:val="006015D9"/>
    <w:rsid w:val="00601B0D"/>
    <w:rsid w:val="00602090"/>
    <w:rsid w:val="0060253A"/>
    <w:rsid w:val="00602638"/>
    <w:rsid w:val="00602A7A"/>
    <w:rsid w:val="00602C8D"/>
    <w:rsid w:val="0060380C"/>
    <w:rsid w:val="00603D89"/>
    <w:rsid w:val="006047B3"/>
    <w:rsid w:val="00604E6B"/>
    <w:rsid w:val="00604FFC"/>
    <w:rsid w:val="006052F1"/>
    <w:rsid w:val="00605593"/>
    <w:rsid w:val="0060575F"/>
    <w:rsid w:val="00605CDE"/>
    <w:rsid w:val="0060620A"/>
    <w:rsid w:val="00606438"/>
    <w:rsid w:val="0060683B"/>
    <w:rsid w:val="00606891"/>
    <w:rsid w:val="00607078"/>
    <w:rsid w:val="00607B69"/>
    <w:rsid w:val="006101C7"/>
    <w:rsid w:val="00610810"/>
    <w:rsid w:val="00611620"/>
    <w:rsid w:val="00612EA3"/>
    <w:rsid w:val="00613B0B"/>
    <w:rsid w:val="00614827"/>
    <w:rsid w:val="00615333"/>
    <w:rsid w:val="0061566D"/>
    <w:rsid w:val="006177A3"/>
    <w:rsid w:val="0061792D"/>
    <w:rsid w:val="00617E8C"/>
    <w:rsid w:val="0062173C"/>
    <w:rsid w:val="00621C10"/>
    <w:rsid w:val="00621C67"/>
    <w:rsid w:val="00621E93"/>
    <w:rsid w:val="0062285A"/>
    <w:rsid w:val="00622CD4"/>
    <w:rsid w:val="00623BCE"/>
    <w:rsid w:val="006240C5"/>
    <w:rsid w:val="00624780"/>
    <w:rsid w:val="00624942"/>
    <w:rsid w:val="00624B24"/>
    <w:rsid w:val="00625038"/>
    <w:rsid w:val="00625FFD"/>
    <w:rsid w:val="00626678"/>
    <w:rsid w:val="0062696B"/>
    <w:rsid w:val="006278A6"/>
    <w:rsid w:val="00630A06"/>
    <w:rsid w:val="00630CA0"/>
    <w:rsid w:val="00631980"/>
    <w:rsid w:val="00631BB9"/>
    <w:rsid w:val="00632A34"/>
    <w:rsid w:val="00632AC9"/>
    <w:rsid w:val="00633FFA"/>
    <w:rsid w:val="00634CCB"/>
    <w:rsid w:val="00635519"/>
    <w:rsid w:val="00635F89"/>
    <w:rsid w:val="00640182"/>
    <w:rsid w:val="00640CB0"/>
    <w:rsid w:val="00640F66"/>
    <w:rsid w:val="0064199E"/>
    <w:rsid w:val="00642089"/>
    <w:rsid w:val="00642277"/>
    <w:rsid w:val="00642B43"/>
    <w:rsid w:val="00643BD8"/>
    <w:rsid w:val="00644C19"/>
    <w:rsid w:val="00646352"/>
    <w:rsid w:val="00646EE9"/>
    <w:rsid w:val="00647050"/>
    <w:rsid w:val="00647D55"/>
    <w:rsid w:val="00650085"/>
    <w:rsid w:val="00650C77"/>
    <w:rsid w:val="00651204"/>
    <w:rsid w:val="00652DAC"/>
    <w:rsid w:val="0065332A"/>
    <w:rsid w:val="00653D38"/>
    <w:rsid w:val="00653F29"/>
    <w:rsid w:val="00654785"/>
    <w:rsid w:val="006548A4"/>
    <w:rsid w:val="006548A5"/>
    <w:rsid w:val="00654B6C"/>
    <w:rsid w:val="0065541F"/>
    <w:rsid w:val="006554F1"/>
    <w:rsid w:val="00655BB7"/>
    <w:rsid w:val="00656A7F"/>
    <w:rsid w:val="0065720B"/>
    <w:rsid w:val="0066117E"/>
    <w:rsid w:val="006614E3"/>
    <w:rsid w:val="0066204F"/>
    <w:rsid w:val="00662C84"/>
    <w:rsid w:val="00663874"/>
    <w:rsid w:val="00664856"/>
    <w:rsid w:val="00665679"/>
    <w:rsid w:val="006659F3"/>
    <w:rsid w:val="00665CF0"/>
    <w:rsid w:val="006666EF"/>
    <w:rsid w:val="00666EBB"/>
    <w:rsid w:val="00666ECA"/>
    <w:rsid w:val="006677D3"/>
    <w:rsid w:val="00667CC1"/>
    <w:rsid w:val="0067067E"/>
    <w:rsid w:val="00670ED5"/>
    <w:rsid w:val="00671AB5"/>
    <w:rsid w:val="00671E95"/>
    <w:rsid w:val="006725AE"/>
    <w:rsid w:val="00672BE1"/>
    <w:rsid w:val="006731CB"/>
    <w:rsid w:val="00673313"/>
    <w:rsid w:val="00673664"/>
    <w:rsid w:val="0067511D"/>
    <w:rsid w:val="00675148"/>
    <w:rsid w:val="006754A6"/>
    <w:rsid w:val="0067551A"/>
    <w:rsid w:val="00675B27"/>
    <w:rsid w:val="00677EF0"/>
    <w:rsid w:val="00681BBD"/>
    <w:rsid w:val="00681FD7"/>
    <w:rsid w:val="0068260F"/>
    <w:rsid w:val="006827FB"/>
    <w:rsid w:val="00682D58"/>
    <w:rsid w:val="00684E41"/>
    <w:rsid w:val="00684E42"/>
    <w:rsid w:val="006852E4"/>
    <w:rsid w:val="00685D88"/>
    <w:rsid w:val="006860AE"/>
    <w:rsid w:val="00686DAD"/>
    <w:rsid w:val="006872B6"/>
    <w:rsid w:val="00690819"/>
    <w:rsid w:val="006925F2"/>
    <w:rsid w:val="006928F5"/>
    <w:rsid w:val="00692D67"/>
    <w:rsid w:val="00693744"/>
    <w:rsid w:val="00693803"/>
    <w:rsid w:val="00693BD4"/>
    <w:rsid w:val="00693BE0"/>
    <w:rsid w:val="006942F8"/>
    <w:rsid w:val="00694923"/>
    <w:rsid w:val="00694AF9"/>
    <w:rsid w:val="00694E20"/>
    <w:rsid w:val="00694F98"/>
    <w:rsid w:val="006957EB"/>
    <w:rsid w:val="00695D6B"/>
    <w:rsid w:val="00695DE9"/>
    <w:rsid w:val="00695FD2"/>
    <w:rsid w:val="0069637F"/>
    <w:rsid w:val="00696F38"/>
    <w:rsid w:val="006978BE"/>
    <w:rsid w:val="006A060A"/>
    <w:rsid w:val="006A0769"/>
    <w:rsid w:val="006A0F23"/>
    <w:rsid w:val="006A1B1D"/>
    <w:rsid w:val="006A2486"/>
    <w:rsid w:val="006A3799"/>
    <w:rsid w:val="006A4AD3"/>
    <w:rsid w:val="006A5413"/>
    <w:rsid w:val="006A61D3"/>
    <w:rsid w:val="006A6DB6"/>
    <w:rsid w:val="006A70C2"/>
    <w:rsid w:val="006A74DF"/>
    <w:rsid w:val="006B0E16"/>
    <w:rsid w:val="006B1A77"/>
    <w:rsid w:val="006B1D19"/>
    <w:rsid w:val="006B1DD2"/>
    <w:rsid w:val="006B2651"/>
    <w:rsid w:val="006B2EBA"/>
    <w:rsid w:val="006B3952"/>
    <w:rsid w:val="006B3F7A"/>
    <w:rsid w:val="006B445E"/>
    <w:rsid w:val="006B6B70"/>
    <w:rsid w:val="006B78F2"/>
    <w:rsid w:val="006B7977"/>
    <w:rsid w:val="006C00A4"/>
    <w:rsid w:val="006C09CA"/>
    <w:rsid w:val="006C0A8A"/>
    <w:rsid w:val="006C0BC9"/>
    <w:rsid w:val="006C1115"/>
    <w:rsid w:val="006C1185"/>
    <w:rsid w:val="006C11C3"/>
    <w:rsid w:val="006C12F6"/>
    <w:rsid w:val="006C1669"/>
    <w:rsid w:val="006C1E94"/>
    <w:rsid w:val="006C2AF6"/>
    <w:rsid w:val="006C39F4"/>
    <w:rsid w:val="006C3ADF"/>
    <w:rsid w:val="006C3C26"/>
    <w:rsid w:val="006C3E77"/>
    <w:rsid w:val="006C5177"/>
    <w:rsid w:val="006C530E"/>
    <w:rsid w:val="006C6AC3"/>
    <w:rsid w:val="006C6E72"/>
    <w:rsid w:val="006D008B"/>
    <w:rsid w:val="006D1CC4"/>
    <w:rsid w:val="006D240B"/>
    <w:rsid w:val="006D283A"/>
    <w:rsid w:val="006D30F2"/>
    <w:rsid w:val="006D344E"/>
    <w:rsid w:val="006D474F"/>
    <w:rsid w:val="006D4E50"/>
    <w:rsid w:val="006D6057"/>
    <w:rsid w:val="006D7A4C"/>
    <w:rsid w:val="006D7FA4"/>
    <w:rsid w:val="006E0B5F"/>
    <w:rsid w:val="006E1C18"/>
    <w:rsid w:val="006E1C72"/>
    <w:rsid w:val="006E2477"/>
    <w:rsid w:val="006E2879"/>
    <w:rsid w:val="006E2C87"/>
    <w:rsid w:val="006E30D7"/>
    <w:rsid w:val="006E34D8"/>
    <w:rsid w:val="006E3613"/>
    <w:rsid w:val="006E3866"/>
    <w:rsid w:val="006E6266"/>
    <w:rsid w:val="006E6842"/>
    <w:rsid w:val="006E775C"/>
    <w:rsid w:val="006E7EEF"/>
    <w:rsid w:val="006F0621"/>
    <w:rsid w:val="006F0900"/>
    <w:rsid w:val="006F0C3B"/>
    <w:rsid w:val="006F11FD"/>
    <w:rsid w:val="006F1CBF"/>
    <w:rsid w:val="006F3337"/>
    <w:rsid w:val="006F33BA"/>
    <w:rsid w:val="006F36FB"/>
    <w:rsid w:val="006F3AB0"/>
    <w:rsid w:val="006F49F4"/>
    <w:rsid w:val="006F4B00"/>
    <w:rsid w:val="006F4B06"/>
    <w:rsid w:val="006F4FE7"/>
    <w:rsid w:val="006F523F"/>
    <w:rsid w:val="006F5A33"/>
    <w:rsid w:val="006F5B71"/>
    <w:rsid w:val="006F5D45"/>
    <w:rsid w:val="006F5EDC"/>
    <w:rsid w:val="006F6831"/>
    <w:rsid w:val="006F707B"/>
    <w:rsid w:val="006F771D"/>
    <w:rsid w:val="00700075"/>
    <w:rsid w:val="00700169"/>
    <w:rsid w:val="00700E31"/>
    <w:rsid w:val="007019E2"/>
    <w:rsid w:val="007020DE"/>
    <w:rsid w:val="00702ACE"/>
    <w:rsid w:val="00702E07"/>
    <w:rsid w:val="007039F4"/>
    <w:rsid w:val="00704813"/>
    <w:rsid w:val="00704DF9"/>
    <w:rsid w:val="00705C1C"/>
    <w:rsid w:val="00705EAA"/>
    <w:rsid w:val="00706275"/>
    <w:rsid w:val="0070708B"/>
    <w:rsid w:val="00707331"/>
    <w:rsid w:val="0070787E"/>
    <w:rsid w:val="00707B78"/>
    <w:rsid w:val="00707CF0"/>
    <w:rsid w:val="00707D52"/>
    <w:rsid w:val="00710F91"/>
    <w:rsid w:val="0071122F"/>
    <w:rsid w:val="00711C39"/>
    <w:rsid w:val="00712059"/>
    <w:rsid w:val="00712AD1"/>
    <w:rsid w:val="00712D9F"/>
    <w:rsid w:val="00712FCE"/>
    <w:rsid w:val="007137AE"/>
    <w:rsid w:val="00713850"/>
    <w:rsid w:val="0071440B"/>
    <w:rsid w:val="0071588F"/>
    <w:rsid w:val="007160A6"/>
    <w:rsid w:val="00717069"/>
    <w:rsid w:val="0071741E"/>
    <w:rsid w:val="007174EF"/>
    <w:rsid w:val="0072015E"/>
    <w:rsid w:val="0072036A"/>
    <w:rsid w:val="00720A84"/>
    <w:rsid w:val="007210C2"/>
    <w:rsid w:val="007215D1"/>
    <w:rsid w:val="007215EB"/>
    <w:rsid w:val="00722C2A"/>
    <w:rsid w:val="00723664"/>
    <w:rsid w:val="0072482C"/>
    <w:rsid w:val="00725898"/>
    <w:rsid w:val="00725B14"/>
    <w:rsid w:val="007264D1"/>
    <w:rsid w:val="00726907"/>
    <w:rsid w:val="0072755E"/>
    <w:rsid w:val="00727A4C"/>
    <w:rsid w:val="007305A2"/>
    <w:rsid w:val="00731B19"/>
    <w:rsid w:val="00731B82"/>
    <w:rsid w:val="007323A1"/>
    <w:rsid w:val="007328D0"/>
    <w:rsid w:val="007333E9"/>
    <w:rsid w:val="00734C43"/>
    <w:rsid w:val="00734DE2"/>
    <w:rsid w:val="007356DB"/>
    <w:rsid w:val="007358B5"/>
    <w:rsid w:val="00736456"/>
    <w:rsid w:val="00737F99"/>
    <w:rsid w:val="00740852"/>
    <w:rsid w:val="00740C52"/>
    <w:rsid w:val="007419B4"/>
    <w:rsid w:val="00741E38"/>
    <w:rsid w:val="00742A72"/>
    <w:rsid w:val="0074446A"/>
    <w:rsid w:val="00744CA2"/>
    <w:rsid w:val="00744FAE"/>
    <w:rsid w:val="00745197"/>
    <w:rsid w:val="007457F6"/>
    <w:rsid w:val="00745D7D"/>
    <w:rsid w:val="00745F71"/>
    <w:rsid w:val="007469BD"/>
    <w:rsid w:val="00746D7C"/>
    <w:rsid w:val="007470C7"/>
    <w:rsid w:val="0074734C"/>
    <w:rsid w:val="00747C9B"/>
    <w:rsid w:val="0075003B"/>
    <w:rsid w:val="00750A49"/>
    <w:rsid w:val="00750D1F"/>
    <w:rsid w:val="007513A2"/>
    <w:rsid w:val="0075191D"/>
    <w:rsid w:val="00751DC3"/>
    <w:rsid w:val="007520B1"/>
    <w:rsid w:val="0075258B"/>
    <w:rsid w:val="00752E14"/>
    <w:rsid w:val="0075381B"/>
    <w:rsid w:val="007541F9"/>
    <w:rsid w:val="0075442D"/>
    <w:rsid w:val="00754997"/>
    <w:rsid w:val="0075583C"/>
    <w:rsid w:val="00756123"/>
    <w:rsid w:val="007613AA"/>
    <w:rsid w:val="00762136"/>
    <w:rsid w:val="00762382"/>
    <w:rsid w:val="007625E9"/>
    <w:rsid w:val="00762BAF"/>
    <w:rsid w:val="00764157"/>
    <w:rsid w:val="00764FF0"/>
    <w:rsid w:val="0076751A"/>
    <w:rsid w:val="007676C4"/>
    <w:rsid w:val="00767AF2"/>
    <w:rsid w:val="0077005D"/>
    <w:rsid w:val="00770091"/>
    <w:rsid w:val="00770335"/>
    <w:rsid w:val="00770C4B"/>
    <w:rsid w:val="0077188D"/>
    <w:rsid w:val="00772B1C"/>
    <w:rsid w:val="007730AB"/>
    <w:rsid w:val="007745DA"/>
    <w:rsid w:val="00774E82"/>
    <w:rsid w:val="00775588"/>
    <w:rsid w:val="00775F94"/>
    <w:rsid w:val="00776149"/>
    <w:rsid w:val="0077673B"/>
    <w:rsid w:val="007769E6"/>
    <w:rsid w:val="00777981"/>
    <w:rsid w:val="00777AF7"/>
    <w:rsid w:val="007808D8"/>
    <w:rsid w:val="00780EA8"/>
    <w:rsid w:val="00780FAE"/>
    <w:rsid w:val="007812A4"/>
    <w:rsid w:val="007836C6"/>
    <w:rsid w:val="007840EB"/>
    <w:rsid w:val="0078539C"/>
    <w:rsid w:val="00786184"/>
    <w:rsid w:val="007865BD"/>
    <w:rsid w:val="00786EA5"/>
    <w:rsid w:val="00787943"/>
    <w:rsid w:val="00787B3F"/>
    <w:rsid w:val="00787D8B"/>
    <w:rsid w:val="00787F98"/>
    <w:rsid w:val="0079083F"/>
    <w:rsid w:val="007909FF"/>
    <w:rsid w:val="00790D56"/>
    <w:rsid w:val="007911C5"/>
    <w:rsid w:val="007922EF"/>
    <w:rsid w:val="00792814"/>
    <w:rsid w:val="0079431C"/>
    <w:rsid w:val="00794791"/>
    <w:rsid w:val="00794D9E"/>
    <w:rsid w:val="00795C1F"/>
    <w:rsid w:val="00796076"/>
    <w:rsid w:val="00796EDD"/>
    <w:rsid w:val="00797382"/>
    <w:rsid w:val="007973F6"/>
    <w:rsid w:val="00797E44"/>
    <w:rsid w:val="007A0978"/>
    <w:rsid w:val="007A11F4"/>
    <w:rsid w:val="007A128B"/>
    <w:rsid w:val="007A13A8"/>
    <w:rsid w:val="007A1BCE"/>
    <w:rsid w:val="007A2858"/>
    <w:rsid w:val="007A2B4E"/>
    <w:rsid w:val="007A2C73"/>
    <w:rsid w:val="007A3938"/>
    <w:rsid w:val="007A4329"/>
    <w:rsid w:val="007A501E"/>
    <w:rsid w:val="007A5266"/>
    <w:rsid w:val="007A5713"/>
    <w:rsid w:val="007A5888"/>
    <w:rsid w:val="007A6CF7"/>
    <w:rsid w:val="007A6FAE"/>
    <w:rsid w:val="007A7FA6"/>
    <w:rsid w:val="007B00C3"/>
    <w:rsid w:val="007B0386"/>
    <w:rsid w:val="007B180B"/>
    <w:rsid w:val="007B20F2"/>
    <w:rsid w:val="007B22D3"/>
    <w:rsid w:val="007B321D"/>
    <w:rsid w:val="007B3409"/>
    <w:rsid w:val="007B4F1C"/>
    <w:rsid w:val="007B5779"/>
    <w:rsid w:val="007B6373"/>
    <w:rsid w:val="007B6A34"/>
    <w:rsid w:val="007C24A0"/>
    <w:rsid w:val="007C280C"/>
    <w:rsid w:val="007C34E3"/>
    <w:rsid w:val="007C35C4"/>
    <w:rsid w:val="007C3756"/>
    <w:rsid w:val="007C3ECB"/>
    <w:rsid w:val="007C5857"/>
    <w:rsid w:val="007C6128"/>
    <w:rsid w:val="007D0207"/>
    <w:rsid w:val="007D0EF8"/>
    <w:rsid w:val="007D17A6"/>
    <w:rsid w:val="007D3411"/>
    <w:rsid w:val="007D3742"/>
    <w:rsid w:val="007D3B13"/>
    <w:rsid w:val="007D4CED"/>
    <w:rsid w:val="007D6DF1"/>
    <w:rsid w:val="007D6E15"/>
    <w:rsid w:val="007E075D"/>
    <w:rsid w:val="007E0CB1"/>
    <w:rsid w:val="007E0DF5"/>
    <w:rsid w:val="007E188A"/>
    <w:rsid w:val="007E1F94"/>
    <w:rsid w:val="007E29DA"/>
    <w:rsid w:val="007E3D28"/>
    <w:rsid w:val="007E4635"/>
    <w:rsid w:val="007E5B2C"/>
    <w:rsid w:val="007E6025"/>
    <w:rsid w:val="007E61B3"/>
    <w:rsid w:val="007E678A"/>
    <w:rsid w:val="007E6E77"/>
    <w:rsid w:val="007E721B"/>
    <w:rsid w:val="007E746F"/>
    <w:rsid w:val="007F0301"/>
    <w:rsid w:val="007F0A6E"/>
    <w:rsid w:val="007F0A86"/>
    <w:rsid w:val="007F0B87"/>
    <w:rsid w:val="007F10B3"/>
    <w:rsid w:val="007F13DD"/>
    <w:rsid w:val="007F165C"/>
    <w:rsid w:val="007F1CDE"/>
    <w:rsid w:val="007F1F92"/>
    <w:rsid w:val="007F31D0"/>
    <w:rsid w:val="007F3A10"/>
    <w:rsid w:val="007F42C2"/>
    <w:rsid w:val="007F4769"/>
    <w:rsid w:val="007F4F20"/>
    <w:rsid w:val="007F4F6F"/>
    <w:rsid w:val="007F5864"/>
    <w:rsid w:val="007F60E0"/>
    <w:rsid w:val="007F7360"/>
    <w:rsid w:val="007F7546"/>
    <w:rsid w:val="007F7A3D"/>
    <w:rsid w:val="00800A45"/>
    <w:rsid w:val="00802699"/>
    <w:rsid w:val="00803110"/>
    <w:rsid w:val="0080320D"/>
    <w:rsid w:val="0080328C"/>
    <w:rsid w:val="008035A4"/>
    <w:rsid w:val="00803800"/>
    <w:rsid w:val="00803D48"/>
    <w:rsid w:val="00804580"/>
    <w:rsid w:val="0080551F"/>
    <w:rsid w:val="0080561E"/>
    <w:rsid w:val="008056A1"/>
    <w:rsid w:val="008056AB"/>
    <w:rsid w:val="00807527"/>
    <w:rsid w:val="008077C1"/>
    <w:rsid w:val="00807927"/>
    <w:rsid w:val="008079E0"/>
    <w:rsid w:val="00807C43"/>
    <w:rsid w:val="00810050"/>
    <w:rsid w:val="00810851"/>
    <w:rsid w:val="0081106F"/>
    <w:rsid w:val="00813AF0"/>
    <w:rsid w:val="008143E8"/>
    <w:rsid w:val="0081457F"/>
    <w:rsid w:val="00814602"/>
    <w:rsid w:val="008147EA"/>
    <w:rsid w:val="00814D88"/>
    <w:rsid w:val="008152BD"/>
    <w:rsid w:val="00816E0F"/>
    <w:rsid w:val="00817847"/>
    <w:rsid w:val="008179D8"/>
    <w:rsid w:val="00820803"/>
    <w:rsid w:val="008208A4"/>
    <w:rsid w:val="00820C9D"/>
    <w:rsid w:val="008213D0"/>
    <w:rsid w:val="00821950"/>
    <w:rsid w:val="00821AF2"/>
    <w:rsid w:val="00821B4C"/>
    <w:rsid w:val="00821BFB"/>
    <w:rsid w:val="00822A69"/>
    <w:rsid w:val="0082318F"/>
    <w:rsid w:val="0082378B"/>
    <w:rsid w:val="00823DB9"/>
    <w:rsid w:val="00823EEC"/>
    <w:rsid w:val="0082456E"/>
    <w:rsid w:val="00824836"/>
    <w:rsid w:val="00825727"/>
    <w:rsid w:val="00825928"/>
    <w:rsid w:val="00825DB0"/>
    <w:rsid w:val="008260DC"/>
    <w:rsid w:val="008263A1"/>
    <w:rsid w:val="00826540"/>
    <w:rsid w:val="00827E82"/>
    <w:rsid w:val="008301CE"/>
    <w:rsid w:val="00830211"/>
    <w:rsid w:val="008305AF"/>
    <w:rsid w:val="008306B3"/>
    <w:rsid w:val="00831F22"/>
    <w:rsid w:val="0083249E"/>
    <w:rsid w:val="00832C9D"/>
    <w:rsid w:val="008334EE"/>
    <w:rsid w:val="00833651"/>
    <w:rsid w:val="00833FBC"/>
    <w:rsid w:val="00834101"/>
    <w:rsid w:val="00834ABB"/>
    <w:rsid w:val="008359B6"/>
    <w:rsid w:val="00836A9B"/>
    <w:rsid w:val="008403C4"/>
    <w:rsid w:val="0084102E"/>
    <w:rsid w:val="00841931"/>
    <w:rsid w:val="008419E8"/>
    <w:rsid w:val="00841C4F"/>
    <w:rsid w:val="00841D4F"/>
    <w:rsid w:val="00841DFA"/>
    <w:rsid w:val="00842199"/>
    <w:rsid w:val="0084234A"/>
    <w:rsid w:val="008433E9"/>
    <w:rsid w:val="00843460"/>
    <w:rsid w:val="00844515"/>
    <w:rsid w:val="00844EB4"/>
    <w:rsid w:val="00844FF6"/>
    <w:rsid w:val="0084545D"/>
    <w:rsid w:val="00845D3B"/>
    <w:rsid w:val="00846328"/>
    <w:rsid w:val="0084632A"/>
    <w:rsid w:val="008463A7"/>
    <w:rsid w:val="00846529"/>
    <w:rsid w:val="00846995"/>
    <w:rsid w:val="00846A5B"/>
    <w:rsid w:val="00846B66"/>
    <w:rsid w:val="00846FBD"/>
    <w:rsid w:val="00847F51"/>
    <w:rsid w:val="008502C5"/>
    <w:rsid w:val="00850315"/>
    <w:rsid w:val="0085063B"/>
    <w:rsid w:val="0085068A"/>
    <w:rsid w:val="008507EC"/>
    <w:rsid w:val="008521AB"/>
    <w:rsid w:val="00853D27"/>
    <w:rsid w:val="0085406D"/>
    <w:rsid w:val="0085460B"/>
    <w:rsid w:val="00854CA2"/>
    <w:rsid w:val="00855130"/>
    <w:rsid w:val="0085545E"/>
    <w:rsid w:val="0085662E"/>
    <w:rsid w:val="008570D0"/>
    <w:rsid w:val="0086084D"/>
    <w:rsid w:val="00860FD0"/>
    <w:rsid w:val="00861451"/>
    <w:rsid w:val="008615B1"/>
    <w:rsid w:val="00861817"/>
    <w:rsid w:val="008618FC"/>
    <w:rsid w:val="00861D47"/>
    <w:rsid w:val="00862A65"/>
    <w:rsid w:val="0086311D"/>
    <w:rsid w:val="00863A38"/>
    <w:rsid w:val="00863C54"/>
    <w:rsid w:val="00865265"/>
    <w:rsid w:val="00865B26"/>
    <w:rsid w:val="008666D1"/>
    <w:rsid w:val="00867214"/>
    <w:rsid w:val="00867660"/>
    <w:rsid w:val="008705CF"/>
    <w:rsid w:val="00870911"/>
    <w:rsid w:val="00871169"/>
    <w:rsid w:val="00871443"/>
    <w:rsid w:val="00871626"/>
    <w:rsid w:val="00871733"/>
    <w:rsid w:val="00872447"/>
    <w:rsid w:val="0087269D"/>
    <w:rsid w:val="00872790"/>
    <w:rsid w:val="00872BDD"/>
    <w:rsid w:val="00872DB8"/>
    <w:rsid w:val="0087300B"/>
    <w:rsid w:val="00873799"/>
    <w:rsid w:val="0087408B"/>
    <w:rsid w:val="00874122"/>
    <w:rsid w:val="008748AD"/>
    <w:rsid w:val="00874A21"/>
    <w:rsid w:val="00874CD9"/>
    <w:rsid w:val="0087679E"/>
    <w:rsid w:val="00880422"/>
    <w:rsid w:val="00882F08"/>
    <w:rsid w:val="00882F9C"/>
    <w:rsid w:val="0088333A"/>
    <w:rsid w:val="00883385"/>
    <w:rsid w:val="00883AE7"/>
    <w:rsid w:val="00884395"/>
    <w:rsid w:val="00885A5B"/>
    <w:rsid w:val="00886670"/>
    <w:rsid w:val="008869C2"/>
    <w:rsid w:val="00886ACB"/>
    <w:rsid w:val="00886BA9"/>
    <w:rsid w:val="00886C7C"/>
    <w:rsid w:val="008877EC"/>
    <w:rsid w:val="00890359"/>
    <w:rsid w:val="00890425"/>
    <w:rsid w:val="008908AC"/>
    <w:rsid w:val="00890A2C"/>
    <w:rsid w:val="0089161D"/>
    <w:rsid w:val="00891C91"/>
    <w:rsid w:val="00891E5E"/>
    <w:rsid w:val="00892022"/>
    <w:rsid w:val="00892655"/>
    <w:rsid w:val="008929F9"/>
    <w:rsid w:val="0089317D"/>
    <w:rsid w:val="0089465E"/>
    <w:rsid w:val="00894E7E"/>
    <w:rsid w:val="00897996"/>
    <w:rsid w:val="008A0329"/>
    <w:rsid w:val="008A07B4"/>
    <w:rsid w:val="008A4E48"/>
    <w:rsid w:val="008A536E"/>
    <w:rsid w:val="008A53D0"/>
    <w:rsid w:val="008A620A"/>
    <w:rsid w:val="008A6D94"/>
    <w:rsid w:val="008A7DDA"/>
    <w:rsid w:val="008B0215"/>
    <w:rsid w:val="008B0E37"/>
    <w:rsid w:val="008B1390"/>
    <w:rsid w:val="008B14D6"/>
    <w:rsid w:val="008B1B0F"/>
    <w:rsid w:val="008B4A2F"/>
    <w:rsid w:val="008B5649"/>
    <w:rsid w:val="008B6205"/>
    <w:rsid w:val="008B6AE4"/>
    <w:rsid w:val="008B784F"/>
    <w:rsid w:val="008B7A94"/>
    <w:rsid w:val="008C0595"/>
    <w:rsid w:val="008C125B"/>
    <w:rsid w:val="008C2512"/>
    <w:rsid w:val="008C2922"/>
    <w:rsid w:val="008C2936"/>
    <w:rsid w:val="008C2C80"/>
    <w:rsid w:val="008C3489"/>
    <w:rsid w:val="008C5082"/>
    <w:rsid w:val="008C5717"/>
    <w:rsid w:val="008C579E"/>
    <w:rsid w:val="008C5F52"/>
    <w:rsid w:val="008C6A08"/>
    <w:rsid w:val="008C6BB2"/>
    <w:rsid w:val="008D04F1"/>
    <w:rsid w:val="008D0C50"/>
    <w:rsid w:val="008D14A8"/>
    <w:rsid w:val="008D1598"/>
    <w:rsid w:val="008D1D58"/>
    <w:rsid w:val="008D2442"/>
    <w:rsid w:val="008D4176"/>
    <w:rsid w:val="008D476F"/>
    <w:rsid w:val="008D5203"/>
    <w:rsid w:val="008D52E7"/>
    <w:rsid w:val="008D52EA"/>
    <w:rsid w:val="008D5B1F"/>
    <w:rsid w:val="008D72D3"/>
    <w:rsid w:val="008D772C"/>
    <w:rsid w:val="008E0876"/>
    <w:rsid w:val="008E0B93"/>
    <w:rsid w:val="008E13B7"/>
    <w:rsid w:val="008E36FB"/>
    <w:rsid w:val="008E39B5"/>
    <w:rsid w:val="008E3B1A"/>
    <w:rsid w:val="008E3C14"/>
    <w:rsid w:val="008E4610"/>
    <w:rsid w:val="008E4BDB"/>
    <w:rsid w:val="008E4D8F"/>
    <w:rsid w:val="008E5918"/>
    <w:rsid w:val="008E7B8C"/>
    <w:rsid w:val="008E7DEC"/>
    <w:rsid w:val="008F00B0"/>
    <w:rsid w:val="008F0F92"/>
    <w:rsid w:val="008F162A"/>
    <w:rsid w:val="008F17F5"/>
    <w:rsid w:val="008F1E1D"/>
    <w:rsid w:val="008F29DB"/>
    <w:rsid w:val="008F31CA"/>
    <w:rsid w:val="008F322C"/>
    <w:rsid w:val="008F3517"/>
    <w:rsid w:val="008F4230"/>
    <w:rsid w:val="008F4706"/>
    <w:rsid w:val="008F4992"/>
    <w:rsid w:val="008F559E"/>
    <w:rsid w:val="008F5B2F"/>
    <w:rsid w:val="008F6674"/>
    <w:rsid w:val="008F7C26"/>
    <w:rsid w:val="009005C0"/>
    <w:rsid w:val="009006B4"/>
    <w:rsid w:val="00902542"/>
    <w:rsid w:val="00903417"/>
    <w:rsid w:val="00903BCB"/>
    <w:rsid w:val="0090520D"/>
    <w:rsid w:val="009059D7"/>
    <w:rsid w:val="00905B12"/>
    <w:rsid w:val="00905C2B"/>
    <w:rsid w:val="00906117"/>
    <w:rsid w:val="0090627E"/>
    <w:rsid w:val="00906EEC"/>
    <w:rsid w:val="00906F34"/>
    <w:rsid w:val="00907029"/>
    <w:rsid w:val="0090725E"/>
    <w:rsid w:val="00907462"/>
    <w:rsid w:val="00907BFE"/>
    <w:rsid w:val="00910DDD"/>
    <w:rsid w:val="0091132D"/>
    <w:rsid w:val="00911458"/>
    <w:rsid w:val="009120FE"/>
    <w:rsid w:val="00913CAD"/>
    <w:rsid w:val="0091412D"/>
    <w:rsid w:val="009141FB"/>
    <w:rsid w:val="00914810"/>
    <w:rsid w:val="00915384"/>
    <w:rsid w:val="0091599A"/>
    <w:rsid w:val="00915F36"/>
    <w:rsid w:val="00916D87"/>
    <w:rsid w:val="00917031"/>
    <w:rsid w:val="00917242"/>
    <w:rsid w:val="0091770A"/>
    <w:rsid w:val="00917B97"/>
    <w:rsid w:val="0092071C"/>
    <w:rsid w:val="00920EFB"/>
    <w:rsid w:val="0092100E"/>
    <w:rsid w:val="0092302E"/>
    <w:rsid w:val="00923F2F"/>
    <w:rsid w:val="00923F50"/>
    <w:rsid w:val="00924218"/>
    <w:rsid w:val="00924B1E"/>
    <w:rsid w:val="00925CE5"/>
    <w:rsid w:val="00925D27"/>
    <w:rsid w:val="00926126"/>
    <w:rsid w:val="0092699E"/>
    <w:rsid w:val="00926A89"/>
    <w:rsid w:val="009273AC"/>
    <w:rsid w:val="00930812"/>
    <w:rsid w:val="009308F3"/>
    <w:rsid w:val="00930D45"/>
    <w:rsid w:val="00930F6A"/>
    <w:rsid w:val="00930FD4"/>
    <w:rsid w:val="00932C5E"/>
    <w:rsid w:val="00933E63"/>
    <w:rsid w:val="009340F5"/>
    <w:rsid w:val="00934496"/>
    <w:rsid w:val="00934C51"/>
    <w:rsid w:val="00934C71"/>
    <w:rsid w:val="00934CF6"/>
    <w:rsid w:val="009356A0"/>
    <w:rsid w:val="00935879"/>
    <w:rsid w:val="009369DA"/>
    <w:rsid w:val="00937685"/>
    <w:rsid w:val="00937F64"/>
    <w:rsid w:val="0094011C"/>
    <w:rsid w:val="00940139"/>
    <w:rsid w:val="009403A1"/>
    <w:rsid w:val="009414A1"/>
    <w:rsid w:val="0094171B"/>
    <w:rsid w:val="00941B8E"/>
    <w:rsid w:val="0094275A"/>
    <w:rsid w:val="00942977"/>
    <w:rsid w:val="00942D8D"/>
    <w:rsid w:val="0094321A"/>
    <w:rsid w:val="00944A8F"/>
    <w:rsid w:val="00944DC8"/>
    <w:rsid w:val="00945182"/>
    <w:rsid w:val="0094518B"/>
    <w:rsid w:val="00950009"/>
    <w:rsid w:val="0095022A"/>
    <w:rsid w:val="009530EB"/>
    <w:rsid w:val="00953B06"/>
    <w:rsid w:val="00954657"/>
    <w:rsid w:val="00954EE7"/>
    <w:rsid w:val="00955429"/>
    <w:rsid w:val="00955CE3"/>
    <w:rsid w:val="00956B7E"/>
    <w:rsid w:val="00956EB6"/>
    <w:rsid w:val="0095733B"/>
    <w:rsid w:val="0096044F"/>
    <w:rsid w:val="0096181F"/>
    <w:rsid w:val="00961897"/>
    <w:rsid w:val="00961B1B"/>
    <w:rsid w:val="00962F19"/>
    <w:rsid w:val="0096441B"/>
    <w:rsid w:val="00964932"/>
    <w:rsid w:val="00965183"/>
    <w:rsid w:val="00966D3B"/>
    <w:rsid w:val="00967BB7"/>
    <w:rsid w:val="00967E8F"/>
    <w:rsid w:val="0097006D"/>
    <w:rsid w:val="00970143"/>
    <w:rsid w:val="0097058B"/>
    <w:rsid w:val="00970DC6"/>
    <w:rsid w:val="0097118D"/>
    <w:rsid w:val="00971809"/>
    <w:rsid w:val="0097197F"/>
    <w:rsid w:val="00971A4E"/>
    <w:rsid w:val="00972982"/>
    <w:rsid w:val="009746E5"/>
    <w:rsid w:val="00974DE4"/>
    <w:rsid w:val="009758DC"/>
    <w:rsid w:val="00975A66"/>
    <w:rsid w:val="00975E51"/>
    <w:rsid w:val="0097690E"/>
    <w:rsid w:val="0097692F"/>
    <w:rsid w:val="009773E7"/>
    <w:rsid w:val="00977881"/>
    <w:rsid w:val="00980568"/>
    <w:rsid w:val="0098090B"/>
    <w:rsid w:val="00980CA6"/>
    <w:rsid w:val="00983944"/>
    <w:rsid w:val="00983B92"/>
    <w:rsid w:val="00984A50"/>
    <w:rsid w:val="00985AF0"/>
    <w:rsid w:val="00985B91"/>
    <w:rsid w:val="009864A8"/>
    <w:rsid w:val="00986FB4"/>
    <w:rsid w:val="009871AB"/>
    <w:rsid w:val="00992BDC"/>
    <w:rsid w:val="00993BEB"/>
    <w:rsid w:val="00994EC0"/>
    <w:rsid w:val="00996F3E"/>
    <w:rsid w:val="00996F82"/>
    <w:rsid w:val="0099737F"/>
    <w:rsid w:val="009A0554"/>
    <w:rsid w:val="009A07D2"/>
    <w:rsid w:val="009A0B94"/>
    <w:rsid w:val="009A0D5F"/>
    <w:rsid w:val="009A340E"/>
    <w:rsid w:val="009A3E93"/>
    <w:rsid w:val="009A4BDB"/>
    <w:rsid w:val="009A50C6"/>
    <w:rsid w:val="009A5172"/>
    <w:rsid w:val="009A5237"/>
    <w:rsid w:val="009A58D2"/>
    <w:rsid w:val="009A68C7"/>
    <w:rsid w:val="009A75B2"/>
    <w:rsid w:val="009A7AF7"/>
    <w:rsid w:val="009B0064"/>
    <w:rsid w:val="009B0BAE"/>
    <w:rsid w:val="009B1DD4"/>
    <w:rsid w:val="009B2A16"/>
    <w:rsid w:val="009B37E5"/>
    <w:rsid w:val="009B3FA8"/>
    <w:rsid w:val="009B4A5B"/>
    <w:rsid w:val="009B517D"/>
    <w:rsid w:val="009B5A05"/>
    <w:rsid w:val="009B79A4"/>
    <w:rsid w:val="009C0458"/>
    <w:rsid w:val="009C0666"/>
    <w:rsid w:val="009C1E7B"/>
    <w:rsid w:val="009C3246"/>
    <w:rsid w:val="009C3423"/>
    <w:rsid w:val="009C36CD"/>
    <w:rsid w:val="009C4670"/>
    <w:rsid w:val="009C4EC2"/>
    <w:rsid w:val="009C5437"/>
    <w:rsid w:val="009C569F"/>
    <w:rsid w:val="009C56CF"/>
    <w:rsid w:val="009C5CD4"/>
    <w:rsid w:val="009C6468"/>
    <w:rsid w:val="009C686A"/>
    <w:rsid w:val="009C6DD0"/>
    <w:rsid w:val="009D003F"/>
    <w:rsid w:val="009D0083"/>
    <w:rsid w:val="009D165C"/>
    <w:rsid w:val="009D1771"/>
    <w:rsid w:val="009D2FD7"/>
    <w:rsid w:val="009D314E"/>
    <w:rsid w:val="009D37A7"/>
    <w:rsid w:val="009D5624"/>
    <w:rsid w:val="009D5FDF"/>
    <w:rsid w:val="009D60B6"/>
    <w:rsid w:val="009D6E08"/>
    <w:rsid w:val="009D732A"/>
    <w:rsid w:val="009D7519"/>
    <w:rsid w:val="009D7E0C"/>
    <w:rsid w:val="009E01E4"/>
    <w:rsid w:val="009E04BD"/>
    <w:rsid w:val="009E0731"/>
    <w:rsid w:val="009E1775"/>
    <w:rsid w:val="009E2C14"/>
    <w:rsid w:val="009E2FAC"/>
    <w:rsid w:val="009E3823"/>
    <w:rsid w:val="009E3B3E"/>
    <w:rsid w:val="009E3D95"/>
    <w:rsid w:val="009E3F5D"/>
    <w:rsid w:val="009E4146"/>
    <w:rsid w:val="009E44E4"/>
    <w:rsid w:val="009E5E61"/>
    <w:rsid w:val="009E6D59"/>
    <w:rsid w:val="009E71EC"/>
    <w:rsid w:val="009F034C"/>
    <w:rsid w:val="009F16A7"/>
    <w:rsid w:val="009F2C44"/>
    <w:rsid w:val="009F3A5A"/>
    <w:rsid w:val="009F3D56"/>
    <w:rsid w:val="009F42BA"/>
    <w:rsid w:val="009F47CF"/>
    <w:rsid w:val="009F4B65"/>
    <w:rsid w:val="009F4E86"/>
    <w:rsid w:val="009F4F15"/>
    <w:rsid w:val="009F5529"/>
    <w:rsid w:val="009F6186"/>
    <w:rsid w:val="009F74D5"/>
    <w:rsid w:val="009F79FF"/>
    <w:rsid w:val="00A00458"/>
    <w:rsid w:val="00A0048D"/>
    <w:rsid w:val="00A017F4"/>
    <w:rsid w:val="00A024E8"/>
    <w:rsid w:val="00A02EAF"/>
    <w:rsid w:val="00A03B84"/>
    <w:rsid w:val="00A04695"/>
    <w:rsid w:val="00A04A3F"/>
    <w:rsid w:val="00A04A5D"/>
    <w:rsid w:val="00A04D85"/>
    <w:rsid w:val="00A05330"/>
    <w:rsid w:val="00A058C7"/>
    <w:rsid w:val="00A0693B"/>
    <w:rsid w:val="00A06FBE"/>
    <w:rsid w:val="00A06FF1"/>
    <w:rsid w:val="00A07D65"/>
    <w:rsid w:val="00A1007E"/>
    <w:rsid w:val="00A10CB4"/>
    <w:rsid w:val="00A11C4D"/>
    <w:rsid w:val="00A12307"/>
    <w:rsid w:val="00A127B8"/>
    <w:rsid w:val="00A1363B"/>
    <w:rsid w:val="00A13DAE"/>
    <w:rsid w:val="00A1439C"/>
    <w:rsid w:val="00A1537E"/>
    <w:rsid w:val="00A154CE"/>
    <w:rsid w:val="00A154F4"/>
    <w:rsid w:val="00A1627F"/>
    <w:rsid w:val="00A16902"/>
    <w:rsid w:val="00A17D11"/>
    <w:rsid w:val="00A17E68"/>
    <w:rsid w:val="00A20FDC"/>
    <w:rsid w:val="00A22407"/>
    <w:rsid w:val="00A233C9"/>
    <w:rsid w:val="00A23E95"/>
    <w:rsid w:val="00A24B7A"/>
    <w:rsid w:val="00A25EFF"/>
    <w:rsid w:val="00A25FA1"/>
    <w:rsid w:val="00A2613D"/>
    <w:rsid w:val="00A26601"/>
    <w:rsid w:val="00A26B8E"/>
    <w:rsid w:val="00A30D1F"/>
    <w:rsid w:val="00A30EBE"/>
    <w:rsid w:val="00A30F8E"/>
    <w:rsid w:val="00A3123E"/>
    <w:rsid w:val="00A31298"/>
    <w:rsid w:val="00A321B0"/>
    <w:rsid w:val="00A32BCB"/>
    <w:rsid w:val="00A32CFE"/>
    <w:rsid w:val="00A32F65"/>
    <w:rsid w:val="00A33AEB"/>
    <w:rsid w:val="00A33B34"/>
    <w:rsid w:val="00A349D3"/>
    <w:rsid w:val="00A352A3"/>
    <w:rsid w:val="00A35FFE"/>
    <w:rsid w:val="00A360A4"/>
    <w:rsid w:val="00A3648E"/>
    <w:rsid w:val="00A36CFE"/>
    <w:rsid w:val="00A36FB2"/>
    <w:rsid w:val="00A379A6"/>
    <w:rsid w:val="00A4004E"/>
    <w:rsid w:val="00A40243"/>
    <w:rsid w:val="00A40825"/>
    <w:rsid w:val="00A40D37"/>
    <w:rsid w:val="00A41A2F"/>
    <w:rsid w:val="00A41D11"/>
    <w:rsid w:val="00A42363"/>
    <w:rsid w:val="00A42BA3"/>
    <w:rsid w:val="00A43A28"/>
    <w:rsid w:val="00A440B5"/>
    <w:rsid w:val="00A45A15"/>
    <w:rsid w:val="00A45A56"/>
    <w:rsid w:val="00A46C29"/>
    <w:rsid w:val="00A47827"/>
    <w:rsid w:val="00A47D56"/>
    <w:rsid w:val="00A5043C"/>
    <w:rsid w:val="00A50447"/>
    <w:rsid w:val="00A50867"/>
    <w:rsid w:val="00A50899"/>
    <w:rsid w:val="00A511E8"/>
    <w:rsid w:val="00A5200A"/>
    <w:rsid w:val="00A532E0"/>
    <w:rsid w:val="00A53380"/>
    <w:rsid w:val="00A5508B"/>
    <w:rsid w:val="00A55570"/>
    <w:rsid w:val="00A55A70"/>
    <w:rsid w:val="00A55DB2"/>
    <w:rsid w:val="00A56270"/>
    <w:rsid w:val="00A5647C"/>
    <w:rsid w:val="00A5735B"/>
    <w:rsid w:val="00A602E4"/>
    <w:rsid w:val="00A60399"/>
    <w:rsid w:val="00A610A3"/>
    <w:rsid w:val="00A61377"/>
    <w:rsid w:val="00A6157D"/>
    <w:rsid w:val="00A61869"/>
    <w:rsid w:val="00A61E2A"/>
    <w:rsid w:val="00A62A84"/>
    <w:rsid w:val="00A62C34"/>
    <w:rsid w:val="00A62FA6"/>
    <w:rsid w:val="00A63851"/>
    <w:rsid w:val="00A63A0E"/>
    <w:rsid w:val="00A644B6"/>
    <w:rsid w:val="00A64CD0"/>
    <w:rsid w:val="00A64E7D"/>
    <w:rsid w:val="00A64F8F"/>
    <w:rsid w:val="00A65D27"/>
    <w:rsid w:val="00A66F37"/>
    <w:rsid w:val="00A6764C"/>
    <w:rsid w:val="00A67969"/>
    <w:rsid w:val="00A70F4B"/>
    <w:rsid w:val="00A7272F"/>
    <w:rsid w:val="00A73139"/>
    <w:rsid w:val="00A73566"/>
    <w:rsid w:val="00A73B68"/>
    <w:rsid w:val="00A744C1"/>
    <w:rsid w:val="00A7665B"/>
    <w:rsid w:val="00A76F6B"/>
    <w:rsid w:val="00A77393"/>
    <w:rsid w:val="00A77405"/>
    <w:rsid w:val="00A77F3D"/>
    <w:rsid w:val="00A80336"/>
    <w:rsid w:val="00A80D01"/>
    <w:rsid w:val="00A81D97"/>
    <w:rsid w:val="00A824B1"/>
    <w:rsid w:val="00A83182"/>
    <w:rsid w:val="00A833BC"/>
    <w:rsid w:val="00A83F76"/>
    <w:rsid w:val="00A84B9E"/>
    <w:rsid w:val="00A8578A"/>
    <w:rsid w:val="00A85BE9"/>
    <w:rsid w:val="00A864DA"/>
    <w:rsid w:val="00A8669E"/>
    <w:rsid w:val="00A869E2"/>
    <w:rsid w:val="00A877A7"/>
    <w:rsid w:val="00A87C83"/>
    <w:rsid w:val="00A87F56"/>
    <w:rsid w:val="00A90496"/>
    <w:rsid w:val="00A9237E"/>
    <w:rsid w:val="00A923FF"/>
    <w:rsid w:val="00A933E6"/>
    <w:rsid w:val="00A93ACD"/>
    <w:rsid w:val="00A93C2B"/>
    <w:rsid w:val="00A94E62"/>
    <w:rsid w:val="00A955E3"/>
    <w:rsid w:val="00A95F10"/>
    <w:rsid w:val="00A96AF7"/>
    <w:rsid w:val="00A96D05"/>
    <w:rsid w:val="00A96DF0"/>
    <w:rsid w:val="00A972B5"/>
    <w:rsid w:val="00A9777A"/>
    <w:rsid w:val="00A97B93"/>
    <w:rsid w:val="00AA05B0"/>
    <w:rsid w:val="00AA06ED"/>
    <w:rsid w:val="00AA0739"/>
    <w:rsid w:val="00AA08A6"/>
    <w:rsid w:val="00AA0D1F"/>
    <w:rsid w:val="00AA1DB5"/>
    <w:rsid w:val="00AA23CC"/>
    <w:rsid w:val="00AA2656"/>
    <w:rsid w:val="00AA39EA"/>
    <w:rsid w:val="00AA4413"/>
    <w:rsid w:val="00AA4FBF"/>
    <w:rsid w:val="00AA518C"/>
    <w:rsid w:val="00AA7541"/>
    <w:rsid w:val="00AA770A"/>
    <w:rsid w:val="00AA7EE7"/>
    <w:rsid w:val="00AB050C"/>
    <w:rsid w:val="00AB15DB"/>
    <w:rsid w:val="00AB2594"/>
    <w:rsid w:val="00AB3631"/>
    <w:rsid w:val="00AB3F74"/>
    <w:rsid w:val="00AB407D"/>
    <w:rsid w:val="00AB44AB"/>
    <w:rsid w:val="00AB4948"/>
    <w:rsid w:val="00AB4A7F"/>
    <w:rsid w:val="00AB4CB2"/>
    <w:rsid w:val="00AB4DA3"/>
    <w:rsid w:val="00AB54ED"/>
    <w:rsid w:val="00AB591A"/>
    <w:rsid w:val="00AB66A9"/>
    <w:rsid w:val="00AB69FE"/>
    <w:rsid w:val="00AB6BD9"/>
    <w:rsid w:val="00AB74CD"/>
    <w:rsid w:val="00AB74E7"/>
    <w:rsid w:val="00AB75B1"/>
    <w:rsid w:val="00AB7EEC"/>
    <w:rsid w:val="00AC00F1"/>
    <w:rsid w:val="00AC04DC"/>
    <w:rsid w:val="00AC0B93"/>
    <w:rsid w:val="00AC0FF0"/>
    <w:rsid w:val="00AC1893"/>
    <w:rsid w:val="00AC18FE"/>
    <w:rsid w:val="00AC1A0C"/>
    <w:rsid w:val="00AC22ED"/>
    <w:rsid w:val="00AC2C59"/>
    <w:rsid w:val="00AC368F"/>
    <w:rsid w:val="00AC3D96"/>
    <w:rsid w:val="00AC3F01"/>
    <w:rsid w:val="00AC4E66"/>
    <w:rsid w:val="00AC4FE9"/>
    <w:rsid w:val="00AC5300"/>
    <w:rsid w:val="00AC5DD7"/>
    <w:rsid w:val="00AC6A7B"/>
    <w:rsid w:val="00AC7A77"/>
    <w:rsid w:val="00AC7ED4"/>
    <w:rsid w:val="00AD01A8"/>
    <w:rsid w:val="00AD0223"/>
    <w:rsid w:val="00AD0635"/>
    <w:rsid w:val="00AD08C1"/>
    <w:rsid w:val="00AD08DD"/>
    <w:rsid w:val="00AD11E5"/>
    <w:rsid w:val="00AD1635"/>
    <w:rsid w:val="00AD1BAB"/>
    <w:rsid w:val="00AD230A"/>
    <w:rsid w:val="00AD300E"/>
    <w:rsid w:val="00AD366A"/>
    <w:rsid w:val="00AD3D45"/>
    <w:rsid w:val="00AD3D4B"/>
    <w:rsid w:val="00AD4151"/>
    <w:rsid w:val="00AD4A3F"/>
    <w:rsid w:val="00AD5C2A"/>
    <w:rsid w:val="00AD610D"/>
    <w:rsid w:val="00AD66B5"/>
    <w:rsid w:val="00AD6809"/>
    <w:rsid w:val="00AD6C4C"/>
    <w:rsid w:val="00AD7AC3"/>
    <w:rsid w:val="00AD7B1D"/>
    <w:rsid w:val="00AE02A3"/>
    <w:rsid w:val="00AE0DC1"/>
    <w:rsid w:val="00AE101E"/>
    <w:rsid w:val="00AE1D3D"/>
    <w:rsid w:val="00AE23C5"/>
    <w:rsid w:val="00AE3362"/>
    <w:rsid w:val="00AE348F"/>
    <w:rsid w:val="00AE357D"/>
    <w:rsid w:val="00AE36E3"/>
    <w:rsid w:val="00AE4B32"/>
    <w:rsid w:val="00AE4E0B"/>
    <w:rsid w:val="00AE6188"/>
    <w:rsid w:val="00AE6E2D"/>
    <w:rsid w:val="00AE7171"/>
    <w:rsid w:val="00AE7766"/>
    <w:rsid w:val="00AE7841"/>
    <w:rsid w:val="00AE78DC"/>
    <w:rsid w:val="00AF0D96"/>
    <w:rsid w:val="00AF0D9F"/>
    <w:rsid w:val="00AF206C"/>
    <w:rsid w:val="00AF20D5"/>
    <w:rsid w:val="00AF284D"/>
    <w:rsid w:val="00AF290E"/>
    <w:rsid w:val="00AF308D"/>
    <w:rsid w:val="00AF3B78"/>
    <w:rsid w:val="00AF42AE"/>
    <w:rsid w:val="00AF4992"/>
    <w:rsid w:val="00AF55CC"/>
    <w:rsid w:val="00AF5627"/>
    <w:rsid w:val="00AF5C7B"/>
    <w:rsid w:val="00AF5FD8"/>
    <w:rsid w:val="00AF7490"/>
    <w:rsid w:val="00AF75CC"/>
    <w:rsid w:val="00AF768E"/>
    <w:rsid w:val="00AF7867"/>
    <w:rsid w:val="00AF7E81"/>
    <w:rsid w:val="00AF7FE3"/>
    <w:rsid w:val="00B00226"/>
    <w:rsid w:val="00B0037B"/>
    <w:rsid w:val="00B01CA1"/>
    <w:rsid w:val="00B022E4"/>
    <w:rsid w:val="00B0325D"/>
    <w:rsid w:val="00B03517"/>
    <w:rsid w:val="00B05589"/>
    <w:rsid w:val="00B05AC7"/>
    <w:rsid w:val="00B05E3E"/>
    <w:rsid w:val="00B063F1"/>
    <w:rsid w:val="00B070AF"/>
    <w:rsid w:val="00B078BC"/>
    <w:rsid w:val="00B07DAB"/>
    <w:rsid w:val="00B103A5"/>
    <w:rsid w:val="00B11B22"/>
    <w:rsid w:val="00B1327A"/>
    <w:rsid w:val="00B14940"/>
    <w:rsid w:val="00B15CB1"/>
    <w:rsid w:val="00B16077"/>
    <w:rsid w:val="00B16D21"/>
    <w:rsid w:val="00B1703D"/>
    <w:rsid w:val="00B17AA4"/>
    <w:rsid w:val="00B21AA0"/>
    <w:rsid w:val="00B22046"/>
    <w:rsid w:val="00B222F2"/>
    <w:rsid w:val="00B22337"/>
    <w:rsid w:val="00B235CC"/>
    <w:rsid w:val="00B23C50"/>
    <w:rsid w:val="00B23CC3"/>
    <w:rsid w:val="00B24C92"/>
    <w:rsid w:val="00B24E8F"/>
    <w:rsid w:val="00B25265"/>
    <w:rsid w:val="00B253CB"/>
    <w:rsid w:val="00B255CC"/>
    <w:rsid w:val="00B25E47"/>
    <w:rsid w:val="00B265B3"/>
    <w:rsid w:val="00B272E6"/>
    <w:rsid w:val="00B2769E"/>
    <w:rsid w:val="00B27AA6"/>
    <w:rsid w:val="00B27AB1"/>
    <w:rsid w:val="00B27C86"/>
    <w:rsid w:val="00B301C6"/>
    <w:rsid w:val="00B30687"/>
    <w:rsid w:val="00B31008"/>
    <w:rsid w:val="00B314B6"/>
    <w:rsid w:val="00B31519"/>
    <w:rsid w:val="00B31D16"/>
    <w:rsid w:val="00B337C3"/>
    <w:rsid w:val="00B33BD6"/>
    <w:rsid w:val="00B33EA5"/>
    <w:rsid w:val="00B3435E"/>
    <w:rsid w:val="00B348B9"/>
    <w:rsid w:val="00B34968"/>
    <w:rsid w:val="00B35258"/>
    <w:rsid w:val="00B35BF8"/>
    <w:rsid w:val="00B35F2D"/>
    <w:rsid w:val="00B37039"/>
    <w:rsid w:val="00B377C5"/>
    <w:rsid w:val="00B37844"/>
    <w:rsid w:val="00B37AFB"/>
    <w:rsid w:val="00B37E30"/>
    <w:rsid w:val="00B40A90"/>
    <w:rsid w:val="00B4137A"/>
    <w:rsid w:val="00B419EC"/>
    <w:rsid w:val="00B42EAC"/>
    <w:rsid w:val="00B437E6"/>
    <w:rsid w:val="00B438C2"/>
    <w:rsid w:val="00B44053"/>
    <w:rsid w:val="00B4428D"/>
    <w:rsid w:val="00B45157"/>
    <w:rsid w:val="00B45652"/>
    <w:rsid w:val="00B4620B"/>
    <w:rsid w:val="00B465F1"/>
    <w:rsid w:val="00B47590"/>
    <w:rsid w:val="00B475D8"/>
    <w:rsid w:val="00B47EE1"/>
    <w:rsid w:val="00B51E86"/>
    <w:rsid w:val="00B52AD4"/>
    <w:rsid w:val="00B53352"/>
    <w:rsid w:val="00B53A36"/>
    <w:rsid w:val="00B54E2E"/>
    <w:rsid w:val="00B54EA5"/>
    <w:rsid w:val="00B54FA1"/>
    <w:rsid w:val="00B55C14"/>
    <w:rsid w:val="00B575EA"/>
    <w:rsid w:val="00B57BED"/>
    <w:rsid w:val="00B6026B"/>
    <w:rsid w:val="00B60B7E"/>
    <w:rsid w:val="00B60C90"/>
    <w:rsid w:val="00B61368"/>
    <w:rsid w:val="00B6160C"/>
    <w:rsid w:val="00B6218B"/>
    <w:rsid w:val="00B62D55"/>
    <w:rsid w:val="00B63007"/>
    <w:rsid w:val="00B63B98"/>
    <w:rsid w:val="00B64423"/>
    <w:rsid w:val="00B64A82"/>
    <w:rsid w:val="00B64AD8"/>
    <w:rsid w:val="00B65122"/>
    <w:rsid w:val="00B6537F"/>
    <w:rsid w:val="00B65543"/>
    <w:rsid w:val="00B66B93"/>
    <w:rsid w:val="00B66D47"/>
    <w:rsid w:val="00B67A27"/>
    <w:rsid w:val="00B67AA1"/>
    <w:rsid w:val="00B71D67"/>
    <w:rsid w:val="00B71EA2"/>
    <w:rsid w:val="00B71EF0"/>
    <w:rsid w:val="00B734AD"/>
    <w:rsid w:val="00B734AE"/>
    <w:rsid w:val="00B73D0C"/>
    <w:rsid w:val="00B74806"/>
    <w:rsid w:val="00B749BE"/>
    <w:rsid w:val="00B752E8"/>
    <w:rsid w:val="00B762F5"/>
    <w:rsid w:val="00B76F9B"/>
    <w:rsid w:val="00B7777D"/>
    <w:rsid w:val="00B77831"/>
    <w:rsid w:val="00B8055A"/>
    <w:rsid w:val="00B809ED"/>
    <w:rsid w:val="00B80ED1"/>
    <w:rsid w:val="00B8117E"/>
    <w:rsid w:val="00B811B8"/>
    <w:rsid w:val="00B8183B"/>
    <w:rsid w:val="00B81E06"/>
    <w:rsid w:val="00B82397"/>
    <w:rsid w:val="00B8263C"/>
    <w:rsid w:val="00B828B3"/>
    <w:rsid w:val="00B839A8"/>
    <w:rsid w:val="00B83C85"/>
    <w:rsid w:val="00B83DD7"/>
    <w:rsid w:val="00B84CE6"/>
    <w:rsid w:val="00B90971"/>
    <w:rsid w:val="00B90C26"/>
    <w:rsid w:val="00B917AA"/>
    <w:rsid w:val="00B918A4"/>
    <w:rsid w:val="00B91EA2"/>
    <w:rsid w:val="00B92C2C"/>
    <w:rsid w:val="00B934EB"/>
    <w:rsid w:val="00B96D96"/>
    <w:rsid w:val="00B97B72"/>
    <w:rsid w:val="00BA1E9E"/>
    <w:rsid w:val="00BA2CE8"/>
    <w:rsid w:val="00BA2DC1"/>
    <w:rsid w:val="00BA360B"/>
    <w:rsid w:val="00BA3DE5"/>
    <w:rsid w:val="00BA40F4"/>
    <w:rsid w:val="00BA418E"/>
    <w:rsid w:val="00BA483E"/>
    <w:rsid w:val="00BA49D8"/>
    <w:rsid w:val="00BA60B0"/>
    <w:rsid w:val="00BB0826"/>
    <w:rsid w:val="00BB0C69"/>
    <w:rsid w:val="00BB178C"/>
    <w:rsid w:val="00BB1C90"/>
    <w:rsid w:val="00BB24D3"/>
    <w:rsid w:val="00BB25D7"/>
    <w:rsid w:val="00BB2776"/>
    <w:rsid w:val="00BB32B2"/>
    <w:rsid w:val="00BB3B76"/>
    <w:rsid w:val="00BB40AB"/>
    <w:rsid w:val="00BB4636"/>
    <w:rsid w:val="00BB4B7D"/>
    <w:rsid w:val="00BB5D6B"/>
    <w:rsid w:val="00BB6EF1"/>
    <w:rsid w:val="00BC07B4"/>
    <w:rsid w:val="00BC118F"/>
    <w:rsid w:val="00BC129D"/>
    <w:rsid w:val="00BC1983"/>
    <w:rsid w:val="00BC282A"/>
    <w:rsid w:val="00BC329B"/>
    <w:rsid w:val="00BC39EF"/>
    <w:rsid w:val="00BC3D34"/>
    <w:rsid w:val="00BC3FD0"/>
    <w:rsid w:val="00BC474E"/>
    <w:rsid w:val="00BC6010"/>
    <w:rsid w:val="00BC68B0"/>
    <w:rsid w:val="00BC7AC8"/>
    <w:rsid w:val="00BD01F0"/>
    <w:rsid w:val="00BD1A98"/>
    <w:rsid w:val="00BD1ECB"/>
    <w:rsid w:val="00BD1F0A"/>
    <w:rsid w:val="00BD2083"/>
    <w:rsid w:val="00BD25C5"/>
    <w:rsid w:val="00BD2ADC"/>
    <w:rsid w:val="00BD2BC8"/>
    <w:rsid w:val="00BD425E"/>
    <w:rsid w:val="00BD45FD"/>
    <w:rsid w:val="00BD469E"/>
    <w:rsid w:val="00BD48B6"/>
    <w:rsid w:val="00BD4B40"/>
    <w:rsid w:val="00BD5090"/>
    <w:rsid w:val="00BD54E5"/>
    <w:rsid w:val="00BD5605"/>
    <w:rsid w:val="00BD5765"/>
    <w:rsid w:val="00BD5E91"/>
    <w:rsid w:val="00BD73CE"/>
    <w:rsid w:val="00BE03F7"/>
    <w:rsid w:val="00BE08B7"/>
    <w:rsid w:val="00BE0DC8"/>
    <w:rsid w:val="00BE15DA"/>
    <w:rsid w:val="00BE1A00"/>
    <w:rsid w:val="00BE1D9A"/>
    <w:rsid w:val="00BE25AD"/>
    <w:rsid w:val="00BE2AE0"/>
    <w:rsid w:val="00BE2ED3"/>
    <w:rsid w:val="00BE2FBE"/>
    <w:rsid w:val="00BE3047"/>
    <w:rsid w:val="00BE30C8"/>
    <w:rsid w:val="00BE35E0"/>
    <w:rsid w:val="00BE3856"/>
    <w:rsid w:val="00BE38F2"/>
    <w:rsid w:val="00BE4681"/>
    <w:rsid w:val="00BE4974"/>
    <w:rsid w:val="00BE4993"/>
    <w:rsid w:val="00BE5B63"/>
    <w:rsid w:val="00BE67BD"/>
    <w:rsid w:val="00BE6ED8"/>
    <w:rsid w:val="00BF08C8"/>
    <w:rsid w:val="00BF0DA3"/>
    <w:rsid w:val="00BF1F2F"/>
    <w:rsid w:val="00BF21C7"/>
    <w:rsid w:val="00BF2AE0"/>
    <w:rsid w:val="00BF2CC4"/>
    <w:rsid w:val="00BF2DB2"/>
    <w:rsid w:val="00BF312C"/>
    <w:rsid w:val="00BF3582"/>
    <w:rsid w:val="00BF3998"/>
    <w:rsid w:val="00BF4F19"/>
    <w:rsid w:val="00BF50E3"/>
    <w:rsid w:val="00BF648B"/>
    <w:rsid w:val="00BF6D6A"/>
    <w:rsid w:val="00BF7610"/>
    <w:rsid w:val="00BF761D"/>
    <w:rsid w:val="00BF7ADE"/>
    <w:rsid w:val="00C00235"/>
    <w:rsid w:val="00C002B9"/>
    <w:rsid w:val="00C00733"/>
    <w:rsid w:val="00C00E6A"/>
    <w:rsid w:val="00C0144B"/>
    <w:rsid w:val="00C031F4"/>
    <w:rsid w:val="00C03799"/>
    <w:rsid w:val="00C03D96"/>
    <w:rsid w:val="00C03E4E"/>
    <w:rsid w:val="00C050FE"/>
    <w:rsid w:val="00C06338"/>
    <w:rsid w:val="00C067C6"/>
    <w:rsid w:val="00C071E8"/>
    <w:rsid w:val="00C10F97"/>
    <w:rsid w:val="00C11C8D"/>
    <w:rsid w:val="00C1211C"/>
    <w:rsid w:val="00C13B70"/>
    <w:rsid w:val="00C13B71"/>
    <w:rsid w:val="00C14026"/>
    <w:rsid w:val="00C148FC"/>
    <w:rsid w:val="00C149B6"/>
    <w:rsid w:val="00C15745"/>
    <w:rsid w:val="00C15ECC"/>
    <w:rsid w:val="00C16C06"/>
    <w:rsid w:val="00C17F58"/>
    <w:rsid w:val="00C20062"/>
    <w:rsid w:val="00C20143"/>
    <w:rsid w:val="00C2087B"/>
    <w:rsid w:val="00C20B20"/>
    <w:rsid w:val="00C20FE8"/>
    <w:rsid w:val="00C21663"/>
    <w:rsid w:val="00C21A4C"/>
    <w:rsid w:val="00C22344"/>
    <w:rsid w:val="00C224D5"/>
    <w:rsid w:val="00C22821"/>
    <w:rsid w:val="00C23112"/>
    <w:rsid w:val="00C23724"/>
    <w:rsid w:val="00C25B7F"/>
    <w:rsid w:val="00C25D11"/>
    <w:rsid w:val="00C2679F"/>
    <w:rsid w:val="00C31448"/>
    <w:rsid w:val="00C326B2"/>
    <w:rsid w:val="00C33423"/>
    <w:rsid w:val="00C341A8"/>
    <w:rsid w:val="00C34D6F"/>
    <w:rsid w:val="00C3580B"/>
    <w:rsid w:val="00C35D4E"/>
    <w:rsid w:val="00C3640F"/>
    <w:rsid w:val="00C36907"/>
    <w:rsid w:val="00C36B6A"/>
    <w:rsid w:val="00C37ECA"/>
    <w:rsid w:val="00C404F5"/>
    <w:rsid w:val="00C40CC8"/>
    <w:rsid w:val="00C412FF"/>
    <w:rsid w:val="00C41829"/>
    <w:rsid w:val="00C41BB4"/>
    <w:rsid w:val="00C4244A"/>
    <w:rsid w:val="00C43288"/>
    <w:rsid w:val="00C43F7F"/>
    <w:rsid w:val="00C4469E"/>
    <w:rsid w:val="00C44AE5"/>
    <w:rsid w:val="00C44D4A"/>
    <w:rsid w:val="00C45BC2"/>
    <w:rsid w:val="00C500CF"/>
    <w:rsid w:val="00C505DC"/>
    <w:rsid w:val="00C5127D"/>
    <w:rsid w:val="00C52527"/>
    <w:rsid w:val="00C53289"/>
    <w:rsid w:val="00C534D1"/>
    <w:rsid w:val="00C538D8"/>
    <w:rsid w:val="00C53FBF"/>
    <w:rsid w:val="00C54C9F"/>
    <w:rsid w:val="00C554DD"/>
    <w:rsid w:val="00C56195"/>
    <w:rsid w:val="00C56BF0"/>
    <w:rsid w:val="00C60CFB"/>
    <w:rsid w:val="00C60E7A"/>
    <w:rsid w:val="00C6169B"/>
    <w:rsid w:val="00C6175E"/>
    <w:rsid w:val="00C61AE0"/>
    <w:rsid w:val="00C61E33"/>
    <w:rsid w:val="00C62437"/>
    <w:rsid w:val="00C626D4"/>
    <w:rsid w:val="00C627D6"/>
    <w:rsid w:val="00C62A56"/>
    <w:rsid w:val="00C64418"/>
    <w:rsid w:val="00C64862"/>
    <w:rsid w:val="00C663A1"/>
    <w:rsid w:val="00C66601"/>
    <w:rsid w:val="00C666A3"/>
    <w:rsid w:val="00C6672B"/>
    <w:rsid w:val="00C66E91"/>
    <w:rsid w:val="00C67D8D"/>
    <w:rsid w:val="00C67DB5"/>
    <w:rsid w:val="00C70AB3"/>
    <w:rsid w:val="00C70DBE"/>
    <w:rsid w:val="00C70DE2"/>
    <w:rsid w:val="00C7148D"/>
    <w:rsid w:val="00C72520"/>
    <w:rsid w:val="00C72530"/>
    <w:rsid w:val="00C72653"/>
    <w:rsid w:val="00C72EF1"/>
    <w:rsid w:val="00C73A05"/>
    <w:rsid w:val="00C74326"/>
    <w:rsid w:val="00C747DE"/>
    <w:rsid w:val="00C74D81"/>
    <w:rsid w:val="00C75168"/>
    <w:rsid w:val="00C75CEE"/>
    <w:rsid w:val="00C76887"/>
    <w:rsid w:val="00C77140"/>
    <w:rsid w:val="00C77247"/>
    <w:rsid w:val="00C77AF4"/>
    <w:rsid w:val="00C800ED"/>
    <w:rsid w:val="00C8041E"/>
    <w:rsid w:val="00C8255D"/>
    <w:rsid w:val="00C83A3A"/>
    <w:rsid w:val="00C84168"/>
    <w:rsid w:val="00C8450D"/>
    <w:rsid w:val="00C85E6D"/>
    <w:rsid w:val="00C862F8"/>
    <w:rsid w:val="00C86BEF"/>
    <w:rsid w:val="00C86F18"/>
    <w:rsid w:val="00C8741D"/>
    <w:rsid w:val="00C8797D"/>
    <w:rsid w:val="00C901F9"/>
    <w:rsid w:val="00C904D1"/>
    <w:rsid w:val="00C90B75"/>
    <w:rsid w:val="00C910FD"/>
    <w:rsid w:val="00C91405"/>
    <w:rsid w:val="00C92F07"/>
    <w:rsid w:val="00C92F11"/>
    <w:rsid w:val="00C93384"/>
    <w:rsid w:val="00C93A57"/>
    <w:rsid w:val="00C93C74"/>
    <w:rsid w:val="00C941FC"/>
    <w:rsid w:val="00C94D79"/>
    <w:rsid w:val="00C95E7E"/>
    <w:rsid w:val="00C960B1"/>
    <w:rsid w:val="00C96151"/>
    <w:rsid w:val="00C9739B"/>
    <w:rsid w:val="00C97935"/>
    <w:rsid w:val="00C97F1D"/>
    <w:rsid w:val="00CA0027"/>
    <w:rsid w:val="00CA04A9"/>
    <w:rsid w:val="00CA21BA"/>
    <w:rsid w:val="00CA2494"/>
    <w:rsid w:val="00CA2B04"/>
    <w:rsid w:val="00CA30CB"/>
    <w:rsid w:val="00CA31B7"/>
    <w:rsid w:val="00CA3A2B"/>
    <w:rsid w:val="00CA3ACB"/>
    <w:rsid w:val="00CA3D0B"/>
    <w:rsid w:val="00CA3D32"/>
    <w:rsid w:val="00CA3EF0"/>
    <w:rsid w:val="00CA4169"/>
    <w:rsid w:val="00CA66D6"/>
    <w:rsid w:val="00CA74CA"/>
    <w:rsid w:val="00CA7627"/>
    <w:rsid w:val="00CA7A93"/>
    <w:rsid w:val="00CB0713"/>
    <w:rsid w:val="00CB1BC9"/>
    <w:rsid w:val="00CB26F8"/>
    <w:rsid w:val="00CB3F34"/>
    <w:rsid w:val="00CB44E4"/>
    <w:rsid w:val="00CB64C1"/>
    <w:rsid w:val="00CB68A2"/>
    <w:rsid w:val="00CB6960"/>
    <w:rsid w:val="00CB69E3"/>
    <w:rsid w:val="00CB73D0"/>
    <w:rsid w:val="00CB76D8"/>
    <w:rsid w:val="00CB7EB0"/>
    <w:rsid w:val="00CC041F"/>
    <w:rsid w:val="00CC101A"/>
    <w:rsid w:val="00CC22F8"/>
    <w:rsid w:val="00CC2372"/>
    <w:rsid w:val="00CC2F1C"/>
    <w:rsid w:val="00CC3041"/>
    <w:rsid w:val="00CC326E"/>
    <w:rsid w:val="00CC4216"/>
    <w:rsid w:val="00CC4386"/>
    <w:rsid w:val="00CC514F"/>
    <w:rsid w:val="00CC5691"/>
    <w:rsid w:val="00CC671B"/>
    <w:rsid w:val="00CC7261"/>
    <w:rsid w:val="00CC7294"/>
    <w:rsid w:val="00CC7710"/>
    <w:rsid w:val="00CD05AE"/>
    <w:rsid w:val="00CD08B5"/>
    <w:rsid w:val="00CD1256"/>
    <w:rsid w:val="00CD18AF"/>
    <w:rsid w:val="00CD1DAC"/>
    <w:rsid w:val="00CD2512"/>
    <w:rsid w:val="00CD2833"/>
    <w:rsid w:val="00CD28EE"/>
    <w:rsid w:val="00CD33EF"/>
    <w:rsid w:val="00CD3599"/>
    <w:rsid w:val="00CD3F29"/>
    <w:rsid w:val="00CD3F94"/>
    <w:rsid w:val="00CD5109"/>
    <w:rsid w:val="00CD5D43"/>
    <w:rsid w:val="00CD61A4"/>
    <w:rsid w:val="00CD6654"/>
    <w:rsid w:val="00CD7546"/>
    <w:rsid w:val="00CD7F36"/>
    <w:rsid w:val="00CE0131"/>
    <w:rsid w:val="00CE0252"/>
    <w:rsid w:val="00CE1C35"/>
    <w:rsid w:val="00CE2AAD"/>
    <w:rsid w:val="00CE30B2"/>
    <w:rsid w:val="00CE4C1E"/>
    <w:rsid w:val="00CE5C61"/>
    <w:rsid w:val="00CE5CE4"/>
    <w:rsid w:val="00CE64B5"/>
    <w:rsid w:val="00CE6530"/>
    <w:rsid w:val="00CE6927"/>
    <w:rsid w:val="00CE71DC"/>
    <w:rsid w:val="00CE75AE"/>
    <w:rsid w:val="00CE7629"/>
    <w:rsid w:val="00CE78CC"/>
    <w:rsid w:val="00CE7D26"/>
    <w:rsid w:val="00CF07D7"/>
    <w:rsid w:val="00CF175E"/>
    <w:rsid w:val="00CF1B44"/>
    <w:rsid w:val="00CF1EBE"/>
    <w:rsid w:val="00CF21F8"/>
    <w:rsid w:val="00CF23B5"/>
    <w:rsid w:val="00CF2BCB"/>
    <w:rsid w:val="00CF2F0C"/>
    <w:rsid w:val="00CF3036"/>
    <w:rsid w:val="00CF3D21"/>
    <w:rsid w:val="00CF42E2"/>
    <w:rsid w:val="00CF4932"/>
    <w:rsid w:val="00CF4A3F"/>
    <w:rsid w:val="00CF4D53"/>
    <w:rsid w:val="00CF5968"/>
    <w:rsid w:val="00CF59DA"/>
    <w:rsid w:val="00CF5C61"/>
    <w:rsid w:val="00CF6956"/>
    <w:rsid w:val="00CF6C4D"/>
    <w:rsid w:val="00CF6C9B"/>
    <w:rsid w:val="00CF76AF"/>
    <w:rsid w:val="00CF7FC9"/>
    <w:rsid w:val="00D000A8"/>
    <w:rsid w:val="00D00407"/>
    <w:rsid w:val="00D008E2"/>
    <w:rsid w:val="00D01F64"/>
    <w:rsid w:val="00D02318"/>
    <w:rsid w:val="00D034BA"/>
    <w:rsid w:val="00D0357D"/>
    <w:rsid w:val="00D0475C"/>
    <w:rsid w:val="00D04778"/>
    <w:rsid w:val="00D048BD"/>
    <w:rsid w:val="00D05088"/>
    <w:rsid w:val="00D0532D"/>
    <w:rsid w:val="00D058A2"/>
    <w:rsid w:val="00D058E0"/>
    <w:rsid w:val="00D05D8A"/>
    <w:rsid w:val="00D06633"/>
    <w:rsid w:val="00D06B73"/>
    <w:rsid w:val="00D1034B"/>
    <w:rsid w:val="00D10E9D"/>
    <w:rsid w:val="00D12443"/>
    <w:rsid w:val="00D1297E"/>
    <w:rsid w:val="00D12FBD"/>
    <w:rsid w:val="00D13754"/>
    <w:rsid w:val="00D14DC4"/>
    <w:rsid w:val="00D14E1D"/>
    <w:rsid w:val="00D1522C"/>
    <w:rsid w:val="00D1598F"/>
    <w:rsid w:val="00D16419"/>
    <w:rsid w:val="00D16660"/>
    <w:rsid w:val="00D16761"/>
    <w:rsid w:val="00D17465"/>
    <w:rsid w:val="00D1788D"/>
    <w:rsid w:val="00D20083"/>
    <w:rsid w:val="00D21097"/>
    <w:rsid w:val="00D21498"/>
    <w:rsid w:val="00D21B3A"/>
    <w:rsid w:val="00D21E69"/>
    <w:rsid w:val="00D23254"/>
    <w:rsid w:val="00D23B21"/>
    <w:rsid w:val="00D23CA6"/>
    <w:rsid w:val="00D24749"/>
    <w:rsid w:val="00D24F86"/>
    <w:rsid w:val="00D2530C"/>
    <w:rsid w:val="00D25679"/>
    <w:rsid w:val="00D2600C"/>
    <w:rsid w:val="00D261A5"/>
    <w:rsid w:val="00D26273"/>
    <w:rsid w:val="00D26FF5"/>
    <w:rsid w:val="00D27D5F"/>
    <w:rsid w:val="00D30134"/>
    <w:rsid w:val="00D303E2"/>
    <w:rsid w:val="00D30491"/>
    <w:rsid w:val="00D310A7"/>
    <w:rsid w:val="00D31101"/>
    <w:rsid w:val="00D31CED"/>
    <w:rsid w:val="00D32813"/>
    <w:rsid w:val="00D33582"/>
    <w:rsid w:val="00D335B0"/>
    <w:rsid w:val="00D3411A"/>
    <w:rsid w:val="00D35365"/>
    <w:rsid w:val="00D35E99"/>
    <w:rsid w:val="00D361F7"/>
    <w:rsid w:val="00D36A0E"/>
    <w:rsid w:val="00D4078C"/>
    <w:rsid w:val="00D41AEE"/>
    <w:rsid w:val="00D41BF6"/>
    <w:rsid w:val="00D424F6"/>
    <w:rsid w:val="00D42842"/>
    <w:rsid w:val="00D4299E"/>
    <w:rsid w:val="00D43352"/>
    <w:rsid w:val="00D4399B"/>
    <w:rsid w:val="00D43C82"/>
    <w:rsid w:val="00D43F3A"/>
    <w:rsid w:val="00D44B1C"/>
    <w:rsid w:val="00D45583"/>
    <w:rsid w:val="00D45EAE"/>
    <w:rsid w:val="00D46B99"/>
    <w:rsid w:val="00D46BF5"/>
    <w:rsid w:val="00D46D7C"/>
    <w:rsid w:val="00D46FF3"/>
    <w:rsid w:val="00D47B54"/>
    <w:rsid w:val="00D47E69"/>
    <w:rsid w:val="00D5257B"/>
    <w:rsid w:val="00D52A8C"/>
    <w:rsid w:val="00D53C4D"/>
    <w:rsid w:val="00D5450C"/>
    <w:rsid w:val="00D55BAB"/>
    <w:rsid w:val="00D55C24"/>
    <w:rsid w:val="00D55C8E"/>
    <w:rsid w:val="00D567FD"/>
    <w:rsid w:val="00D5684A"/>
    <w:rsid w:val="00D56B36"/>
    <w:rsid w:val="00D56EEF"/>
    <w:rsid w:val="00D57565"/>
    <w:rsid w:val="00D600DE"/>
    <w:rsid w:val="00D60268"/>
    <w:rsid w:val="00D60338"/>
    <w:rsid w:val="00D6042B"/>
    <w:rsid w:val="00D60D9C"/>
    <w:rsid w:val="00D620BF"/>
    <w:rsid w:val="00D62BFE"/>
    <w:rsid w:val="00D62D1E"/>
    <w:rsid w:val="00D634DF"/>
    <w:rsid w:val="00D638FC"/>
    <w:rsid w:val="00D64964"/>
    <w:rsid w:val="00D64FD5"/>
    <w:rsid w:val="00D659B3"/>
    <w:rsid w:val="00D65FFF"/>
    <w:rsid w:val="00D66B80"/>
    <w:rsid w:val="00D66C07"/>
    <w:rsid w:val="00D66CC0"/>
    <w:rsid w:val="00D66E9F"/>
    <w:rsid w:val="00D671F9"/>
    <w:rsid w:val="00D67B6E"/>
    <w:rsid w:val="00D702DE"/>
    <w:rsid w:val="00D7164F"/>
    <w:rsid w:val="00D72A04"/>
    <w:rsid w:val="00D72B1D"/>
    <w:rsid w:val="00D72B3D"/>
    <w:rsid w:val="00D73A44"/>
    <w:rsid w:val="00D753B4"/>
    <w:rsid w:val="00D756BA"/>
    <w:rsid w:val="00D763BD"/>
    <w:rsid w:val="00D76A3C"/>
    <w:rsid w:val="00D77C12"/>
    <w:rsid w:val="00D77C31"/>
    <w:rsid w:val="00D77CAA"/>
    <w:rsid w:val="00D80821"/>
    <w:rsid w:val="00D8091D"/>
    <w:rsid w:val="00D80DCC"/>
    <w:rsid w:val="00D81243"/>
    <w:rsid w:val="00D81959"/>
    <w:rsid w:val="00D82E79"/>
    <w:rsid w:val="00D8354F"/>
    <w:rsid w:val="00D83AB0"/>
    <w:rsid w:val="00D83DF7"/>
    <w:rsid w:val="00D83EB1"/>
    <w:rsid w:val="00D84CBE"/>
    <w:rsid w:val="00D852B9"/>
    <w:rsid w:val="00D86321"/>
    <w:rsid w:val="00D874CA"/>
    <w:rsid w:val="00D87687"/>
    <w:rsid w:val="00D90089"/>
    <w:rsid w:val="00D90B2A"/>
    <w:rsid w:val="00D91C88"/>
    <w:rsid w:val="00D92E15"/>
    <w:rsid w:val="00D92FA4"/>
    <w:rsid w:val="00D93B5A"/>
    <w:rsid w:val="00D941D1"/>
    <w:rsid w:val="00D95C51"/>
    <w:rsid w:val="00D96348"/>
    <w:rsid w:val="00D96728"/>
    <w:rsid w:val="00DA02AF"/>
    <w:rsid w:val="00DA132D"/>
    <w:rsid w:val="00DA24FB"/>
    <w:rsid w:val="00DA2F07"/>
    <w:rsid w:val="00DA32CB"/>
    <w:rsid w:val="00DA3697"/>
    <w:rsid w:val="00DA3BF0"/>
    <w:rsid w:val="00DA708B"/>
    <w:rsid w:val="00DA794D"/>
    <w:rsid w:val="00DB00F4"/>
    <w:rsid w:val="00DB0C40"/>
    <w:rsid w:val="00DB0F3A"/>
    <w:rsid w:val="00DB2D55"/>
    <w:rsid w:val="00DB3E57"/>
    <w:rsid w:val="00DB3E94"/>
    <w:rsid w:val="00DB52D2"/>
    <w:rsid w:val="00DB6888"/>
    <w:rsid w:val="00DB744F"/>
    <w:rsid w:val="00DB7C02"/>
    <w:rsid w:val="00DB7EE9"/>
    <w:rsid w:val="00DC033F"/>
    <w:rsid w:val="00DC0D81"/>
    <w:rsid w:val="00DC0F87"/>
    <w:rsid w:val="00DC10C9"/>
    <w:rsid w:val="00DC14AD"/>
    <w:rsid w:val="00DC16DD"/>
    <w:rsid w:val="00DC1B73"/>
    <w:rsid w:val="00DC1D5C"/>
    <w:rsid w:val="00DC26DE"/>
    <w:rsid w:val="00DC2E7D"/>
    <w:rsid w:val="00DC3C6B"/>
    <w:rsid w:val="00DC3CC7"/>
    <w:rsid w:val="00DC3E19"/>
    <w:rsid w:val="00DC4337"/>
    <w:rsid w:val="00DC4F87"/>
    <w:rsid w:val="00DC52BD"/>
    <w:rsid w:val="00DC536E"/>
    <w:rsid w:val="00DC5E83"/>
    <w:rsid w:val="00DC6DB0"/>
    <w:rsid w:val="00DC736B"/>
    <w:rsid w:val="00DC7CF3"/>
    <w:rsid w:val="00DC7E56"/>
    <w:rsid w:val="00DD0802"/>
    <w:rsid w:val="00DD08E7"/>
    <w:rsid w:val="00DD1E74"/>
    <w:rsid w:val="00DD1F03"/>
    <w:rsid w:val="00DD1F5B"/>
    <w:rsid w:val="00DD29B7"/>
    <w:rsid w:val="00DD30A6"/>
    <w:rsid w:val="00DD325B"/>
    <w:rsid w:val="00DD32B0"/>
    <w:rsid w:val="00DD3AA1"/>
    <w:rsid w:val="00DD3D20"/>
    <w:rsid w:val="00DD4385"/>
    <w:rsid w:val="00DD472E"/>
    <w:rsid w:val="00DD595A"/>
    <w:rsid w:val="00DD5CF8"/>
    <w:rsid w:val="00DD5E4C"/>
    <w:rsid w:val="00DD6A54"/>
    <w:rsid w:val="00DD72B2"/>
    <w:rsid w:val="00DE2263"/>
    <w:rsid w:val="00DE2B3D"/>
    <w:rsid w:val="00DE3467"/>
    <w:rsid w:val="00DE3859"/>
    <w:rsid w:val="00DE42D0"/>
    <w:rsid w:val="00DE49D3"/>
    <w:rsid w:val="00DE6594"/>
    <w:rsid w:val="00DE6E3D"/>
    <w:rsid w:val="00DE705B"/>
    <w:rsid w:val="00DE71EE"/>
    <w:rsid w:val="00DE73B5"/>
    <w:rsid w:val="00DE749B"/>
    <w:rsid w:val="00DE7AB4"/>
    <w:rsid w:val="00DE7D54"/>
    <w:rsid w:val="00DF0C27"/>
    <w:rsid w:val="00DF0FE1"/>
    <w:rsid w:val="00DF15E6"/>
    <w:rsid w:val="00DF178F"/>
    <w:rsid w:val="00DF23E8"/>
    <w:rsid w:val="00DF27FC"/>
    <w:rsid w:val="00DF296C"/>
    <w:rsid w:val="00DF29A9"/>
    <w:rsid w:val="00DF3D46"/>
    <w:rsid w:val="00DF48AE"/>
    <w:rsid w:val="00DF496A"/>
    <w:rsid w:val="00DF4E86"/>
    <w:rsid w:val="00DF62F2"/>
    <w:rsid w:val="00DF79D3"/>
    <w:rsid w:val="00DF7CFA"/>
    <w:rsid w:val="00E0020E"/>
    <w:rsid w:val="00E00324"/>
    <w:rsid w:val="00E01FDA"/>
    <w:rsid w:val="00E0243D"/>
    <w:rsid w:val="00E02872"/>
    <w:rsid w:val="00E02C1B"/>
    <w:rsid w:val="00E03200"/>
    <w:rsid w:val="00E04570"/>
    <w:rsid w:val="00E05039"/>
    <w:rsid w:val="00E0514B"/>
    <w:rsid w:val="00E07A27"/>
    <w:rsid w:val="00E07B5B"/>
    <w:rsid w:val="00E10ECD"/>
    <w:rsid w:val="00E1210F"/>
    <w:rsid w:val="00E12804"/>
    <w:rsid w:val="00E12A3E"/>
    <w:rsid w:val="00E13028"/>
    <w:rsid w:val="00E130CA"/>
    <w:rsid w:val="00E1336F"/>
    <w:rsid w:val="00E1379E"/>
    <w:rsid w:val="00E14544"/>
    <w:rsid w:val="00E146B9"/>
    <w:rsid w:val="00E147C3"/>
    <w:rsid w:val="00E1549C"/>
    <w:rsid w:val="00E15ACE"/>
    <w:rsid w:val="00E17017"/>
    <w:rsid w:val="00E17A21"/>
    <w:rsid w:val="00E2024E"/>
    <w:rsid w:val="00E20B09"/>
    <w:rsid w:val="00E23606"/>
    <w:rsid w:val="00E238AA"/>
    <w:rsid w:val="00E23A3A"/>
    <w:rsid w:val="00E24334"/>
    <w:rsid w:val="00E25447"/>
    <w:rsid w:val="00E2579F"/>
    <w:rsid w:val="00E2580D"/>
    <w:rsid w:val="00E258F8"/>
    <w:rsid w:val="00E27474"/>
    <w:rsid w:val="00E27645"/>
    <w:rsid w:val="00E27A6C"/>
    <w:rsid w:val="00E300A0"/>
    <w:rsid w:val="00E30442"/>
    <w:rsid w:val="00E3045D"/>
    <w:rsid w:val="00E30A5D"/>
    <w:rsid w:val="00E30ABF"/>
    <w:rsid w:val="00E30D79"/>
    <w:rsid w:val="00E30DDB"/>
    <w:rsid w:val="00E3255D"/>
    <w:rsid w:val="00E32844"/>
    <w:rsid w:val="00E32E31"/>
    <w:rsid w:val="00E3348D"/>
    <w:rsid w:val="00E335B8"/>
    <w:rsid w:val="00E336F8"/>
    <w:rsid w:val="00E3390F"/>
    <w:rsid w:val="00E33C65"/>
    <w:rsid w:val="00E34B6A"/>
    <w:rsid w:val="00E34ED2"/>
    <w:rsid w:val="00E34FC9"/>
    <w:rsid w:val="00E35269"/>
    <w:rsid w:val="00E374BC"/>
    <w:rsid w:val="00E37C7E"/>
    <w:rsid w:val="00E4032B"/>
    <w:rsid w:val="00E40665"/>
    <w:rsid w:val="00E40B94"/>
    <w:rsid w:val="00E4246D"/>
    <w:rsid w:val="00E42DBB"/>
    <w:rsid w:val="00E433B9"/>
    <w:rsid w:val="00E43C29"/>
    <w:rsid w:val="00E444B4"/>
    <w:rsid w:val="00E459F3"/>
    <w:rsid w:val="00E4660D"/>
    <w:rsid w:val="00E46845"/>
    <w:rsid w:val="00E47317"/>
    <w:rsid w:val="00E5138A"/>
    <w:rsid w:val="00E51ECB"/>
    <w:rsid w:val="00E527A4"/>
    <w:rsid w:val="00E53F8A"/>
    <w:rsid w:val="00E54824"/>
    <w:rsid w:val="00E5561C"/>
    <w:rsid w:val="00E573B2"/>
    <w:rsid w:val="00E57500"/>
    <w:rsid w:val="00E60A31"/>
    <w:rsid w:val="00E61DC6"/>
    <w:rsid w:val="00E61F2E"/>
    <w:rsid w:val="00E62112"/>
    <w:rsid w:val="00E62A74"/>
    <w:rsid w:val="00E62AD0"/>
    <w:rsid w:val="00E62C66"/>
    <w:rsid w:val="00E65194"/>
    <w:rsid w:val="00E65B4D"/>
    <w:rsid w:val="00E661B5"/>
    <w:rsid w:val="00E66A13"/>
    <w:rsid w:val="00E66CB3"/>
    <w:rsid w:val="00E67049"/>
    <w:rsid w:val="00E6725A"/>
    <w:rsid w:val="00E6760B"/>
    <w:rsid w:val="00E67745"/>
    <w:rsid w:val="00E67D13"/>
    <w:rsid w:val="00E67EC8"/>
    <w:rsid w:val="00E70062"/>
    <w:rsid w:val="00E7054C"/>
    <w:rsid w:val="00E71779"/>
    <w:rsid w:val="00E71F2E"/>
    <w:rsid w:val="00E729F7"/>
    <w:rsid w:val="00E72B2A"/>
    <w:rsid w:val="00E7339E"/>
    <w:rsid w:val="00E73BB9"/>
    <w:rsid w:val="00E74337"/>
    <w:rsid w:val="00E74B0D"/>
    <w:rsid w:val="00E75D13"/>
    <w:rsid w:val="00E7700E"/>
    <w:rsid w:val="00E7718B"/>
    <w:rsid w:val="00E771E0"/>
    <w:rsid w:val="00E7741E"/>
    <w:rsid w:val="00E775AA"/>
    <w:rsid w:val="00E775B1"/>
    <w:rsid w:val="00E77967"/>
    <w:rsid w:val="00E77D23"/>
    <w:rsid w:val="00E80391"/>
    <w:rsid w:val="00E80911"/>
    <w:rsid w:val="00E8168B"/>
    <w:rsid w:val="00E83268"/>
    <w:rsid w:val="00E83279"/>
    <w:rsid w:val="00E83689"/>
    <w:rsid w:val="00E840E5"/>
    <w:rsid w:val="00E84BDC"/>
    <w:rsid w:val="00E86774"/>
    <w:rsid w:val="00E87236"/>
    <w:rsid w:val="00E874A0"/>
    <w:rsid w:val="00E8774E"/>
    <w:rsid w:val="00E909CE"/>
    <w:rsid w:val="00E9101E"/>
    <w:rsid w:val="00E910ED"/>
    <w:rsid w:val="00E91AC3"/>
    <w:rsid w:val="00E91D34"/>
    <w:rsid w:val="00E9214B"/>
    <w:rsid w:val="00E9281F"/>
    <w:rsid w:val="00E928BC"/>
    <w:rsid w:val="00E92B44"/>
    <w:rsid w:val="00E92DB5"/>
    <w:rsid w:val="00E932A3"/>
    <w:rsid w:val="00E9335E"/>
    <w:rsid w:val="00E9479D"/>
    <w:rsid w:val="00E951F3"/>
    <w:rsid w:val="00E954DA"/>
    <w:rsid w:val="00E96545"/>
    <w:rsid w:val="00E9714E"/>
    <w:rsid w:val="00E97594"/>
    <w:rsid w:val="00EA0759"/>
    <w:rsid w:val="00EA0CCD"/>
    <w:rsid w:val="00EA0E03"/>
    <w:rsid w:val="00EA153A"/>
    <w:rsid w:val="00EA3481"/>
    <w:rsid w:val="00EA36E5"/>
    <w:rsid w:val="00EA3866"/>
    <w:rsid w:val="00EA405E"/>
    <w:rsid w:val="00EA4224"/>
    <w:rsid w:val="00EA436D"/>
    <w:rsid w:val="00EA548D"/>
    <w:rsid w:val="00EA5DEA"/>
    <w:rsid w:val="00EA618E"/>
    <w:rsid w:val="00EA674D"/>
    <w:rsid w:val="00EA69B5"/>
    <w:rsid w:val="00EA7205"/>
    <w:rsid w:val="00EA7288"/>
    <w:rsid w:val="00EA74DF"/>
    <w:rsid w:val="00EA783A"/>
    <w:rsid w:val="00EA7AEA"/>
    <w:rsid w:val="00EB014C"/>
    <w:rsid w:val="00EB11E1"/>
    <w:rsid w:val="00EB11EA"/>
    <w:rsid w:val="00EB128F"/>
    <w:rsid w:val="00EB1717"/>
    <w:rsid w:val="00EB2395"/>
    <w:rsid w:val="00EB24EC"/>
    <w:rsid w:val="00EB302A"/>
    <w:rsid w:val="00EB3D1E"/>
    <w:rsid w:val="00EB42C6"/>
    <w:rsid w:val="00EB4664"/>
    <w:rsid w:val="00EB4C65"/>
    <w:rsid w:val="00EB5577"/>
    <w:rsid w:val="00EB78D1"/>
    <w:rsid w:val="00EB7AEF"/>
    <w:rsid w:val="00EB7BB3"/>
    <w:rsid w:val="00EC1251"/>
    <w:rsid w:val="00EC22E2"/>
    <w:rsid w:val="00EC2825"/>
    <w:rsid w:val="00EC2E3B"/>
    <w:rsid w:val="00EC3CAB"/>
    <w:rsid w:val="00EC5671"/>
    <w:rsid w:val="00EC61E8"/>
    <w:rsid w:val="00EC6694"/>
    <w:rsid w:val="00ED0286"/>
    <w:rsid w:val="00ED064F"/>
    <w:rsid w:val="00ED0D94"/>
    <w:rsid w:val="00ED100F"/>
    <w:rsid w:val="00ED1526"/>
    <w:rsid w:val="00ED1DE4"/>
    <w:rsid w:val="00ED1EE8"/>
    <w:rsid w:val="00ED1F63"/>
    <w:rsid w:val="00ED1FFF"/>
    <w:rsid w:val="00ED3360"/>
    <w:rsid w:val="00ED3372"/>
    <w:rsid w:val="00ED382D"/>
    <w:rsid w:val="00ED3972"/>
    <w:rsid w:val="00ED4077"/>
    <w:rsid w:val="00ED5212"/>
    <w:rsid w:val="00ED57FD"/>
    <w:rsid w:val="00ED5C38"/>
    <w:rsid w:val="00ED636B"/>
    <w:rsid w:val="00ED6FA8"/>
    <w:rsid w:val="00ED7DD5"/>
    <w:rsid w:val="00ED7E3D"/>
    <w:rsid w:val="00EE144E"/>
    <w:rsid w:val="00EE173F"/>
    <w:rsid w:val="00EE2D91"/>
    <w:rsid w:val="00EE37EB"/>
    <w:rsid w:val="00EE37F9"/>
    <w:rsid w:val="00EE404A"/>
    <w:rsid w:val="00EE47BD"/>
    <w:rsid w:val="00EE4A3A"/>
    <w:rsid w:val="00EE5252"/>
    <w:rsid w:val="00EE56F0"/>
    <w:rsid w:val="00EE5AA3"/>
    <w:rsid w:val="00EE63F8"/>
    <w:rsid w:val="00EE699E"/>
    <w:rsid w:val="00EE6B6E"/>
    <w:rsid w:val="00EE6D72"/>
    <w:rsid w:val="00EF179F"/>
    <w:rsid w:val="00EF1FA9"/>
    <w:rsid w:val="00EF27E0"/>
    <w:rsid w:val="00EF36C2"/>
    <w:rsid w:val="00EF4483"/>
    <w:rsid w:val="00EF45A8"/>
    <w:rsid w:val="00EF461E"/>
    <w:rsid w:val="00EF55E2"/>
    <w:rsid w:val="00EF6568"/>
    <w:rsid w:val="00EF6D47"/>
    <w:rsid w:val="00EF6D73"/>
    <w:rsid w:val="00EF6DC8"/>
    <w:rsid w:val="00EF7822"/>
    <w:rsid w:val="00EF7E5C"/>
    <w:rsid w:val="00EF7FEE"/>
    <w:rsid w:val="00F000C8"/>
    <w:rsid w:val="00F000DC"/>
    <w:rsid w:val="00F0051D"/>
    <w:rsid w:val="00F01199"/>
    <w:rsid w:val="00F02140"/>
    <w:rsid w:val="00F0261F"/>
    <w:rsid w:val="00F02791"/>
    <w:rsid w:val="00F03915"/>
    <w:rsid w:val="00F03A63"/>
    <w:rsid w:val="00F03A67"/>
    <w:rsid w:val="00F03AB3"/>
    <w:rsid w:val="00F03FA6"/>
    <w:rsid w:val="00F04CE6"/>
    <w:rsid w:val="00F04FFC"/>
    <w:rsid w:val="00F054FE"/>
    <w:rsid w:val="00F05C34"/>
    <w:rsid w:val="00F05FC2"/>
    <w:rsid w:val="00F067E5"/>
    <w:rsid w:val="00F06C4D"/>
    <w:rsid w:val="00F07CFA"/>
    <w:rsid w:val="00F10060"/>
    <w:rsid w:val="00F10D74"/>
    <w:rsid w:val="00F10FA3"/>
    <w:rsid w:val="00F1136C"/>
    <w:rsid w:val="00F11491"/>
    <w:rsid w:val="00F119E5"/>
    <w:rsid w:val="00F12181"/>
    <w:rsid w:val="00F123DB"/>
    <w:rsid w:val="00F124E5"/>
    <w:rsid w:val="00F13C52"/>
    <w:rsid w:val="00F1409E"/>
    <w:rsid w:val="00F14297"/>
    <w:rsid w:val="00F145B9"/>
    <w:rsid w:val="00F15C2F"/>
    <w:rsid w:val="00F15EF7"/>
    <w:rsid w:val="00F15FA2"/>
    <w:rsid w:val="00F175A0"/>
    <w:rsid w:val="00F20057"/>
    <w:rsid w:val="00F20FCC"/>
    <w:rsid w:val="00F21990"/>
    <w:rsid w:val="00F21A00"/>
    <w:rsid w:val="00F21A92"/>
    <w:rsid w:val="00F221F7"/>
    <w:rsid w:val="00F228B2"/>
    <w:rsid w:val="00F229F5"/>
    <w:rsid w:val="00F23539"/>
    <w:rsid w:val="00F235AB"/>
    <w:rsid w:val="00F23918"/>
    <w:rsid w:val="00F23A25"/>
    <w:rsid w:val="00F247DF"/>
    <w:rsid w:val="00F249DD"/>
    <w:rsid w:val="00F254B4"/>
    <w:rsid w:val="00F258C9"/>
    <w:rsid w:val="00F25C4F"/>
    <w:rsid w:val="00F267A4"/>
    <w:rsid w:val="00F27DB8"/>
    <w:rsid w:val="00F30580"/>
    <w:rsid w:val="00F318B9"/>
    <w:rsid w:val="00F32093"/>
    <w:rsid w:val="00F322FE"/>
    <w:rsid w:val="00F34D0D"/>
    <w:rsid w:val="00F35514"/>
    <w:rsid w:val="00F35FCC"/>
    <w:rsid w:val="00F36D88"/>
    <w:rsid w:val="00F37DF3"/>
    <w:rsid w:val="00F404F5"/>
    <w:rsid w:val="00F407DF"/>
    <w:rsid w:val="00F40836"/>
    <w:rsid w:val="00F40E1D"/>
    <w:rsid w:val="00F416F7"/>
    <w:rsid w:val="00F420D9"/>
    <w:rsid w:val="00F421F5"/>
    <w:rsid w:val="00F42AFD"/>
    <w:rsid w:val="00F42DCA"/>
    <w:rsid w:val="00F43819"/>
    <w:rsid w:val="00F43BD4"/>
    <w:rsid w:val="00F44C0F"/>
    <w:rsid w:val="00F46EF3"/>
    <w:rsid w:val="00F46F31"/>
    <w:rsid w:val="00F473B9"/>
    <w:rsid w:val="00F47B17"/>
    <w:rsid w:val="00F47CD6"/>
    <w:rsid w:val="00F50595"/>
    <w:rsid w:val="00F506AF"/>
    <w:rsid w:val="00F508DF"/>
    <w:rsid w:val="00F50F9F"/>
    <w:rsid w:val="00F5125B"/>
    <w:rsid w:val="00F51317"/>
    <w:rsid w:val="00F51B41"/>
    <w:rsid w:val="00F51CFD"/>
    <w:rsid w:val="00F52E8B"/>
    <w:rsid w:val="00F52F33"/>
    <w:rsid w:val="00F53CF9"/>
    <w:rsid w:val="00F54468"/>
    <w:rsid w:val="00F54891"/>
    <w:rsid w:val="00F55655"/>
    <w:rsid w:val="00F55CCE"/>
    <w:rsid w:val="00F55EB6"/>
    <w:rsid w:val="00F55FF8"/>
    <w:rsid w:val="00F56901"/>
    <w:rsid w:val="00F57B79"/>
    <w:rsid w:val="00F57CD9"/>
    <w:rsid w:val="00F60159"/>
    <w:rsid w:val="00F6017A"/>
    <w:rsid w:val="00F60B3D"/>
    <w:rsid w:val="00F621F6"/>
    <w:rsid w:val="00F622A5"/>
    <w:rsid w:val="00F6290B"/>
    <w:rsid w:val="00F63B5D"/>
    <w:rsid w:val="00F648CC"/>
    <w:rsid w:val="00F64C48"/>
    <w:rsid w:val="00F64D91"/>
    <w:rsid w:val="00F653D0"/>
    <w:rsid w:val="00F66172"/>
    <w:rsid w:val="00F662C4"/>
    <w:rsid w:val="00F66746"/>
    <w:rsid w:val="00F66D87"/>
    <w:rsid w:val="00F673D9"/>
    <w:rsid w:val="00F67509"/>
    <w:rsid w:val="00F7004B"/>
    <w:rsid w:val="00F701C0"/>
    <w:rsid w:val="00F70768"/>
    <w:rsid w:val="00F70E12"/>
    <w:rsid w:val="00F71438"/>
    <w:rsid w:val="00F714B4"/>
    <w:rsid w:val="00F71691"/>
    <w:rsid w:val="00F71EFF"/>
    <w:rsid w:val="00F724B2"/>
    <w:rsid w:val="00F72E6D"/>
    <w:rsid w:val="00F7514B"/>
    <w:rsid w:val="00F75C5B"/>
    <w:rsid w:val="00F76017"/>
    <w:rsid w:val="00F778E5"/>
    <w:rsid w:val="00F77F73"/>
    <w:rsid w:val="00F8183B"/>
    <w:rsid w:val="00F81AA0"/>
    <w:rsid w:val="00F81E49"/>
    <w:rsid w:val="00F81EBE"/>
    <w:rsid w:val="00F83AC8"/>
    <w:rsid w:val="00F83C71"/>
    <w:rsid w:val="00F8532B"/>
    <w:rsid w:val="00F8599C"/>
    <w:rsid w:val="00F85A70"/>
    <w:rsid w:val="00F85A74"/>
    <w:rsid w:val="00F8676D"/>
    <w:rsid w:val="00F86DB8"/>
    <w:rsid w:val="00F87215"/>
    <w:rsid w:val="00F8735C"/>
    <w:rsid w:val="00F91424"/>
    <w:rsid w:val="00F91FEE"/>
    <w:rsid w:val="00F946F6"/>
    <w:rsid w:val="00F94949"/>
    <w:rsid w:val="00F953D3"/>
    <w:rsid w:val="00F96017"/>
    <w:rsid w:val="00F97D47"/>
    <w:rsid w:val="00F97FB6"/>
    <w:rsid w:val="00FA0200"/>
    <w:rsid w:val="00FA065B"/>
    <w:rsid w:val="00FA0C59"/>
    <w:rsid w:val="00FA145D"/>
    <w:rsid w:val="00FA1992"/>
    <w:rsid w:val="00FA1D07"/>
    <w:rsid w:val="00FA1EA7"/>
    <w:rsid w:val="00FA2E27"/>
    <w:rsid w:val="00FA309D"/>
    <w:rsid w:val="00FA38A1"/>
    <w:rsid w:val="00FA4307"/>
    <w:rsid w:val="00FA52CC"/>
    <w:rsid w:val="00FA5366"/>
    <w:rsid w:val="00FA5882"/>
    <w:rsid w:val="00FA601E"/>
    <w:rsid w:val="00FA6327"/>
    <w:rsid w:val="00FA6407"/>
    <w:rsid w:val="00FA78FC"/>
    <w:rsid w:val="00FB05A3"/>
    <w:rsid w:val="00FB0E5A"/>
    <w:rsid w:val="00FB2552"/>
    <w:rsid w:val="00FB26E0"/>
    <w:rsid w:val="00FB37D8"/>
    <w:rsid w:val="00FB5392"/>
    <w:rsid w:val="00FB5B5E"/>
    <w:rsid w:val="00FB607D"/>
    <w:rsid w:val="00FB61BD"/>
    <w:rsid w:val="00FB7387"/>
    <w:rsid w:val="00FC0215"/>
    <w:rsid w:val="00FC1715"/>
    <w:rsid w:val="00FC1E81"/>
    <w:rsid w:val="00FC2BA4"/>
    <w:rsid w:val="00FC3456"/>
    <w:rsid w:val="00FC396E"/>
    <w:rsid w:val="00FC41ED"/>
    <w:rsid w:val="00FC4ED1"/>
    <w:rsid w:val="00FC5165"/>
    <w:rsid w:val="00FC6488"/>
    <w:rsid w:val="00FC7C65"/>
    <w:rsid w:val="00FD0480"/>
    <w:rsid w:val="00FD065E"/>
    <w:rsid w:val="00FD06D4"/>
    <w:rsid w:val="00FD1F62"/>
    <w:rsid w:val="00FD25C3"/>
    <w:rsid w:val="00FD2C52"/>
    <w:rsid w:val="00FD30CC"/>
    <w:rsid w:val="00FD327F"/>
    <w:rsid w:val="00FD3C65"/>
    <w:rsid w:val="00FD439D"/>
    <w:rsid w:val="00FD4B78"/>
    <w:rsid w:val="00FD52A3"/>
    <w:rsid w:val="00FD55F5"/>
    <w:rsid w:val="00FD5A07"/>
    <w:rsid w:val="00FD5EAF"/>
    <w:rsid w:val="00FD60A0"/>
    <w:rsid w:val="00FD63A4"/>
    <w:rsid w:val="00FD671F"/>
    <w:rsid w:val="00FD6D1F"/>
    <w:rsid w:val="00FD7024"/>
    <w:rsid w:val="00FD72C1"/>
    <w:rsid w:val="00FD732F"/>
    <w:rsid w:val="00FD7A1C"/>
    <w:rsid w:val="00FE04CA"/>
    <w:rsid w:val="00FE081B"/>
    <w:rsid w:val="00FE0C6C"/>
    <w:rsid w:val="00FE1222"/>
    <w:rsid w:val="00FE1438"/>
    <w:rsid w:val="00FE1AE9"/>
    <w:rsid w:val="00FE1ED7"/>
    <w:rsid w:val="00FE31A9"/>
    <w:rsid w:val="00FE391A"/>
    <w:rsid w:val="00FE3BAA"/>
    <w:rsid w:val="00FE4190"/>
    <w:rsid w:val="00FE5898"/>
    <w:rsid w:val="00FE6045"/>
    <w:rsid w:val="00FF000E"/>
    <w:rsid w:val="00FF1266"/>
    <w:rsid w:val="00FF1303"/>
    <w:rsid w:val="00FF190C"/>
    <w:rsid w:val="00FF1D2D"/>
    <w:rsid w:val="00FF1E7E"/>
    <w:rsid w:val="00FF1FEC"/>
    <w:rsid w:val="00FF2155"/>
    <w:rsid w:val="00FF2C9A"/>
    <w:rsid w:val="00FF3A7F"/>
    <w:rsid w:val="00FF405E"/>
    <w:rsid w:val="00FF42EC"/>
    <w:rsid w:val="00FF5E33"/>
    <w:rsid w:val="00FF6AA1"/>
    <w:rsid w:val="00FF6D25"/>
    <w:rsid w:val="00FF780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32AB8"/>
  <w15:docId w15:val="{270437DC-D752-4D5F-A6D0-5492834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0D1F"/>
    <w:pPr>
      <w:widowControl/>
    </w:pPr>
    <w:rPr>
      <w:rFonts w:ascii="Times New Roman" w:hAnsi="Times New Roman" w:cs="Times New Roman"/>
      <w:sz w:val="24"/>
      <w:szCs w:val="24"/>
      <w:lang w:val="nl-NL" w:eastAsia="nl-NL"/>
    </w:rPr>
  </w:style>
  <w:style w:type="paragraph" w:styleId="Titre1">
    <w:name w:val="heading 1"/>
    <w:basedOn w:val="Normal"/>
    <w:uiPriority w:val="1"/>
    <w:qFormat/>
    <w:pPr>
      <w:widowControl w:val="0"/>
      <w:spacing w:before="38" w:line="480" w:lineRule="auto"/>
      <w:ind w:left="105"/>
      <w:outlineLvl w:val="0"/>
    </w:pPr>
    <w:rPr>
      <w:rFonts w:eastAsia="Times New Roman" w:cstheme="minorBidi"/>
      <w:b/>
      <w:bCs/>
      <w:sz w:val="34"/>
      <w:szCs w:val="34"/>
      <w:lang w:val="en-US" w:eastAsia="en-US"/>
    </w:rPr>
  </w:style>
  <w:style w:type="paragraph" w:styleId="Titre2">
    <w:name w:val="heading 2"/>
    <w:basedOn w:val="Normal"/>
    <w:uiPriority w:val="1"/>
    <w:qFormat/>
    <w:rsid w:val="00304020"/>
    <w:pPr>
      <w:widowControl w:val="0"/>
      <w:spacing w:line="480" w:lineRule="auto"/>
      <w:ind w:right="50"/>
      <w:outlineLvl w:val="1"/>
    </w:pPr>
    <w:rPr>
      <w:b/>
      <w:bCs/>
      <w:lang w:val="en-US"/>
    </w:rPr>
  </w:style>
  <w:style w:type="paragraph" w:styleId="Titre3">
    <w:name w:val="heading 3"/>
    <w:basedOn w:val="Normal"/>
    <w:uiPriority w:val="1"/>
    <w:qFormat/>
    <w:pPr>
      <w:widowControl w:val="0"/>
      <w:spacing w:before="68" w:line="480" w:lineRule="auto"/>
      <w:ind w:left="1504"/>
      <w:outlineLvl w:val="2"/>
    </w:pPr>
    <w:rPr>
      <w:rFonts w:ascii="Arial" w:eastAsia="Arial" w:hAnsi="Arial" w:cstheme="minorBidi"/>
      <w:b/>
      <w:bCs/>
      <w:lang w:val="en-US" w:eastAsia="en-US"/>
    </w:rPr>
  </w:style>
  <w:style w:type="paragraph" w:styleId="Titre4">
    <w:name w:val="heading 4"/>
    <w:basedOn w:val="Normal"/>
    <w:next w:val="Normal"/>
    <w:link w:val="Titre4Car"/>
    <w:uiPriority w:val="9"/>
    <w:semiHidden/>
    <w:unhideWhenUsed/>
    <w:qFormat/>
    <w:rsid w:val="00923F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sid w:val="002910D3"/>
    <w:pPr>
      <w:widowControl w:val="0"/>
      <w:spacing w:before="54" w:line="251" w:lineRule="auto"/>
      <w:ind w:right="50"/>
    </w:pPr>
    <w:rPr>
      <w:rFonts w:asciiTheme="minorHAnsi" w:eastAsia="Times New Roman" w:hAnsiTheme="minorHAnsi" w:cstheme="minorBidi"/>
      <w:spacing w:val="-18"/>
      <w:w w:val="105"/>
      <w:lang w:val="en-US" w:eastAsia="en-US"/>
    </w:rPr>
  </w:style>
  <w:style w:type="paragraph" w:styleId="Paragraphedeliste">
    <w:name w:val="List Paragraph"/>
    <w:basedOn w:val="Normal"/>
    <w:uiPriority w:val="34"/>
    <w:qFormat/>
    <w:pPr>
      <w:widowControl w:val="0"/>
      <w:spacing w:line="480" w:lineRule="auto"/>
    </w:pPr>
    <w:rPr>
      <w:rFonts w:asciiTheme="minorHAnsi" w:hAnsiTheme="minorHAnsi" w:cstheme="minorBidi"/>
      <w:sz w:val="22"/>
      <w:szCs w:val="22"/>
      <w:lang w:val="en-US" w:eastAsia="en-US"/>
    </w:rPr>
  </w:style>
  <w:style w:type="paragraph" w:customStyle="1" w:styleId="TableParagraph">
    <w:name w:val="Table Paragraph"/>
    <w:basedOn w:val="Normal"/>
    <w:uiPriority w:val="1"/>
    <w:qFormat/>
    <w:pPr>
      <w:widowControl w:val="0"/>
      <w:spacing w:line="480" w:lineRule="auto"/>
    </w:pPr>
    <w:rPr>
      <w:rFonts w:asciiTheme="minorHAnsi" w:hAnsiTheme="minorHAnsi" w:cstheme="minorBidi"/>
      <w:sz w:val="22"/>
      <w:szCs w:val="22"/>
      <w:lang w:val="en-US" w:eastAsia="en-US"/>
    </w:rPr>
  </w:style>
  <w:style w:type="paragraph" w:styleId="Sansinterligne">
    <w:name w:val="No Spacing"/>
    <w:uiPriority w:val="1"/>
    <w:qFormat/>
    <w:rsid w:val="00BE15DA"/>
    <w:rPr>
      <w:w w:val="110"/>
    </w:rPr>
  </w:style>
  <w:style w:type="character" w:styleId="Marquedecommentaire">
    <w:name w:val="annotation reference"/>
    <w:basedOn w:val="Policepardfaut"/>
    <w:uiPriority w:val="99"/>
    <w:semiHidden/>
    <w:unhideWhenUsed/>
    <w:rsid w:val="005879E8"/>
    <w:rPr>
      <w:sz w:val="16"/>
      <w:szCs w:val="16"/>
    </w:rPr>
  </w:style>
  <w:style w:type="paragraph" w:styleId="Commentaire">
    <w:name w:val="annotation text"/>
    <w:basedOn w:val="Normal"/>
    <w:link w:val="CommentaireCar"/>
    <w:uiPriority w:val="99"/>
    <w:unhideWhenUsed/>
    <w:rsid w:val="005879E8"/>
    <w:pPr>
      <w:widowControl w:val="0"/>
    </w:pPr>
    <w:rPr>
      <w:rFonts w:asciiTheme="minorHAnsi" w:hAnsiTheme="minorHAnsi" w:cstheme="minorBidi"/>
      <w:sz w:val="20"/>
      <w:szCs w:val="20"/>
      <w:lang w:val="en-US" w:eastAsia="en-US"/>
    </w:rPr>
  </w:style>
  <w:style w:type="character" w:customStyle="1" w:styleId="CommentaireCar">
    <w:name w:val="Commentaire Car"/>
    <w:basedOn w:val="Policepardfaut"/>
    <w:link w:val="Commentaire"/>
    <w:uiPriority w:val="99"/>
    <w:rsid w:val="005879E8"/>
    <w:rPr>
      <w:sz w:val="20"/>
      <w:szCs w:val="20"/>
    </w:rPr>
  </w:style>
  <w:style w:type="paragraph" w:styleId="Objetducommentaire">
    <w:name w:val="annotation subject"/>
    <w:basedOn w:val="Commentaire"/>
    <w:next w:val="Commentaire"/>
    <w:link w:val="ObjetducommentaireCar"/>
    <w:uiPriority w:val="99"/>
    <w:semiHidden/>
    <w:unhideWhenUsed/>
    <w:rsid w:val="005879E8"/>
    <w:rPr>
      <w:b/>
      <w:bCs/>
    </w:rPr>
  </w:style>
  <w:style w:type="character" w:customStyle="1" w:styleId="ObjetducommentaireCar">
    <w:name w:val="Objet du commentaire Car"/>
    <w:basedOn w:val="CommentaireCar"/>
    <w:link w:val="Objetducommentaire"/>
    <w:uiPriority w:val="99"/>
    <w:semiHidden/>
    <w:rsid w:val="005879E8"/>
    <w:rPr>
      <w:b/>
      <w:bCs/>
      <w:sz w:val="20"/>
      <w:szCs w:val="20"/>
    </w:rPr>
  </w:style>
  <w:style w:type="paragraph" w:styleId="Textedebulles">
    <w:name w:val="Balloon Text"/>
    <w:basedOn w:val="Normal"/>
    <w:link w:val="TextedebullesCar"/>
    <w:uiPriority w:val="99"/>
    <w:semiHidden/>
    <w:unhideWhenUsed/>
    <w:rsid w:val="005879E8"/>
    <w:pPr>
      <w:widowControl w:val="0"/>
    </w:pPr>
    <w:rPr>
      <w:rFonts w:ascii="Tahoma" w:hAnsi="Tahoma" w:cs="Tahoma"/>
      <w:sz w:val="16"/>
      <w:szCs w:val="16"/>
      <w:lang w:val="en-US" w:eastAsia="en-US"/>
    </w:rPr>
  </w:style>
  <w:style w:type="character" w:customStyle="1" w:styleId="TextedebullesCar">
    <w:name w:val="Texte de bulles Car"/>
    <w:basedOn w:val="Policepardfaut"/>
    <w:link w:val="Textedebulles"/>
    <w:uiPriority w:val="99"/>
    <w:semiHidden/>
    <w:rsid w:val="005879E8"/>
    <w:rPr>
      <w:rFonts w:ascii="Tahoma" w:hAnsi="Tahoma" w:cs="Tahoma"/>
      <w:sz w:val="16"/>
      <w:szCs w:val="16"/>
    </w:rPr>
  </w:style>
  <w:style w:type="paragraph" w:styleId="Rvision">
    <w:name w:val="Revision"/>
    <w:hidden/>
    <w:uiPriority w:val="99"/>
    <w:semiHidden/>
    <w:rsid w:val="00CE4C1E"/>
    <w:pPr>
      <w:widowControl/>
    </w:pPr>
  </w:style>
  <w:style w:type="paragraph" w:styleId="NormalWeb">
    <w:name w:val="Normal (Web)"/>
    <w:basedOn w:val="Normal"/>
    <w:uiPriority w:val="99"/>
    <w:semiHidden/>
    <w:unhideWhenUsed/>
    <w:rsid w:val="00AC368F"/>
    <w:pPr>
      <w:spacing w:before="100" w:beforeAutospacing="1" w:after="100" w:afterAutospacing="1"/>
    </w:pPr>
  </w:style>
  <w:style w:type="character" w:styleId="Lienhypertexte">
    <w:name w:val="Hyperlink"/>
    <w:basedOn w:val="Policepardfaut"/>
    <w:uiPriority w:val="99"/>
    <w:unhideWhenUsed/>
    <w:rsid w:val="007F4769"/>
    <w:rPr>
      <w:color w:val="0000FF" w:themeColor="hyperlink"/>
      <w:u w:val="single"/>
    </w:rPr>
  </w:style>
  <w:style w:type="character" w:customStyle="1" w:styleId="apple-converted-space">
    <w:name w:val="apple-converted-space"/>
    <w:basedOn w:val="Policepardfaut"/>
    <w:rsid w:val="00F97D47"/>
  </w:style>
  <w:style w:type="paragraph" w:customStyle="1" w:styleId="EndNoteBibliographyTitle">
    <w:name w:val="EndNote Bibliography Title"/>
    <w:basedOn w:val="Normal"/>
    <w:link w:val="EndNoteBibliographyTitleChar"/>
    <w:rsid w:val="0024032A"/>
    <w:pPr>
      <w:jc w:val="center"/>
    </w:pPr>
    <w:rPr>
      <w:noProof/>
    </w:rPr>
  </w:style>
  <w:style w:type="character" w:customStyle="1" w:styleId="EndNoteBibliographyTitleChar">
    <w:name w:val="EndNote Bibliography Title Char"/>
    <w:basedOn w:val="Policepardfaut"/>
    <w:link w:val="EndNoteBibliographyTitle"/>
    <w:rsid w:val="0024032A"/>
    <w:rPr>
      <w:rFonts w:ascii="Times New Roman" w:hAnsi="Times New Roman" w:cs="Times New Roman"/>
      <w:noProof/>
      <w:sz w:val="24"/>
      <w:szCs w:val="24"/>
      <w:lang w:val="nl-NL" w:eastAsia="nl-NL"/>
    </w:rPr>
  </w:style>
  <w:style w:type="paragraph" w:customStyle="1" w:styleId="EndNoteBibliography">
    <w:name w:val="EndNote Bibliography"/>
    <w:basedOn w:val="Normal"/>
    <w:link w:val="EndNoteBibliographyChar"/>
    <w:rsid w:val="0024032A"/>
    <w:rPr>
      <w:noProof/>
    </w:rPr>
  </w:style>
  <w:style w:type="character" w:customStyle="1" w:styleId="EndNoteBibliographyChar">
    <w:name w:val="EndNote Bibliography Char"/>
    <w:basedOn w:val="Policepardfaut"/>
    <w:link w:val="EndNoteBibliography"/>
    <w:rsid w:val="0024032A"/>
    <w:rPr>
      <w:rFonts w:ascii="Times New Roman" w:hAnsi="Times New Roman" w:cs="Times New Roman"/>
      <w:noProof/>
      <w:sz w:val="24"/>
      <w:szCs w:val="24"/>
      <w:lang w:val="nl-NL" w:eastAsia="nl-NL"/>
    </w:rPr>
  </w:style>
  <w:style w:type="table" w:styleId="Tableauple1">
    <w:name w:val="Table Subtle 1"/>
    <w:basedOn w:val="TableauNormal"/>
    <w:uiPriority w:val="99"/>
    <w:rsid w:val="00EA0E03"/>
    <w:pPr>
      <w:widowControl/>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3">
    <w:name w:val="Plain Table 3"/>
    <w:basedOn w:val="TableauNormal"/>
    <w:uiPriority w:val="43"/>
    <w:rsid w:val="00EA0E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EA0E0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EA0E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nopgelostemelding1">
    <w:name w:val="Onopgeloste melding1"/>
    <w:basedOn w:val="Policepardfaut"/>
    <w:uiPriority w:val="99"/>
    <w:semiHidden/>
    <w:unhideWhenUsed/>
    <w:rsid w:val="006F5B71"/>
    <w:rPr>
      <w:color w:val="605E5C"/>
      <w:shd w:val="clear" w:color="auto" w:fill="E1DFDD"/>
    </w:rPr>
  </w:style>
  <w:style w:type="table" w:customStyle="1" w:styleId="TableGrid1">
    <w:name w:val="Table Grid1"/>
    <w:basedOn w:val="TableauNormal"/>
    <w:next w:val="Grilledutableau"/>
    <w:uiPriority w:val="39"/>
    <w:rsid w:val="008C6A08"/>
    <w:pPr>
      <w:widowControl/>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8C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F33BA"/>
    <w:rPr>
      <w:color w:val="800080" w:themeColor="followedHyperlink"/>
      <w:u w:val="single"/>
    </w:rPr>
  </w:style>
  <w:style w:type="paragraph" w:customStyle="1" w:styleId="Default">
    <w:name w:val="Default"/>
    <w:rsid w:val="003F3AE7"/>
    <w:pPr>
      <w:widowControl/>
      <w:autoSpaceDE w:val="0"/>
      <w:autoSpaceDN w:val="0"/>
      <w:adjustRightInd w:val="0"/>
    </w:pPr>
    <w:rPr>
      <w:rFonts w:ascii="Times New Roman" w:hAnsi="Times New Roman" w:cs="Times New Roman"/>
      <w:color w:val="000000"/>
      <w:sz w:val="24"/>
      <w:szCs w:val="24"/>
      <w:lang w:val="nl-NL"/>
    </w:rPr>
  </w:style>
  <w:style w:type="character" w:styleId="Accentuation">
    <w:name w:val="Emphasis"/>
    <w:basedOn w:val="Policepardfaut"/>
    <w:uiPriority w:val="20"/>
    <w:qFormat/>
    <w:rsid w:val="006D008B"/>
    <w:rPr>
      <w:i/>
      <w:iCs/>
    </w:rPr>
  </w:style>
  <w:style w:type="character" w:customStyle="1" w:styleId="highlight">
    <w:name w:val="highlight"/>
    <w:basedOn w:val="Policepardfaut"/>
    <w:rsid w:val="005010D9"/>
  </w:style>
  <w:style w:type="character" w:styleId="lev">
    <w:name w:val="Strong"/>
    <w:basedOn w:val="Policepardfaut"/>
    <w:uiPriority w:val="22"/>
    <w:qFormat/>
    <w:rsid w:val="00923F50"/>
    <w:rPr>
      <w:b/>
      <w:bCs/>
    </w:rPr>
  </w:style>
  <w:style w:type="character" w:customStyle="1" w:styleId="Titre4Car">
    <w:name w:val="Titre 4 Car"/>
    <w:basedOn w:val="Policepardfaut"/>
    <w:link w:val="Titre4"/>
    <w:uiPriority w:val="9"/>
    <w:semiHidden/>
    <w:rsid w:val="00923F50"/>
    <w:rPr>
      <w:rFonts w:asciiTheme="majorHAnsi" w:eastAsiaTheme="majorEastAsia" w:hAnsiTheme="majorHAnsi" w:cstheme="majorBidi"/>
      <w:i/>
      <w:iCs/>
      <w:color w:val="365F91" w:themeColor="accent1" w:themeShade="BF"/>
      <w:sz w:val="24"/>
      <w:szCs w:val="24"/>
      <w:lang w:val="nl-NL" w:eastAsia="nl-NL"/>
    </w:rPr>
  </w:style>
  <w:style w:type="character" w:styleId="Numrodeligne">
    <w:name w:val="line number"/>
    <w:basedOn w:val="Policepardfaut"/>
    <w:uiPriority w:val="99"/>
    <w:semiHidden/>
    <w:unhideWhenUsed/>
    <w:rsid w:val="00A1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164">
      <w:bodyDiv w:val="1"/>
      <w:marLeft w:val="0"/>
      <w:marRight w:val="0"/>
      <w:marTop w:val="0"/>
      <w:marBottom w:val="0"/>
      <w:divBdr>
        <w:top w:val="none" w:sz="0" w:space="0" w:color="auto"/>
        <w:left w:val="none" w:sz="0" w:space="0" w:color="auto"/>
        <w:bottom w:val="none" w:sz="0" w:space="0" w:color="auto"/>
        <w:right w:val="none" w:sz="0" w:space="0" w:color="auto"/>
      </w:divBdr>
    </w:div>
    <w:div w:id="25522484">
      <w:bodyDiv w:val="1"/>
      <w:marLeft w:val="0"/>
      <w:marRight w:val="0"/>
      <w:marTop w:val="0"/>
      <w:marBottom w:val="0"/>
      <w:divBdr>
        <w:top w:val="none" w:sz="0" w:space="0" w:color="auto"/>
        <w:left w:val="none" w:sz="0" w:space="0" w:color="auto"/>
        <w:bottom w:val="none" w:sz="0" w:space="0" w:color="auto"/>
        <w:right w:val="none" w:sz="0" w:space="0" w:color="auto"/>
      </w:divBdr>
      <w:divsChild>
        <w:div w:id="1333948167">
          <w:marLeft w:val="0"/>
          <w:marRight w:val="0"/>
          <w:marTop w:val="0"/>
          <w:marBottom w:val="0"/>
          <w:divBdr>
            <w:top w:val="none" w:sz="0" w:space="0" w:color="auto"/>
            <w:left w:val="none" w:sz="0" w:space="0" w:color="auto"/>
            <w:bottom w:val="none" w:sz="0" w:space="0" w:color="auto"/>
            <w:right w:val="none" w:sz="0" w:space="0" w:color="auto"/>
          </w:divBdr>
          <w:divsChild>
            <w:div w:id="216015256">
              <w:marLeft w:val="0"/>
              <w:marRight w:val="0"/>
              <w:marTop w:val="0"/>
              <w:marBottom w:val="0"/>
              <w:divBdr>
                <w:top w:val="none" w:sz="0" w:space="0" w:color="auto"/>
                <w:left w:val="none" w:sz="0" w:space="0" w:color="auto"/>
                <w:bottom w:val="none" w:sz="0" w:space="0" w:color="auto"/>
                <w:right w:val="none" w:sz="0" w:space="0" w:color="auto"/>
              </w:divBdr>
              <w:divsChild>
                <w:div w:id="10198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334">
      <w:bodyDiv w:val="1"/>
      <w:marLeft w:val="0"/>
      <w:marRight w:val="0"/>
      <w:marTop w:val="0"/>
      <w:marBottom w:val="0"/>
      <w:divBdr>
        <w:top w:val="none" w:sz="0" w:space="0" w:color="auto"/>
        <w:left w:val="none" w:sz="0" w:space="0" w:color="auto"/>
        <w:bottom w:val="none" w:sz="0" w:space="0" w:color="auto"/>
        <w:right w:val="none" w:sz="0" w:space="0" w:color="auto"/>
      </w:divBdr>
    </w:div>
    <w:div w:id="58749971">
      <w:bodyDiv w:val="1"/>
      <w:marLeft w:val="0"/>
      <w:marRight w:val="0"/>
      <w:marTop w:val="0"/>
      <w:marBottom w:val="0"/>
      <w:divBdr>
        <w:top w:val="none" w:sz="0" w:space="0" w:color="auto"/>
        <w:left w:val="none" w:sz="0" w:space="0" w:color="auto"/>
        <w:bottom w:val="none" w:sz="0" w:space="0" w:color="auto"/>
        <w:right w:val="none" w:sz="0" w:space="0" w:color="auto"/>
      </w:divBdr>
    </w:div>
    <w:div w:id="75590757">
      <w:bodyDiv w:val="1"/>
      <w:marLeft w:val="0"/>
      <w:marRight w:val="0"/>
      <w:marTop w:val="0"/>
      <w:marBottom w:val="0"/>
      <w:divBdr>
        <w:top w:val="none" w:sz="0" w:space="0" w:color="auto"/>
        <w:left w:val="none" w:sz="0" w:space="0" w:color="auto"/>
        <w:bottom w:val="none" w:sz="0" w:space="0" w:color="auto"/>
        <w:right w:val="none" w:sz="0" w:space="0" w:color="auto"/>
      </w:divBdr>
      <w:divsChild>
        <w:div w:id="860095961">
          <w:marLeft w:val="0"/>
          <w:marRight w:val="0"/>
          <w:marTop w:val="0"/>
          <w:marBottom w:val="0"/>
          <w:divBdr>
            <w:top w:val="none" w:sz="0" w:space="0" w:color="auto"/>
            <w:left w:val="none" w:sz="0" w:space="0" w:color="auto"/>
            <w:bottom w:val="none" w:sz="0" w:space="0" w:color="auto"/>
            <w:right w:val="none" w:sz="0" w:space="0" w:color="auto"/>
          </w:divBdr>
        </w:div>
        <w:div w:id="1300577846">
          <w:marLeft w:val="0"/>
          <w:marRight w:val="0"/>
          <w:marTop w:val="0"/>
          <w:marBottom w:val="0"/>
          <w:divBdr>
            <w:top w:val="none" w:sz="0" w:space="0" w:color="auto"/>
            <w:left w:val="none" w:sz="0" w:space="0" w:color="auto"/>
            <w:bottom w:val="none" w:sz="0" w:space="0" w:color="auto"/>
            <w:right w:val="none" w:sz="0" w:space="0" w:color="auto"/>
          </w:divBdr>
        </w:div>
        <w:div w:id="858081742">
          <w:marLeft w:val="0"/>
          <w:marRight w:val="0"/>
          <w:marTop w:val="0"/>
          <w:marBottom w:val="0"/>
          <w:divBdr>
            <w:top w:val="none" w:sz="0" w:space="0" w:color="auto"/>
            <w:left w:val="none" w:sz="0" w:space="0" w:color="auto"/>
            <w:bottom w:val="none" w:sz="0" w:space="0" w:color="auto"/>
            <w:right w:val="none" w:sz="0" w:space="0" w:color="auto"/>
          </w:divBdr>
        </w:div>
      </w:divsChild>
    </w:div>
    <w:div w:id="83655028">
      <w:bodyDiv w:val="1"/>
      <w:marLeft w:val="0"/>
      <w:marRight w:val="0"/>
      <w:marTop w:val="0"/>
      <w:marBottom w:val="0"/>
      <w:divBdr>
        <w:top w:val="none" w:sz="0" w:space="0" w:color="auto"/>
        <w:left w:val="none" w:sz="0" w:space="0" w:color="auto"/>
        <w:bottom w:val="none" w:sz="0" w:space="0" w:color="auto"/>
        <w:right w:val="none" w:sz="0" w:space="0" w:color="auto"/>
      </w:divBdr>
    </w:div>
    <w:div w:id="89856296">
      <w:bodyDiv w:val="1"/>
      <w:marLeft w:val="0"/>
      <w:marRight w:val="0"/>
      <w:marTop w:val="0"/>
      <w:marBottom w:val="0"/>
      <w:divBdr>
        <w:top w:val="none" w:sz="0" w:space="0" w:color="auto"/>
        <w:left w:val="none" w:sz="0" w:space="0" w:color="auto"/>
        <w:bottom w:val="none" w:sz="0" w:space="0" w:color="auto"/>
        <w:right w:val="none" w:sz="0" w:space="0" w:color="auto"/>
      </w:divBdr>
    </w:div>
    <w:div w:id="109394553">
      <w:bodyDiv w:val="1"/>
      <w:marLeft w:val="0"/>
      <w:marRight w:val="0"/>
      <w:marTop w:val="0"/>
      <w:marBottom w:val="0"/>
      <w:divBdr>
        <w:top w:val="none" w:sz="0" w:space="0" w:color="auto"/>
        <w:left w:val="none" w:sz="0" w:space="0" w:color="auto"/>
        <w:bottom w:val="none" w:sz="0" w:space="0" w:color="auto"/>
        <w:right w:val="none" w:sz="0" w:space="0" w:color="auto"/>
      </w:divBdr>
    </w:div>
    <w:div w:id="110133046">
      <w:bodyDiv w:val="1"/>
      <w:marLeft w:val="0"/>
      <w:marRight w:val="0"/>
      <w:marTop w:val="0"/>
      <w:marBottom w:val="0"/>
      <w:divBdr>
        <w:top w:val="none" w:sz="0" w:space="0" w:color="auto"/>
        <w:left w:val="none" w:sz="0" w:space="0" w:color="auto"/>
        <w:bottom w:val="none" w:sz="0" w:space="0" w:color="auto"/>
        <w:right w:val="none" w:sz="0" w:space="0" w:color="auto"/>
      </w:divBdr>
    </w:div>
    <w:div w:id="114950550">
      <w:bodyDiv w:val="1"/>
      <w:marLeft w:val="0"/>
      <w:marRight w:val="0"/>
      <w:marTop w:val="0"/>
      <w:marBottom w:val="0"/>
      <w:divBdr>
        <w:top w:val="none" w:sz="0" w:space="0" w:color="auto"/>
        <w:left w:val="none" w:sz="0" w:space="0" w:color="auto"/>
        <w:bottom w:val="none" w:sz="0" w:space="0" w:color="auto"/>
        <w:right w:val="none" w:sz="0" w:space="0" w:color="auto"/>
      </w:divBdr>
      <w:divsChild>
        <w:div w:id="1052146443">
          <w:marLeft w:val="0"/>
          <w:marRight w:val="0"/>
          <w:marTop w:val="0"/>
          <w:marBottom w:val="0"/>
          <w:divBdr>
            <w:top w:val="none" w:sz="0" w:space="0" w:color="auto"/>
            <w:left w:val="none" w:sz="0" w:space="0" w:color="auto"/>
            <w:bottom w:val="none" w:sz="0" w:space="0" w:color="auto"/>
            <w:right w:val="none" w:sz="0" w:space="0" w:color="auto"/>
          </w:divBdr>
          <w:divsChild>
            <w:div w:id="1370034335">
              <w:marLeft w:val="0"/>
              <w:marRight w:val="0"/>
              <w:marTop w:val="0"/>
              <w:marBottom w:val="0"/>
              <w:divBdr>
                <w:top w:val="none" w:sz="0" w:space="0" w:color="auto"/>
                <w:left w:val="none" w:sz="0" w:space="0" w:color="auto"/>
                <w:bottom w:val="none" w:sz="0" w:space="0" w:color="auto"/>
                <w:right w:val="none" w:sz="0" w:space="0" w:color="auto"/>
              </w:divBdr>
              <w:divsChild>
                <w:div w:id="847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4845">
      <w:bodyDiv w:val="1"/>
      <w:marLeft w:val="0"/>
      <w:marRight w:val="0"/>
      <w:marTop w:val="0"/>
      <w:marBottom w:val="0"/>
      <w:divBdr>
        <w:top w:val="none" w:sz="0" w:space="0" w:color="auto"/>
        <w:left w:val="none" w:sz="0" w:space="0" w:color="auto"/>
        <w:bottom w:val="none" w:sz="0" w:space="0" w:color="auto"/>
        <w:right w:val="none" w:sz="0" w:space="0" w:color="auto"/>
      </w:divBdr>
    </w:div>
    <w:div w:id="181671029">
      <w:bodyDiv w:val="1"/>
      <w:marLeft w:val="0"/>
      <w:marRight w:val="0"/>
      <w:marTop w:val="0"/>
      <w:marBottom w:val="0"/>
      <w:divBdr>
        <w:top w:val="none" w:sz="0" w:space="0" w:color="auto"/>
        <w:left w:val="none" w:sz="0" w:space="0" w:color="auto"/>
        <w:bottom w:val="none" w:sz="0" w:space="0" w:color="auto"/>
        <w:right w:val="none" w:sz="0" w:space="0" w:color="auto"/>
      </w:divBdr>
      <w:divsChild>
        <w:div w:id="1676030930">
          <w:marLeft w:val="0"/>
          <w:marRight w:val="0"/>
          <w:marTop w:val="0"/>
          <w:marBottom w:val="0"/>
          <w:divBdr>
            <w:top w:val="none" w:sz="0" w:space="0" w:color="auto"/>
            <w:left w:val="none" w:sz="0" w:space="0" w:color="auto"/>
            <w:bottom w:val="none" w:sz="0" w:space="0" w:color="auto"/>
            <w:right w:val="none" w:sz="0" w:space="0" w:color="auto"/>
          </w:divBdr>
          <w:divsChild>
            <w:div w:id="1084374216">
              <w:marLeft w:val="0"/>
              <w:marRight w:val="0"/>
              <w:marTop w:val="0"/>
              <w:marBottom w:val="0"/>
              <w:divBdr>
                <w:top w:val="none" w:sz="0" w:space="0" w:color="auto"/>
                <w:left w:val="none" w:sz="0" w:space="0" w:color="auto"/>
                <w:bottom w:val="none" w:sz="0" w:space="0" w:color="auto"/>
                <w:right w:val="none" w:sz="0" w:space="0" w:color="auto"/>
              </w:divBdr>
              <w:divsChild>
                <w:div w:id="9076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1334">
      <w:bodyDiv w:val="1"/>
      <w:marLeft w:val="0"/>
      <w:marRight w:val="0"/>
      <w:marTop w:val="0"/>
      <w:marBottom w:val="0"/>
      <w:divBdr>
        <w:top w:val="none" w:sz="0" w:space="0" w:color="auto"/>
        <w:left w:val="none" w:sz="0" w:space="0" w:color="auto"/>
        <w:bottom w:val="none" w:sz="0" w:space="0" w:color="auto"/>
        <w:right w:val="none" w:sz="0" w:space="0" w:color="auto"/>
      </w:divBdr>
    </w:div>
    <w:div w:id="208496620">
      <w:bodyDiv w:val="1"/>
      <w:marLeft w:val="0"/>
      <w:marRight w:val="0"/>
      <w:marTop w:val="0"/>
      <w:marBottom w:val="0"/>
      <w:divBdr>
        <w:top w:val="none" w:sz="0" w:space="0" w:color="auto"/>
        <w:left w:val="none" w:sz="0" w:space="0" w:color="auto"/>
        <w:bottom w:val="none" w:sz="0" w:space="0" w:color="auto"/>
        <w:right w:val="none" w:sz="0" w:space="0" w:color="auto"/>
      </w:divBdr>
    </w:div>
    <w:div w:id="213783338">
      <w:bodyDiv w:val="1"/>
      <w:marLeft w:val="0"/>
      <w:marRight w:val="0"/>
      <w:marTop w:val="0"/>
      <w:marBottom w:val="0"/>
      <w:divBdr>
        <w:top w:val="none" w:sz="0" w:space="0" w:color="auto"/>
        <w:left w:val="none" w:sz="0" w:space="0" w:color="auto"/>
        <w:bottom w:val="none" w:sz="0" w:space="0" w:color="auto"/>
        <w:right w:val="none" w:sz="0" w:space="0" w:color="auto"/>
      </w:divBdr>
    </w:div>
    <w:div w:id="220100389">
      <w:bodyDiv w:val="1"/>
      <w:marLeft w:val="0"/>
      <w:marRight w:val="0"/>
      <w:marTop w:val="0"/>
      <w:marBottom w:val="0"/>
      <w:divBdr>
        <w:top w:val="none" w:sz="0" w:space="0" w:color="auto"/>
        <w:left w:val="none" w:sz="0" w:space="0" w:color="auto"/>
        <w:bottom w:val="none" w:sz="0" w:space="0" w:color="auto"/>
        <w:right w:val="none" w:sz="0" w:space="0" w:color="auto"/>
      </w:divBdr>
    </w:div>
    <w:div w:id="237253173">
      <w:bodyDiv w:val="1"/>
      <w:marLeft w:val="0"/>
      <w:marRight w:val="0"/>
      <w:marTop w:val="0"/>
      <w:marBottom w:val="0"/>
      <w:divBdr>
        <w:top w:val="none" w:sz="0" w:space="0" w:color="auto"/>
        <w:left w:val="none" w:sz="0" w:space="0" w:color="auto"/>
        <w:bottom w:val="none" w:sz="0" w:space="0" w:color="auto"/>
        <w:right w:val="none" w:sz="0" w:space="0" w:color="auto"/>
      </w:divBdr>
    </w:div>
    <w:div w:id="257907802">
      <w:bodyDiv w:val="1"/>
      <w:marLeft w:val="0"/>
      <w:marRight w:val="0"/>
      <w:marTop w:val="0"/>
      <w:marBottom w:val="0"/>
      <w:divBdr>
        <w:top w:val="none" w:sz="0" w:space="0" w:color="auto"/>
        <w:left w:val="none" w:sz="0" w:space="0" w:color="auto"/>
        <w:bottom w:val="none" w:sz="0" w:space="0" w:color="auto"/>
        <w:right w:val="none" w:sz="0" w:space="0" w:color="auto"/>
      </w:divBdr>
    </w:div>
    <w:div w:id="306202709">
      <w:bodyDiv w:val="1"/>
      <w:marLeft w:val="0"/>
      <w:marRight w:val="0"/>
      <w:marTop w:val="0"/>
      <w:marBottom w:val="0"/>
      <w:divBdr>
        <w:top w:val="none" w:sz="0" w:space="0" w:color="auto"/>
        <w:left w:val="none" w:sz="0" w:space="0" w:color="auto"/>
        <w:bottom w:val="none" w:sz="0" w:space="0" w:color="auto"/>
        <w:right w:val="none" w:sz="0" w:space="0" w:color="auto"/>
      </w:divBdr>
    </w:div>
    <w:div w:id="308171256">
      <w:bodyDiv w:val="1"/>
      <w:marLeft w:val="0"/>
      <w:marRight w:val="0"/>
      <w:marTop w:val="0"/>
      <w:marBottom w:val="0"/>
      <w:divBdr>
        <w:top w:val="none" w:sz="0" w:space="0" w:color="auto"/>
        <w:left w:val="none" w:sz="0" w:space="0" w:color="auto"/>
        <w:bottom w:val="none" w:sz="0" w:space="0" w:color="auto"/>
        <w:right w:val="none" w:sz="0" w:space="0" w:color="auto"/>
      </w:divBdr>
    </w:div>
    <w:div w:id="311565093">
      <w:bodyDiv w:val="1"/>
      <w:marLeft w:val="0"/>
      <w:marRight w:val="0"/>
      <w:marTop w:val="0"/>
      <w:marBottom w:val="0"/>
      <w:divBdr>
        <w:top w:val="none" w:sz="0" w:space="0" w:color="auto"/>
        <w:left w:val="none" w:sz="0" w:space="0" w:color="auto"/>
        <w:bottom w:val="none" w:sz="0" w:space="0" w:color="auto"/>
        <w:right w:val="none" w:sz="0" w:space="0" w:color="auto"/>
      </w:divBdr>
    </w:div>
    <w:div w:id="318267702">
      <w:bodyDiv w:val="1"/>
      <w:marLeft w:val="0"/>
      <w:marRight w:val="0"/>
      <w:marTop w:val="0"/>
      <w:marBottom w:val="0"/>
      <w:divBdr>
        <w:top w:val="none" w:sz="0" w:space="0" w:color="auto"/>
        <w:left w:val="none" w:sz="0" w:space="0" w:color="auto"/>
        <w:bottom w:val="none" w:sz="0" w:space="0" w:color="auto"/>
        <w:right w:val="none" w:sz="0" w:space="0" w:color="auto"/>
      </w:divBdr>
    </w:div>
    <w:div w:id="398939742">
      <w:bodyDiv w:val="1"/>
      <w:marLeft w:val="0"/>
      <w:marRight w:val="0"/>
      <w:marTop w:val="0"/>
      <w:marBottom w:val="0"/>
      <w:divBdr>
        <w:top w:val="none" w:sz="0" w:space="0" w:color="auto"/>
        <w:left w:val="none" w:sz="0" w:space="0" w:color="auto"/>
        <w:bottom w:val="none" w:sz="0" w:space="0" w:color="auto"/>
        <w:right w:val="none" w:sz="0" w:space="0" w:color="auto"/>
      </w:divBdr>
    </w:div>
    <w:div w:id="399639970">
      <w:bodyDiv w:val="1"/>
      <w:marLeft w:val="0"/>
      <w:marRight w:val="0"/>
      <w:marTop w:val="0"/>
      <w:marBottom w:val="0"/>
      <w:divBdr>
        <w:top w:val="none" w:sz="0" w:space="0" w:color="auto"/>
        <w:left w:val="none" w:sz="0" w:space="0" w:color="auto"/>
        <w:bottom w:val="none" w:sz="0" w:space="0" w:color="auto"/>
        <w:right w:val="none" w:sz="0" w:space="0" w:color="auto"/>
      </w:divBdr>
    </w:div>
    <w:div w:id="491603367">
      <w:bodyDiv w:val="1"/>
      <w:marLeft w:val="0"/>
      <w:marRight w:val="0"/>
      <w:marTop w:val="0"/>
      <w:marBottom w:val="0"/>
      <w:divBdr>
        <w:top w:val="none" w:sz="0" w:space="0" w:color="auto"/>
        <w:left w:val="none" w:sz="0" w:space="0" w:color="auto"/>
        <w:bottom w:val="none" w:sz="0" w:space="0" w:color="auto"/>
        <w:right w:val="none" w:sz="0" w:space="0" w:color="auto"/>
      </w:divBdr>
    </w:div>
    <w:div w:id="520704145">
      <w:bodyDiv w:val="1"/>
      <w:marLeft w:val="0"/>
      <w:marRight w:val="0"/>
      <w:marTop w:val="0"/>
      <w:marBottom w:val="0"/>
      <w:divBdr>
        <w:top w:val="none" w:sz="0" w:space="0" w:color="auto"/>
        <w:left w:val="none" w:sz="0" w:space="0" w:color="auto"/>
        <w:bottom w:val="none" w:sz="0" w:space="0" w:color="auto"/>
        <w:right w:val="none" w:sz="0" w:space="0" w:color="auto"/>
      </w:divBdr>
    </w:div>
    <w:div w:id="533882500">
      <w:bodyDiv w:val="1"/>
      <w:marLeft w:val="0"/>
      <w:marRight w:val="0"/>
      <w:marTop w:val="0"/>
      <w:marBottom w:val="0"/>
      <w:divBdr>
        <w:top w:val="none" w:sz="0" w:space="0" w:color="auto"/>
        <w:left w:val="none" w:sz="0" w:space="0" w:color="auto"/>
        <w:bottom w:val="none" w:sz="0" w:space="0" w:color="auto"/>
        <w:right w:val="none" w:sz="0" w:space="0" w:color="auto"/>
      </w:divBdr>
    </w:div>
    <w:div w:id="534779216">
      <w:bodyDiv w:val="1"/>
      <w:marLeft w:val="0"/>
      <w:marRight w:val="0"/>
      <w:marTop w:val="0"/>
      <w:marBottom w:val="0"/>
      <w:divBdr>
        <w:top w:val="none" w:sz="0" w:space="0" w:color="auto"/>
        <w:left w:val="none" w:sz="0" w:space="0" w:color="auto"/>
        <w:bottom w:val="none" w:sz="0" w:space="0" w:color="auto"/>
        <w:right w:val="none" w:sz="0" w:space="0" w:color="auto"/>
      </w:divBdr>
    </w:div>
    <w:div w:id="535971906">
      <w:bodyDiv w:val="1"/>
      <w:marLeft w:val="0"/>
      <w:marRight w:val="0"/>
      <w:marTop w:val="0"/>
      <w:marBottom w:val="0"/>
      <w:divBdr>
        <w:top w:val="none" w:sz="0" w:space="0" w:color="auto"/>
        <w:left w:val="none" w:sz="0" w:space="0" w:color="auto"/>
        <w:bottom w:val="none" w:sz="0" w:space="0" w:color="auto"/>
        <w:right w:val="none" w:sz="0" w:space="0" w:color="auto"/>
      </w:divBdr>
    </w:div>
    <w:div w:id="557595312">
      <w:bodyDiv w:val="1"/>
      <w:marLeft w:val="0"/>
      <w:marRight w:val="0"/>
      <w:marTop w:val="0"/>
      <w:marBottom w:val="0"/>
      <w:divBdr>
        <w:top w:val="none" w:sz="0" w:space="0" w:color="auto"/>
        <w:left w:val="none" w:sz="0" w:space="0" w:color="auto"/>
        <w:bottom w:val="none" w:sz="0" w:space="0" w:color="auto"/>
        <w:right w:val="none" w:sz="0" w:space="0" w:color="auto"/>
      </w:divBdr>
    </w:div>
    <w:div w:id="567038364">
      <w:bodyDiv w:val="1"/>
      <w:marLeft w:val="0"/>
      <w:marRight w:val="0"/>
      <w:marTop w:val="0"/>
      <w:marBottom w:val="0"/>
      <w:divBdr>
        <w:top w:val="none" w:sz="0" w:space="0" w:color="auto"/>
        <w:left w:val="none" w:sz="0" w:space="0" w:color="auto"/>
        <w:bottom w:val="none" w:sz="0" w:space="0" w:color="auto"/>
        <w:right w:val="none" w:sz="0" w:space="0" w:color="auto"/>
      </w:divBdr>
    </w:div>
    <w:div w:id="585656329">
      <w:bodyDiv w:val="1"/>
      <w:marLeft w:val="0"/>
      <w:marRight w:val="0"/>
      <w:marTop w:val="0"/>
      <w:marBottom w:val="0"/>
      <w:divBdr>
        <w:top w:val="none" w:sz="0" w:space="0" w:color="auto"/>
        <w:left w:val="none" w:sz="0" w:space="0" w:color="auto"/>
        <w:bottom w:val="none" w:sz="0" w:space="0" w:color="auto"/>
        <w:right w:val="none" w:sz="0" w:space="0" w:color="auto"/>
      </w:divBdr>
    </w:div>
    <w:div w:id="591816324">
      <w:bodyDiv w:val="1"/>
      <w:marLeft w:val="0"/>
      <w:marRight w:val="0"/>
      <w:marTop w:val="0"/>
      <w:marBottom w:val="0"/>
      <w:divBdr>
        <w:top w:val="none" w:sz="0" w:space="0" w:color="auto"/>
        <w:left w:val="none" w:sz="0" w:space="0" w:color="auto"/>
        <w:bottom w:val="none" w:sz="0" w:space="0" w:color="auto"/>
        <w:right w:val="none" w:sz="0" w:space="0" w:color="auto"/>
      </w:divBdr>
    </w:div>
    <w:div w:id="600643867">
      <w:bodyDiv w:val="1"/>
      <w:marLeft w:val="0"/>
      <w:marRight w:val="0"/>
      <w:marTop w:val="0"/>
      <w:marBottom w:val="0"/>
      <w:divBdr>
        <w:top w:val="none" w:sz="0" w:space="0" w:color="auto"/>
        <w:left w:val="none" w:sz="0" w:space="0" w:color="auto"/>
        <w:bottom w:val="none" w:sz="0" w:space="0" w:color="auto"/>
        <w:right w:val="none" w:sz="0" w:space="0" w:color="auto"/>
      </w:divBdr>
    </w:div>
    <w:div w:id="641471508">
      <w:bodyDiv w:val="1"/>
      <w:marLeft w:val="0"/>
      <w:marRight w:val="0"/>
      <w:marTop w:val="0"/>
      <w:marBottom w:val="0"/>
      <w:divBdr>
        <w:top w:val="none" w:sz="0" w:space="0" w:color="auto"/>
        <w:left w:val="none" w:sz="0" w:space="0" w:color="auto"/>
        <w:bottom w:val="none" w:sz="0" w:space="0" w:color="auto"/>
        <w:right w:val="none" w:sz="0" w:space="0" w:color="auto"/>
      </w:divBdr>
    </w:div>
    <w:div w:id="682705381">
      <w:bodyDiv w:val="1"/>
      <w:marLeft w:val="0"/>
      <w:marRight w:val="0"/>
      <w:marTop w:val="0"/>
      <w:marBottom w:val="0"/>
      <w:divBdr>
        <w:top w:val="none" w:sz="0" w:space="0" w:color="auto"/>
        <w:left w:val="none" w:sz="0" w:space="0" w:color="auto"/>
        <w:bottom w:val="none" w:sz="0" w:space="0" w:color="auto"/>
        <w:right w:val="none" w:sz="0" w:space="0" w:color="auto"/>
      </w:divBdr>
    </w:div>
    <w:div w:id="685982980">
      <w:bodyDiv w:val="1"/>
      <w:marLeft w:val="0"/>
      <w:marRight w:val="0"/>
      <w:marTop w:val="0"/>
      <w:marBottom w:val="0"/>
      <w:divBdr>
        <w:top w:val="none" w:sz="0" w:space="0" w:color="auto"/>
        <w:left w:val="none" w:sz="0" w:space="0" w:color="auto"/>
        <w:bottom w:val="none" w:sz="0" w:space="0" w:color="auto"/>
        <w:right w:val="none" w:sz="0" w:space="0" w:color="auto"/>
      </w:divBdr>
    </w:div>
    <w:div w:id="738289229">
      <w:bodyDiv w:val="1"/>
      <w:marLeft w:val="0"/>
      <w:marRight w:val="0"/>
      <w:marTop w:val="0"/>
      <w:marBottom w:val="0"/>
      <w:divBdr>
        <w:top w:val="none" w:sz="0" w:space="0" w:color="auto"/>
        <w:left w:val="none" w:sz="0" w:space="0" w:color="auto"/>
        <w:bottom w:val="none" w:sz="0" w:space="0" w:color="auto"/>
        <w:right w:val="none" w:sz="0" w:space="0" w:color="auto"/>
      </w:divBdr>
    </w:div>
    <w:div w:id="789593420">
      <w:bodyDiv w:val="1"/>
      <w:marLeft w:val="0"/>
      <w:marRight w:val="0"/>
      <w:marTop w:val="0"/>
      <w:marBottom w:val="0"/>
      <w:divBdr>
        <w:top w:val="none" w:sz="0" w:space="0" w:color="auto"/>
        <w:left w:val="none" w:sz="0" w:space="0" w:color="auto"/>
        <w:bottom w:val="none" w:sz="0" w:space="0" w:color="auto"/>
        <w:right w:val="none" w:sz="0" w:space="0" w:color="auto"/>
      </w:divBdr>
    </w:div>
    <w:div w:id="805315624">
      <w:bodyDiv w:val="1"/>
      <w:marLeft w:val="0"/>
      <w:marRight w:val="0"/>
      <w:marTop w:val="0"/>
      <w:marBottom w:val="0"/>
      <w:divBdr>
        <w:top w:val="none" w:sz="0" w:space="0" w:color="auto"/>
        <w:left w:val="none" w:sz="0" w:space="0" w:color="auto"/>
        <w:bottom w:val="none" w:sz="0" w:space="0" w:color="auto"/>
        <w:right w:val="none" w:sz="0" w:space="0" w:color="auto"/>
      </w:divBdr>
      <w:divsChild>
        <w:div w:id="1799446462">
          <w:marLeft w:val="288"/>
          <w:marRight w:val="0"/>
          <w:marTop w:val="96"/>
          <w:marBottom w:val="0"/>
          <w:divBdr>
            <w:top w:val="none" w:sz="0" w:space="0" w:color="auto"/>
            <w:left w:val="none" w:sz="0" w:space="0" w:color="auto"/>
            <w:bottom w:val="none" w:sz="0" w:space="0" w:color="auto"/>
            <w:right w:val="none" w:sz="0" w:space="0" w:color="auto"/>
          </w:divBdr>
        </w:div>
      </w:divsChild>
    </w:div>
    <w:div w:id="817574912">
      <w:bodyDiv w:val="1"/>
      <w:marLeft w:val="0"/>
      <w:marRight w:val="0"/>
      <w:marTop w:val="0"/>
      <w:marBottom w:val="0"/>
      <w:divBdr>
        <w:top w:val="none" w:sz="0" w:space="0" w:color="auto"/>
        <w:left w:val="none" w:sz="0" w:space="0" w:color="auto"/>
        <w:bottom w:val="none" w:sz="0" w:space="0" w:color="auto"/>
        <w:right w:val="none" w:sz="0" w:space="0" w:color="auto"/>
      </w:divBdr>
    </w:div>
    <w:div w:id="820149560">
      <w:bodyDiv w:val="1"/>
      <w:marLeft w:val="0"/>
      <w:marRight w:val="0"/>
      <w:marTop w:val="0"/>
      <w:marBottom w:val="0"/>
      <w:divBdr>
        <w:top w:val="none" w:sz="0" w:space="0" w:color="auto"/>
        <w:left w:val="none" w:sz="0" w:space="0" w:color="auto"/>
        <w:bottom w:val="none" w:sz="0" w:space="0" w:color="auto"/>
        <w:right w:val="none" w:sz="0" w:space="0" w:color="auto"/>
      </w:divBdr>
    </w:div>
    <w:div w:id="942104059">
      <w:bodyDiv w:val="1"/>
      <w:marLeft w:val="0"/>
      <w:marRight w:val="0"/>
      <w:marTop w:val="0"/>
      <w:marBottom w:val="0"/>
      <w:divBdr>
        <w:top w:val="none" w:sz="0" w:space="0" w:color="auto"/>
        <w:left w:val="none" w:sz="0" w:space="0" w:color="auto"/>
        <w:bottom w:val="none" w:sz="0" w:space="0" w:color="auto"/>
        <w:right w:val="none" w:sz="0" w:space="0" w:color="auto"/>
      </w:divBdr>
    </w:div>
    <w:div w:id="942802320">
      <w:bodyDiv w:val="1"/>
      <w:marLeft w:val="0"/>
      <w:marRight w:val="0"/>
      <w:marTop w:val="0"/>
      <w:marBottom w:val="0"/>
      <w:divBdr>
        <w:top w:val="none" w:sz="0" w:space="0" w:color="auto"/>
        <w:left w:val="none" w:sz="0" w:space="0" w:color="auto"/>
        <w:bottom w:val="none" w:sz="0" w:space="0" w:color="auto"/>
        <w:right w:val="none" w:sz="0" w:space="0" w:color="auto"/>
      </w:divBdr>
    </w:div>
    <w:div w:id="949706512">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
    <w:div w:id="988946457">
      <w:bodyDiv w:val="1"/>
      <w:marLeft w:val="0"/>
      <w:marRight w:val="0"/>
      <w:marTop w:val="0"/>
      <w:marBottom w:val="0"/>
      <w:divBdr>
        <w:top w:val="none" w:sz="0" w:space="0" w:color="auto"/>
        <w:left w:val="none" w:sz="0" w:space="0" w:color="auto"/>
        <w:bottom w:val="none" w:sz="0" w:space="0" w:color="auto"/>
        <w:right w:val="none" w:sz="0" w:space="0" w:color="auto"/>
      </w:divBdr>
    </w:div>
    <w:div w:id="996612433">
      <w:bodyDiv w:val="1"/>
      <w:marLeft w:val="0"/>
      <w:marRight w:val="0"/>
      <w:marTop w:val="0"/>
      <w:marBottom w:val="0"/>
      <w:divBdr>
        <w:top w:val="none" w:sz="0" w:space="0" w:color="auto"/>
        <w:left w:val="none" w:sz="0" w:space="0" w:color="auto"/>
        <w:bottom w:val="none" w:sz="0" w:space="0" w:color="auto"/>
        <w:right w:val="none" w:sz="0" w:space="0" w:color="auto"/>
      </w:divBdr>
    </w:div>
    <w:div w:id="1027564925">
      <w:bodyDiv w:val="1"/>
      <w:marLeft w:val="0"/>
      <w:marRight w:val="0"/>
      <w:marTop w:val="0"/>
      <w:marBottom w:val="0"/>
      <w:divBdr>
        <w:top w:val="none" w:sz="0" w:space="0" w:color="auto"/>
        <w:left w:val="none" w:sz="0" w:space="0" w:color="auto"/>
        <w:bottom w:val="none" w:sz="0" w:space="0" w:color="auto"/>
        <w:right w:val="none" w:sz="0" w:space="0" w:color="auto"/>
      </w:divBdr>
    </w:div>
    <w:div w:id="1037969144">
      <w:bodyDiv w:val="1"/>
      <w:marLeft w:val="0"/>
      <w:marRight w:val="0"/>
      <w:marTop w:val="0"/>
      <w:marBottom w:val="0"/>
      <w:divBdr>
        <w:top w:val="none" w:sz="0" w:space="0" w:color="auto"/>
        <w:left w:val="none" w:sz="0" w:space="0" w:color="auto"/>
        <w:bottom w:val="none" w:sz="0" w:space="0" w:color="auto"/>
        <w:right w:val="none" w:sz="0" w:space="0" w:color="auto"/>
      </w:divBdr>
    </w:div>
    <w:div w:id="1089228992">
      <w:bodyDiv w:val="1"/>
      <w:marLeft w:val="0"/>
      <w:marRight w:val="0"/>
      <w:marTop w:val="0"/>
      <w:marBottom w:val="0"/>
      <w:divBdr>
        <w:top w:val="none" w:sz="0" w:space="0" w:color="auto"/>
        <w:left w:val="none" w:sz="0" w:space="0" w:color="auto"/>
        <w:bottom w:val="none" w:sz="0" w:space="0" w:color="auto"/>
        <w:right w:val="none" w:sz="0" w:space="0" w:color="auto"/>
      </w:divBdr>
    </w:div>
    <w:div w:id="1131095343">
      <w:bodyDiv w:val="1"/>
      <w:marLeft w:val="0"/>
      <w:marRight w:val="0"/>
      <w:marTop w:val="0"/>
      <w:marBottom w:val="0"/>
      <w:divBdr>
        <w:top w:val="none" w:sz="0" w:space="0" w:color="auto"/>
        <w:left w:val="none" w:sz="0" w:space="0" w:color="auto"/>
        <w:bottom w:val="none" w:sz="0" w:space="0" w:color="auto"/>
        <w:right w:val="none" w:sz="0" w:space="0" w:color="auto"/>
      </w:divBdr>
      <w:divsChild>
        <w:div w:id="1657148616">
          <w:marLeft w:val="0"/>
          <w:marRight w:val="0"/>
          <w:marTop w:val="0"/>
          <w:marBottom w:val="0"/>
          <w:divBdr>
            <w:top w:val="none" w:sz="0" w:space="0" w:color="auto"/>
            <w:left w:val="none" w:sz="0" w:space="0" w:color="auto"/>
            <w:bottom w:val="none" w:sz="0" w:space="0" w:color="auto"/>
            <w:right w:val="none" w:sz="0" w:space="0" w:color="auto"/>
          </w:divBdr>
          <w:divsChild>
            <w:div w:id="292910921">
              <w:marLeft w:val="0"/>
              <w:marRight w:val="0"/>
              <w:marTop w:val="0"/>
              <w:marBottom w:val="0"/>
              <w:divBdr>
                <w:top w:val="none" w:sz="0" w:space="0" w:color="auto"/>
                <w:left w:val="none" w:sz="0" w:space="0" w:color="auto"/>
                <w:bottom w:val="none" w:sz="0" w:space="0" w:color="auto"/>
                <w:right w:val="none" w:sz="0" w:space="0" w:color="auto"/>
              </w:divBdr>
              <w:divsChild>
                <w:div w:id="11675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8928">
      <w:bodyDiv w:val="1"/>
      <w:marLeft w:val="0"/>
      <w:marRight w:val="0"/>
      <w:marTop w:val="0"/>
      <w:marBottom w:val="0"/>
      <w:divBdr>
        <w:top w:val="none" w:sz="0" w:space="0" w:color="auto"/>
        <w:left w:val="none" w:sz="0" w:space="0" w:color="auto"/>
        <w:bottom w:val="none" w:sz="0" w:space="0" w:color="auto"/>
        <w:right w:val="none" w:sz="0" w:space="0" w:color="auto"/>
      </w:divBdr>
      <w:divsChild>
        <w:div w:id="1566525256">
          <w:marLeft w:val="0"/>
          <w:marRight w:val="0"/>
          <w:marTop w:val="0"/>
          <w:marBottom w:val="0"/>
          <w:divBdr>
            <w:top w:val="none" w:sz="0" w:space="0" w:color="auto"/>
            <w:left w:val="none" w:sz="0" w:space="0" w:color="auto"/>
            <w:bottom w:val="none" w:sz="0" w:space="0" w:color="auto"/>
            <w:right w:val="none" w:sz="0" w:space="0" w:color="auto"/>
          </w:divBdr>
          <w:divsChild>
            <w:div w:id="1254390641">
              <w:marLeft w:val="0"/>
              <w:marRight w:val="0"/>
              <w:marTop w:val="0"/>
              <w:marBottom w:val="0"/>
              <w:divBdr>
                <w:top w:val="none" w:sz="0" w:space="0" w:color="auto"/>
                <w:left w:val="none" w:sz="0" w:space="0" w:color="auto"/>
                <w:bottom w:val="none" w:sz="0" w:space="0" w:color="auto"/>
                <w:right w:val="none" w:sz="0" w:space="0" w:color="auto"/>
              </w:divBdr>
              <w:divsChild>
                <w:div w:id="1730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6415">
      <w:bodyDiv w:val="1"/>
      <w:marLeft w:val="0"/>
      <w:marRight w:val="0"/>
      <w:marTop w:val="0"/>
      <w:marBottom w:val="0"/>
      <w:divBdr>
        <w:top w:val="none" w:sz="0" w:space="0" w:color="auto"/>
        <w:left w:val="none" w:sz="0" w:space="0" w:color="auto"/>
        <w:bottom w:val="none" w:sz="0" w:space="0" w:color="auto"/>
        <w:right w:val="none" w:sz="0" w:space="0" w:color="auto"/>
      </w:divBdr>
    </w:div>
    <w:div w:id="1139179462">
      <w:bodyDiv w:val="1"/>
      <w:marLeft w:val="0"/>
      <w:marRight w:val="0"/>
      <w:marTop w:val="0"/>
      <w:marBottom w:val="0"/>
      <w:divBdr>
        <w:top w:val="none" w:sz="0" w:space="0" w:color="auto"/>
        <w:left w:val="none" w:sz="0" w:space="0" w:color="auto"/>
        <w:bottom w:val="none" w:sz="0" w:space="0" w:color="auto"/>
        <w:right w:val="none" w:sz="0" w:space="0" w:color="auto"/>
      </w:divBdr>
    </w:div>
    <w:div w:id="1142312299">
      <w:bodyDiv w:val="1"/>
      <w:marLeft w:val="0"/>
      <w:marRight w:val="0"/>
      <w:marTop w:val="0"/>
      <w:marBottom w:val="0"/>
      <w:divBdr>
        <w:top w:val="none" w:sz="0" w:space="0" w:color="auto"/>
        <w:left w:val="none" w:sz="0" w:space="0" w:color="auto"/>
        <w:bottom w:val="none" w:sz="0" w:space="0" w:color="auto"/>
        <w:right w:val="none" w:sz="0" w:space="0" w:color="auto"/>
      </w:divBdr>
    </w:div>
    <w:div w:id="1154757998">
      <w:bodyDiv w:val="1"/>
      <w:marLeft w:val="0"/>
      <w:marRight w:val="0"/>
      <w:marTop w:val="0"/>
      <w:marBottom w:val="0"/>
      <w:divBdr>
        <w:top w:val="none" w:sz="0" w:space="0" w:color="auto"/>
        <w:left w:val="none" w:sz="0" w:space="0" w:color="auto"/>
        <w:bottom w:val="none" w:sz="0" w:space="0" w:color="auto"/>
        <w:right w:val="none" w:sz="0" w:space="0" w:color="auto"/>
      </w:divBdr>
    </w:div>
    <w:div w:id="1157845679">
      <w:bodyDiv w:val="1"/>
      <w:marLeft w:val="0"/>
      <w:marRight w:val="0"/>
      <w:marTop w:val="0"/>
      <w:marBottom w:val="0"/>
      <w:divBdr>
        <w:top w:val="none" w:sz="0" w:space="0" w:color="auto"/>
        <w:left w:val="none" w:sz="0" w:space="0" w:color="auto"/>
        <w:bottom w:val="none" w:sz="0" w:space="0" w:color="auto"/>
        <w:right w:val="none" w:sz="0" w:space="0" w:color="auto"/>
      </w:divBdr>
    </w:div>
    <w:div w:id="1206481574">
      <w:bodyDiv w:val="1"/>
      <w:marLeft w:val="0"/>
      <w:marRight w:val="0"/>
      <w:marTop w:val="0"/>
      <w:marBottom w:val="0"/>
      <w:divBdr>
        <w:top w:val="none" w:sz="0" w:space="0" w:color="auto"/>
        <w:left w:val="none" w:sz="0" w:space="0" w:color="auto"/>
        <w:bottom w:val="none" w:sz="0" w:space="0" w:color="auto"/>
        <w:right w:val="none" w:sz="0" w:space="0" w:color="auto"/>
      </w:divBdr>
    </w:div>
    <w:div w:id="1209293039">
      <w:bodyDiv w:val="1"/>
      <w:marLeft w:val="0"/>
      <w:marRight w:val="0"/>
      <w:marTop w:val="0"/>
      <w:marBottom w:val="0"/>
      <w:divBdr>
        <w:top w:val="none" w:sz="0" w:space="0" w:color="auto"/>
        <w:left w:val="none" w:sz="0" w:space="0" w:color="auto"/>
        <w:bottom w:val="none" w:sz="0" w:space="0" w:color="auto"/>
        <w:right w:val="none" w:sz="0" w:space="0" w:color="auto"/>
      </w:divBdr>
    </w:div>
    <w:div w:id="1217663077">
      <w:bodyDiv w:val="1"/>
      <w:marLeft w:val="0"/>
      <w:marRight w:val="0"/>
      <w:marTop w:val="0"/>
      <w:marBottom w:val="0"/>
      <w:divBdr>
        <w:top w:val="none" w:sz="0" w:space="0" w:color="auto"/>
        <w:left w:val="none" w:sz="0" w:space="0" w:color="auto"/>
        <w:bottom w:val="none" w:sz="0" w:space="0" w:color="auto"/>
        <w:right w:val="none" w:sz="0" w:space="0" w:color="auto"/>
      </w:divBdr>
    </w:div>
    <w:div w:id="1242374640">
      <w:bodyDiv w:val="1"/>
      <w:marLeft w:val="0"/>
      <w:marRight w:val="0"/>
      <w:marTop w:val="0"/>
      <w:marBottom w:val="0"/>
      <w:divBdr>
        <w:top w:val="none" w:sz="0" w:space="0" w:color="auto"/>
        <w:left w:val="none" w:sz="0" w:space="0" w:color="auto"/>
        <w:bottom w:val="none" w:sz="0" w:space="0" w:color="auto"/>
        <w:right w:val="none" w:sz="0" w:space="0" w:color="auto"/>
      </w:divBdr>
    </w:div>
    <w:div w:id="1247685039">
      <w:bodyDiv w:val="1"/>
      <w:marLeft w:val="0"/>
      <w:marRight w:val="0"/>
      <w:marTop w:val="0"/>
      <w:marBottom w:val="0"/>
      <w:divBdr>
        <w:top w:val="none" w:sz="0" w:space="0" w:color="auto"/>
        <w:left w:val="none" w:sz="0" w:space="0" w:color="auto"/>
        <w:bottom w:val="none" w:sz="0" w:space="0" w:color="auto"/>
        <w:right w:val="none" w:sz="0" w:space="0" w:color="auto"/>
      </w:divBdr>
      <w:divsChild>
        <w:div w:id="1312564482">
          <w:marLeft w:val="0"/>
          <w:marRight w:val="0"/>
          <w:marTop w:val="0"/>
          <w:marBottom w:val="0"/>
          <w:divBdr>
            <w:top w:val="none" w:sz="0" w:space="0" w:color="auto"/>
            <w:left w:val="none" w:sz="0" w:space="0" w:color="auto"/>
            <w:bottom w:val="none" w:sz="0" w:space="0" w:color="auto"/>
            <w:right w:val="none" w:sz="0" w:space="0" w:color="auto"/>
          </w:divBdr>
          <w:divsChild>
            <w:div w:id="1095249481">
              <w:marLeft w:val="0"/>
              <w:marRight w:val="0"/>
              <w:marTop w:val="0"/>
              <w:marBottom w:val="0"/>
              <w:divBdr>
                <w:top w:val="none" w:sz="0" w:space="0" w:color="auto"/>
                <w:left w:val="none" w:sz="0" w:space="0" w:color="auto"/>
                <w:bottom w:val="none" w:sz="0" w:space="0" w:color="auto"/>
                <w:right w:val="none" w:sz="0" w:space="0" w:color="auto"/>
              </w:divBdr>
              <w:divsChild>
                <w:div w:id="2071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4422">
      <w:bodyDiv w:val="1"/>
      <w:marLeft w:val="0"/>
      <w:marRight w:val="0"/>
      <w:marTop w:val="0"/>
      <w:marBottom w:val="0"/>
      <w:divBdr>
        <w:top w:val="none" w:sz="0" w:space="0" w:color="auto"/>
        <w:left w:val="none" w:sz="0" w:space="0" w:color="auto"/>
        <w:bottom w:val="none" w:sz="0" w:space="0" w:color="auto"/>
        <w:right w:val="none" w:sz="0" w:space="0" w:color="auto"/>
      </w:divBdr>
    </w:div>
    <w:div w:id="1345017156">
      <w:bodyDiv w:val="1"/>
      <w:marLeft w:val="0"/>
      <w:marRight w:val="0"/>
      <w:marTop w:val="0"/>
      <w:marBottom w:val="0"/>
      <w:divBdr>
        <w:top w:val="none" w:sz="0" w:space="0" w:color="auto"/>
        <w:left w:val="none" w:sz="0" w:space="0" w:color="auto"/>
        <w:bottom w:val="none" w:sz="0" w:space="0" w:color="auto"/>
        <w:right w:val="none" w:sz="0" w:space="0" w:color="auto"/>
      </w:divBdr>
    </w:div>
    <w:div w:id="1374648491">
      <w:bodyDiv w:val="1"/>
      <w:marLeft w:val="0"/>
      <w:marRight w:val="0"/>
      <w:marTop w:val="0"/>
      <w:marBottom w:val="0"/>
      <w:divBdr>
        <w:top w:val="none" w:sz="0" w:space="0" w:color="auto"/>
        <w:left w:val="none" w:sz="0" w:space="0" w:color="auto"/>
        <w:bottom w:val="none" w:sz="0" w:space="0" w:color="auto"/>
        <w:right w:val="none" w:sz="0" w:space="0" w:color="auto"/>
      </w:divBdr>
    </w:div>
    <w:div w:id="1389305999">
      <w:bodyDiv w:val="1"/>
      <w:marLeft w:val="0"/>
      <w:marRight w:val="0"/>
      <w:marTop w:val="0"/>
      <w:marBottom w:val="0"/>
      <w:divBdr>
        <w:top w:val="none" w:sz="0" w:space="0" w:color="auto"/>
        <w:left w:val="none" w:sz="0" w:space="0" w:color="auto"/>
        <w:bottom w:val="none" w:sz="0" w:space="0" w:color="auto"/>
        <w:right w:val="none" w:sz="0" w:space="0" w:color="auto"/>
      </w:divBdr>
    </w:div>
    <w:div w:id="1423642389">
      <w:bodyDiv w:val="1"/>
      <w:marLeft w:val="0"/>
      <w:marRight w:val="0"/>
      <w:marTop w:val="0"/>
      <w:marBottom w:val="0"/>
      <w:divBdr>
        <w:top w:val="none" w:sz="0" w:space="0" w:color="auto"/>
        <w:left w:val="none" w:sz="0" w:space="0" w:color="auto"/>
        <w:bottom w:val="none" w:sz="0" w:space="0" w:color="auto"/>
        <w:right w:val="none" w:sz="0" w:space="0" w:color="auto"/>
      </w:divBdr>
    </w:div>
    <w:div w:id="1459951383">
      <w:bodyDiv w:val="1"/>
      <w:marLeft w:val="0"/>
      <w:marRight w:val="0"/>
      <w:marTop w:val="0"/>
      <w:marBottom w:val="0"/>
      <w:divBdr>
        <w:top w:val="none" w:sz="0" w:space="0" w:color="auto"/>
        <w:left w:val="none" w:sz="0" w:space="0" w:color="auto"/>
        <w:bottom w:val="none" w:sz="0" w:space="0" w:color="auto"/>
        <w:right w:val="none" w:sz="0" w:space="0" w:color="auto"/>
      </w:divBdr>
    </w:div>
    <w:div w:id="1480611540">
      <w:bodyDiv w:val="1"/>
      <w:marLeft w:val="0"/>
      <w:marRight w:val="0"/>
      <w:marTop w:val="0"/>
      <w:marBottom w:val="0"/>
      <w:divBdr>
        <w:top w:val="none" w:sz="0" w:space="0" w:color="auto"/>
        <w:left w:val="none" w:sz="0" w:space="0" w:color="auto"/>
        <w:bottom w:val="none" w:sz="0" w:space="0" w:color="auto"/>
        <w:right w:val="none" w:sz="0" w:space="0" w:color="auto"/>
      </w:divBdr>
    </w:div>
    <w:div w:id="1529486244">
      <w:bodyDiv w:val="1"/>
      <w:marLeft w:val="0"/>
      <w:marRight w:val="0"/>
      <w:marTop w:val="0"/>
      <w:marBottom w:val="0"/>
      <w:divBdr>
        <w:top w:val="none" w:sz="0" w:space="0" w:color="auto"/>
        <w:left w:val="none" w:sz="0" w:space="0" w:color="auto"/>
        <w:bottom w:val="none" w:sz="0" w:space="0" w:color="auto"/>
        <w:right w:val="none" w:sz="0" w:space="0" w:color="auto"/>
      </w:divBdr>
    </w:div>
    <w:div w:id="1541743237">
      <w:bodyDiv w:val="1"/>
      <w:marLeft w:val="0"/>
      <w:marRight w:val="0"/>
      <w:marTop w:val="0"/>
      <w:marBottom w:val="0"/>
      <w:divBdr>
        <w:top w:val="none" w:sz="0" w:space="0" w:color="auto"/>
        <w:left w:val="none" w:sz="0" w:space="0" w:color="auto"/>
        <w:bottom w:val="none" w:sz="0" w:space="0" w:color="auto"/>
        <w:right w:val="none" w:sz="0" w:space="0" w:color="auto"/>
      </w:divBdr>
    </w:div>
    <w:div w:id="1567690618">
      <w:bodyDiv w:val="1"/>
      <w:marLeft w:val="0"/>
      <w:marRight w:val="0"/>
      <w:marTop w:val="0"/>
      <w:marBottom w:val="0"/>
      <w:divBdr>
        <w:top w:val="none" w:sz="0" w:space="0" w:color="auto"/>
        <w:left w:val="none" w:sz="0" w:space="0" w:color="auto"/>
        <w:bottom w:val="none" w:sz="0" w:space="0" w:color="auto"/>
        <w:right w:val="none" w:sz="0" w:space="0" w:color="auto"/>
      </w:divBdr>
    </w:div>
    <w:div w:id="1626229240">
      <w:bodyDiv w:val="1"/>
      <w:marLeft w:val="0"/>
      <w:marRight w:val="0"/>
      <w:marTop w:val="0"/>
      <w:marBottom w:val="0"/>
      <w:divBdr>
        <w:top w:val="none" w:sz="0" w:space="0" w:color="auto"/>
        <w:left w:val="none" w:sz="0" w:space="0" w:color="auto"/>
        <w:bottom w:val="none" w:sz="0" w:space="0" w:color="auto"/>
        <w:right w:val="none" w:sz="0" w:space="0" w:color="auto"/>
      </w:divBdr>
      <w:divsChild>
        <w:div w:id="813332684">
          <w:marLeft w:val="0"/>
          <w:marRight w:val="0"/>
          <w:marTop w:val="0"/>
          <w:marBottom w:val="0"/>
          <w:divBdr>
            <w:top w:val="none" w:sz="0" w:space="0" w:color="auto"/>
            <w:left w:val="none" w:sz="0" w:space="0" w:color="auto"/>
            <w:bottom w:val="none" w:sz="0" w:space="0" w:color="auto"/>
            <w:right w:val="none" w:sz="0" w:space="0" w:color="auto"/>
          </w:divBdr>
        </w:div>
        <w:div w:id="1339190422">
          <w:marLeft w:val="0"/>
          <w:marRight w:val="0"/>
          <w:marTop w:val="0"/>
          <w:marBottom w:val="0"/>
          <w:divBdr>
            <w:top w:val="none" w:sz="0" w:space="0" w:color="auto"/>
            <w:left w:val="none" w:sz="0" w:space="0" w:color="auto"/>
            <w:bottom w:val="none" w:sz="0" w:space="0" w:color="auto"/>
            <w:right w:val="none" w:sz="0" w:space="0" w:color="auto"/>
          </w:divBdr>
        </w:div>
      </w:divsChild>
    </w:div>
    <w:div w:id="1628731015">
      <w:bodyDiv w:val="1"/>
      <w:marLeft w:val="0"/>
      <w:marRight w:val="0"/>
      <w:marTop w:val="0"/>
      <w:marBottom w:val="0"/>
      <w:divBdr>
        <w:top w:val="none" w:sz="0" w:space="0" w:color="auto"/>
        <w:left w:val="none" w:sz="0" w:space="0" w:color="auto"/>
        <w:bottom w:val="none" w:sz="0" w:space="0" w:color="auto"/>
        <w:right w:val="none" w:sz="0" w:space="0" w:color="auto"/>
      </w:divBdr>
      <w:divsChild>
        <w:div w:id="451050580">
          <w:marLeft w:val="288"/>
          <w:marRight w:val="0"/>
          <w:marTop w:val="96"/>
          <w:marBottom w:val="0"/>
          <w:divBdr>
            <w:top w:val="none" w:sz="0" w:space="0" w:color="auto"/>
            <w:left w:val="none" w:sz="0" w:space="0" w:color="auto"/>
            <w:bottom w:val="none" w:sz="0" w:space="0" w:color="auto"/>
            <w:right w:val="none" w:sz="0" w:space="0" w:color="auto"/>
          </w:divBdr>
        </w:div>
      </w:divsChild>
    </w:div>
    <w:div w:id="1637686496">
      <w:bodyDiv w:val="1"/>
      <w:marLeft w:val="0"/>
      <w:marRight w:val="0"/>
      <w:marTop w:val="0"/>
      <w:marBottom w:val="0"/>
      <w:divBdr>
        <w:top w:val="none" w:sz="0" w:space="0" w:color="auto"/>
        <w:left w:val="none" w:sz="0" w:space="0" w:color="auto"/>
        <w:bottom w:val="none" w:sz="0" w:space="0" w:color="auto"/>
        <w:right w:val="none" w:sz="0" w:space="0" w:color="auto"/>
      </w:divBdr>
    </w:div>
    <w:div w:id="1661078321">
      <w:bodyDiv w:val="1"/>
      <w:marLeft w:val="0"/>
      <w:marRight w:val="0"/>
      <w:marTop w:val="0"/>
      <w:marBottom w:val="0"/>
      <w:divBdr>
        <w:top w:val="none" w:sz="0" w:space="0" w:color="auto"/>
        <w:left w:val="none" w:sz="0" w:space="0" w:color="auto"/>
        <w:bottom w:val="none" w:sz="0" w:space="0" w:color="auto"/>
        <w:right w:val="none" w:sz="0" w:space="0" w:color="auto"/>
      </w:divBdr>
    </w:div>
    <w:div w:id="1708141869">
      <w:bodyDiv w:val="1"/>
      <w:marLeft w:val="0"/>
      <w:marRight w:val="0"/>
      <w:marTop w:val="0"/>
      <w:marBottom w:val="0"/>
      <w:divBdr>
        <w:top w:val="none" w:sz="0" w:space="0" w:color="auto"/>
        <w:left w:val="none" w:sz="0" w:space="0" w:color="auto"/>
        <w:bottom w:val="none" w:sz="0" w:space="0" w:color="auto"/>
        <w:right w:val="none" w:sz="0" w:space="0" w:color="auto"/>
      </w:divBdr>
    </w:div>
    <w:div w:id="1717271297">
      <w:bodyDiv w:val="1"/>
      <w:marLeft w:val="0"/>
      <w:marRight w:val="0"/>
      <w:marTop w:val="0"/>
      <w:marBottom w:val="0"/>
      <w:divBdr>
        <w:top w:val="none" w:sz="0" w:space="0" w:color="auto"/>
        <w:left w:val="none" w:sz="0" w:space="0" w:color="auto"/>
        <w:bottom w:val="none" w:sz="0" w:space="0" w:color="auto"/>
        <w:right w:val="none" w:sz="0" w:space="0" w:color="auto"/>
      </w:divBdr>
    </w:div>
    <w:div w:id="1737629909">
      <w:bodyDiv w:val="1"/>
      <w:marLeft w:val="0"/>
      <w:marRight w:val="0"/>
      <w:marTop w:val="0"/>
      <w:marBottom w:val="0"/>
      <w:divBdr>
        <w:top w:val="none" w:sz="0" w:space="0" w:color="auto"/>
        <w:left w:val="none" w:sz="0" w:space="0" w:color="auto"/>
        <w:bottom w:val="none" w:sz="0" w:space="0" w:color="auto"/>
        <w:right w:val="none" w:sz="0" w:space="0" w:color="auto"/>
      </w:divBdr>
      <w:divsChild>
        <w:div w:id="920219905">
          <w:marLeft w:val="0"/>
          <w:marRight w:val="0"/>
          <w:marTop w:val="0"/>
          <w:marBottom w:val="0"/>
          <w:divBdr>
            <w:top w:val="none" w:sz="0" w:space="0" w:color="auto"/>
            <w:left w:val="none" w:sz="0" w:space="0" w:color="auto"/>
            <w:bottom w:val="none" w:sz="0" w:space="0" w:color="auto"/>
            <w:right w:val="none" w:sz="0" w:space="0" w:color="auto"/>
          </w:divBdr>
          <w:divsChild>
            <w:div w:id="1848515581">
              <w:marLeft w:val="0"/>
              <w:marRight w:val="0"/>
              <w:marTop w:val="0"/>
              <w:marBottom w:val="0"/>
              <w:divBdr>
                <w:top w:val="none" w:sz="0" w:space="0" w:color="auto"/>
                <w:left w:val="none" w:sz="0" w:space="0" w:color="auto"/>
                <w:bottom w:val="none" w:sz="0" w:space="0" w:color="auto"/>
                <w:right w:val="none" w:sz="0" w:space="0" w:color="auto"/>
              </w:divBdr>
              <w:divsChild>
                <w:div w:id="17789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4118">
      <w:bodyDiv w:val="1"/>
      <w:marLeft w:val="0"/>
      <w:marRight w:val="0"/>
      <w:marTop w:val="0"/>
      <w:marBottom w:val="0"/>
      <w:divBdr>
        <w:top w:val="none" w:sz="0" w:space="0" w:color="auto"/>
        <w:left w:val="none" w:sz="0" w:space="0" w:color="auto"/>
        <w:bottom w:val="none" w:sz="0" w:space="0" w:color="auto"/>
        <w:right w:val="none" w:sz="0" w:space="0" w:color="auto"/>
      </w:divBdr>
    </w:div>
    <w:div w:id="1798141432">
      <w:bodyDiv w:val="1"/>
      <w:marLeft w:val="0"/>
      <w:marRight w:val="0"/>
      <w:marTop w:val="0"/>
      <w:marBottom w:val="0"/>
      <w:divBdr>
        <w:top w:val="none" w:sz="0" w:space="0" w:color="auto"/>
        <w:left w:val="none" w:sz="0" w:space="0" w:color="auto"/>
        <w:bottom w:val="none" w:sz="0" w:space="0" w:color="auto"/>
        <w:right w:val="none" w:sz="0" w:space="0" w:color="auto"/>
      </w:divBdr>
    </w:div>
    <w:div w:id="1842576459">
      <w:bodyDiv w:val="1"/>
      <w:marLeft w:val="0"/>
      <w:marRight w:val="0"/>
      <w:marTop w:val="0"/>
      <w:marBottom w:val="0"/>
      <w:divBdr>
        <w:top w:val="none" w:sz="0" w:space="0" w:color="auto"/>
        <w:left w:val="none" w:sz="0" w:space="0" w:color="auto"/>
        <w:bottom w:val="none" w:sz="0" w:space="0" w:color="auto"/>
        <w:right w:val="none" w:sz="0" w:space="0" w:color="auto"/>
      </w:divBdr>
    </w:div>
    <w:div w:id="1952274158">
      <w:bodyDiv w:val="1"/>
      <w:marLeft w:val="0"/>
      <w:marRight w:val="0"/>
      <w:marTop w:val="0"/>
      <w:marBottom w:val="0"/>
      <w:divBdr>
        <w:top w:val="none" w:sz="0" w:space="0" w:color="auto"/>
        <w:left w:val="none" w:sz="0" w:space="0" w:color="auto"/>
        <w:bottom w:val="none" w:sz="0" w:space="0" w:color="auto"/>
        <w:right w:val="none" w:sz="0" w:space="0" w:color="auto"/>
      </w:divBdr>
    </w:div>
    <w:div w:id="1954481775">
      <w:bodyDiv w:val="1"/>
      <w:marLeft w:val="0"/>
      <w:marRight w:val="0"/>
      <w:marTop w:val="0"/>
      <w:marBottom w:val="0"/>
      <w:divBdr>
        <w:top w:val="none" w:sz="0" w:space="0" w:color="auto"/>
        <w:left w:val="none" w:sz="0" w:space="0" w:color="auto"/>
        <w:bottom w:val="none" w:sz="0" w:space="0" w:color="auto"/>
        <w:right w:val="none" w:sz="0" w:space="0" w:color="auto"/>
      </w:divBdr>
    </w:div>
    <w:div w:id="1964460985">
      <w:bodyDiv w:val="1"/>
      <w:marLeft w:val="0"/>
      <w:marRight w:val="0"/>
      <w:marTop w:val="0"/>
      <w:marBottom w:val="0"/>
      <w:divBdr>
        <w:top w:val="none" w:sz="0" w:space="0" w:color="auto"/>
        <w:left w:val="none" w:sz="0" w:space="0" w:color="auto"/>
        <w:bottom w:val="none" w:sz="0" w:space="0" w:color="auto"/>
        <w:right w:val="none" w:sz="0" w:space="0" w:color="auto"/>
      </w:divBdr>
    </w:div>
    <w:div w:id="1974216863">
      <w:bodyDiv w:val="1"/>
      <w:marLeft w:val="0"/>
      <w:marRight w:val="0"/>
      <w:marTop w:val="0"/>
      <w:marBottom w:val="0"/>
      <w:divBdr>
        <w:top w:val="none" w:sz="0" w:space="0" w:color="auto"/>
        <w:left w:val="none" w:sz="0" w:space="0" w:color="auto"/>
        <w:bottom w:val="none" w:sz="0" w:space="0" w:color="auto"/>
        <w:right w:val="none" w:sz="0" w:space="0" w:color="auto"/>
      </w:divBdr>
    </w:div>
    <w:div w:id="1976373826">
      <w:bodyDiv w:val="1"/>
      <w:marLeft w:val="0"/>
      <w:marRight w:val="0"/>
      <w:marTop w:val="0"/>
      <w:marBottom w:val="0"/>
      <w:divBdr>
        <w:top w:val="none" w:sz="0" w:space="0" w:color="auto"/>
        <w:left w:val="none" w:sz="0" w:space="0" w:color="auto"/>
        <w:bottom w:val="none" w:sz="0" w:space="0" w:color="auto"/>
        <w:right w:val="none" w:sz="0" w:space="0" w:color="auto"/>
      </w:divBdr>
    </w:div>
    <w:div w:id="1982270292">
      <w:bodyDiv w:val="1"/>
      <w:marLeft w:val="0"/>
      <w:marRight w:val="0"/>
      <w:marTop w:val="0"/>
      <w:marBottom w:val="0"/>
      <w:divBdr>
        <w:top w:val="none" w:sz="0" w:space="0" w:color="auto"/>
        <w:left w:val="none" w:sz="0" w:space="0" w:color="auto"/>
        <w:bottom w:val="none" w:sz="0" w:space="0" w:color="auto"/>
        <w:right w:val="none" w:sz="0" w:space="0" w:color="auto"/>
      </w:divBdr>
    </w:div>
    <w:div w:id="2057657212">
      <w:bodyDiv w:val="1"/>
      <w:marLeft w:val="0"/>
      <w:marRight w:val="0"/>
      <w:marTop w:val="0"/>
      <w:marBottom w:val="0"/>
      <w:divBdr>
        <w:top w:val="none" w:sz="0" w:space="0" w:color="auto"/>
        <w:left w:val="none" w:sz="0" w:space="0" w:color="auto"/>
        <w:bottom w:val="none" w:sz="0" w:space="0" w:color="auto"/>
        <w:right w:val="none" w:sz="0" w:space="0" w:color="auto"/>
      </w:divBdr>
    </w:div>
    <w:div w:id="2067794742">
      <w:bodyDiv w:val="1"/>
      <w:marLeft w:val="0"/>
      <w:marRight w:val="0"/>
      <w:marTop w:val="0"/>
      <w:marBottom w:val="0"/>
      <w:divBdr>
        <w:top w:val="none" w:sz="0" w:space="0" w:color="auto"/>
        <w:left w:val="none" w:sz="0" w:space="0" w:color="auto"/>
        <w:bottom w:val="none" w:sz="0" w:space="0" w:color="auto"/>
        <w:right w:val="none" w:sz="0" w:space="0" w:color="auto"/>
      </w:divBdr>
      <w:divsChild>
        <w:div w:id="1322393802">
          <w:marLeft w:val="0"/>
          <w:marRight w:val="0"/>
          <w:marTop w:val="0"/>
          <w:marBottom w:val="0"/>
          <w:divBdr>
            <w:top w:val="none" w:sz="0" w:space="0" w:color="auto"/>
            <w:left w:val="none" w:sz="0" w:space="0" w:color="auto"/>
            <w:bottom w:val="none" w:sz="0" w:space="0" w:color="auto"/>
            <w:right w:val="none" w:sz="0" w:space="0" w:color="auto"/>
          </w:divBdr>
          <w:divsChild>
            <w:div w:id="1242132737">
              <w:marLeft w:val="0"/>
              <w:marRight w:val="0"/>
              <w:marTop w:val="0"/>
              <w:marBottom w:val="0"/>
              <w:divBdr>
                <w:top w:val="none" w:sz="0" w:space="0" w:color="auto"/>
                <w:left w:val="none" w:sz="0" w:space="0" w:color="auto"/>
                <w:bottom w:val="none" w:sz="0" w:space="0" w:color="auto"/>
                <w:right w:val="none" w:sz="0" w:space="0" w:color="auto"/>
              </w:divBdr>
              <w:divsChild>
                <w:div w:id="8191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lam@duke-nus.edu.sg" TargetMode="External"/><Relationship Id="rId13" Type="http://schemas.openxmlformats.org/officeDocument/2006/relationships/hyperlink" Target="mailto:jotaro3791@gmail.com" TargetMode="External"/><Relationship Id="rId18" Type="http://schemas.openxmlformats.org/officeDocument/2006/relationships/hyperlink" Target="mailto:swparkmd@gmail.co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wshimizu@nms.ac.jp" TargetMode="External"/><Relationship Id="rId7" Type="http://schemas.openxmlformats.org/officeDocument/2006/relationships/endnotes" Target="endnotes.xml"/><Relationship Id="rId12" Type="http://schemas.openxmlformats.org/officeDocument/2006/relationships/hyperlink" Target="mailto:anand001@umn.edu" TargetMode="External"/><Relationship Id="rId17" Type="http://schemas.openxmlformats.org/officeDocument/2006/relationships/hyperlink" Target="mailto:tachaponis.nga@mahidol.ac.th"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calambur@hotmail.com" TargetMode="External"/><Relationship Id="rId20" Type="http://schemas.openxmlformats.org/officeDocument/2006/relationships/hyperlink" Target="mailto:bambbs@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yn.lam@duke-nus.edu.sg"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hbliew22@gmail.co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mailto:mdcarthu@nus.edu.sg" TargetMode="External"/><Relationship Id="rId19" Type="http://schemas.openxmlformats.org/officeDocument/2006/relationships/hyperlink" Target="mailto:eugenereyes@yaho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eng_hsi_ling@nuhs.edu.sg" TargetMode="External"/><Relationship Id="rId22" Type="http://schemas.openxmlformats.org/officeDocument/2006/relationships/hyperlink" Target="mailto:zsfuwai@vip.163.com"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170C-7D28-489F-A304-C8B09A7B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48</Pages>
  <Words>54513</Words>
  <Characters>299827</Characters>
  <Application>Microsoft Office Word</Application>
  <DocSecurity>0</DocSecurity>
  <Lines>2498</Lines>
  <Paragraphs>707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Universitair Medisch Centrum Groningen</Company>
  <LinksUpToDate>false</LinksUpToDate>
  <CharactersWithSpaces>353633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Voors, AA (thorax)</dc:creator>
  <cp:keywords/>
  <dc:description/>
  <cp:lastModifiedBy>Erwan BOZEC</cp:lastModifiedBy>
  <cp:revision>12</cp:revision>
  <cp:lastPrinted>2016-06-06T06:48:00Z</cp:lastPrinted>
  <dcterms:created xsi:type="dcterms:W3CDTF">2020-04-08T01:35:00Z</dcterms:created>
  <dcterms:modified xsi:type="dcterms:W3CDTF">2022-07-11T13:40:00Z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2016-02-08T00:00:00Z</vt:filetime>
  </property>
  <property fmtid="{D5CDD505-2E9C-101B-9397-08002B2CF9AE}" pid="4" name="Mendeley Document_1">
    <vt:lpwstr>True</vt:lpwstr>
  </property>
  <property fmtid="{D5CDD505-2E9C-101B-9397-08002B2CF9AE}" pid="5" name="Mendeley Citation Style_1">
    <vt:lpwstr>http://www.zotero.org/styles/european-heart-journal</vt:lpwstr>
  </property>
  <property fmtid="{D5CDD505-2E9C-101B-9397-08002B2CF9AE}" pid="6" name="Mendeley Unique User Id_1">
    <vt:lpwstr>7d64224c-af1d-39c6-8ca1-edb936c64dad</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http://www.zotero.org/styles/european-heart-journal</vt:lpwstr>
  </property>
  <property fmtid="{D5CDD505-2E9C-101B-9397-08002B2CF9AE}" pid="16" name="Mendeley Recent Style Name 4_1">
    <vt:lpwstr>European Heart Journal</vt:lpwstr>
  </property>
  <property fmtid="{D5CDD505-2E9C-101B-9397-08002B2CF9AE}" pid="17" name="Mendeley Recent Style Id 5_1">
    <vt:lpwstr>http://www.zotero.org/styles/european-journal-of-heart-failure</vt:lpwstr>
  </property>
  <property fmtid="{D5CDD505-2E9C-101B-9397-08002B2CF9AE}" pid="18" name="Mendeley Recent Style Name 5_1">
    <vt:lpwstr>European Journal of Heart Failure</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http://www.zotero.org/styles/the-lancet-oncology</vt:lpwstr>
  </property>
  <property fmtid="{D5CDD505-2E9C-101B-9397-08002B2CF9AE}" pid="26" name="Mendeley Recent Style Name 9_1">
    <vt:lpwstr>The Lancet Oncology</vt:lpwstr>
  </property>
</Properties>
</file>