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31173" w14:textId="77777777" w:rsidR="00A878EE" w:rsidRDefault="00A878EE" w:rsidP="007C7BD2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32D149A9" w14:textId="77777777" w:rsidR="00A878EE" w:rsidRPr="0064049C" w:rsidRDefault="003D2D12" w:rsidP="00A878EE">
      <w:pPr>
        <w:pStyle w:val="Sansinterligne"/>
        <w:spacing w:line="480" w:lineRule="auto"/>
        <w:ind w:left="2880" w:hanging="288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APPENDIX</w:t>
      </w:r>
    </w:p>
    <w:p w14:paraId="2203ACEA" w14:textId="77777777" w:rsidR="00A878EE" w:rsidRPr="00CB20D9" w:rsidRDefault="00A878EE" w:rsidP="008F0292">
      <w:pPr>
        <w:pStyle w:val="Sansinterligne"/>
        <w:spacing w:line="480" w:lineRule="auto"/>
        <w:jc w:val="both"/>
        <w:rPr>
          <w:rFonts w:cstheme="minorHAnsi"/>
          <w:bCs/>
          <w:sz w:val="24"/>
          <w:szCs w:val="24"/>
        </w:rPr>
      </w:pPr>
    </w:p>
    <w:p w14:paraId="020D62A8" w14:textId="77777777" w:rsidR="00A878EE" w:rsidRDefault="00A878EE" w:rsidP="00A878E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Supplemental Table I</w:t>
      </w:r>
      <w:r w:rsidRPr="00AD7FB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AD7FB3">
        <w:rPr>
          <w:rFonts w:asciiTheme="minorHAnsi" w:hAnsiTheme="minorHAnsi" w:cstheme="minorHAnsi"/>
          <w:sz w:val="24"/>
          <w:szCs w:val="24"/>
        </w:rPr>
        <w:t>Additional baseline characteristics according to COPD status (EMPHASIS-HF only)</w:t>
      </w:r>
    </w:p>
    <w:p w14:paraId="568E6BBF" w14:textId="77777777" w:rsidR="00C704C2" w:rsidRDefault="00C704C2" w:rsidP="00F72ED4">
      <w:pPr>
        <w:spacing w:before="24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Supplemental Table II: </w:t>
      </w:r>
      <w:r w:rsidR="000C3691" w:rsidRPr="000C3691">
        <w:rPr>
          <w:rFonts w:asciiTheme="minorHAnsi" w:hAnsiTheme="minorHAnsi" w:cstheme="minorHAnsi"/>
          <w:sz w:val="24"/>
          <w:szCs w:val="24"/>
        </w:rPr>
        <w:t>Event rate (per 100 patient-years) and risk of study endpoints accor</w:t>
      </w:r>
      <w:r w:rsidR="000C3691">
        <w:rPr>
          <w:rFonts w:asciiTheme="minorHAnsi" w:hAnsiTheme="minorHAnsi" w:cstheme="minorHAnsi"/>
          <w:sz w:val="24"/>
          <w:szCs w:val="24"/>
        </w:rPr>
        <w:t>ding to COPD status (RALES</w:t>
      </w:r>
      <w:r w:rsidR="000C3691" w:rsidRPr="000C3691">
        <w:rPr>
          <w:rFonts w:asciiTheme="minorHAnsi" w:hAnsiTheme="minorHAnsi" w:cstheme="minorHAnsi"/>
          <w:sz w:val="24"/>
          <w:szCs w:val="24"/>
        </w:rPr>
        <w:t xml:space="preserve"> only)</w:t>
      </w:r>
    </w:p>
    <w:p w14:paraId="30C85861" w14:textId="77777777" w:rsidR="00C704C2" w:rsidRPr="000C3691" w:rsidRDefault="00C704C2" w:rsidP="00F72ED4">
      <w:pPr>
        <w:spacing w:before="24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Supplemental Table III: </w:t>
      </w:r>
      <w:r w:rsidR="000C3691" w:rsidRPr="000C3691">
        <w:rPr>
          <w:rFonts w:asciiTheme="minorHAnsi" w:hAnsiTheme="minorHAnsi" w:cstheme="minorHAnsi"/>
          <w:sz w:val="24"/>
          <w:szCs w:val="24"/>
        </w:rPr>
        <w:t>Event rate (per 100 patient-years) and risk of study endpoints according to COPD status (EMPHASIS-HF only)</w:t>
      </w:r>
    </w:p>
    <w:p w14:paraId="10F3517D" w14:textId="77777777" w:rsidR="00C704C2" w:rsidRDefault="00C704C2" w:rsidP="00F72ED4">
      <w:pPr>
        <w:spacing w:before="24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Supplemental Table IV: </w:t>
      </w:r>
      <w:r w:rsidR="00315A62" w:rsidRPr="00315A62">
        <w:rPr>
          <w:rFonts w:cs="Calibri"/>
          <w:iCs/>
          <w:kern w:val="2"/>
          <w:sz w:val="24"/>
          <w:szCs w:val="24"/>
          <w:lang w:eastAsia="ja-JP"/>
        </w:rPr>
        <w:t>Clinical outcomes and treatment effect according to COPD status (MRA vs placebo event rates and hazard ratios with 95% confidence interval) –</w:t>
      </w:r>
      <w:r w:rsidR="00315A62">
        <w:rPr>
          <w:rFonts w:cs="Calibri"/>
          <w:iCs/>
          <w:kern w:val="2"/>
          <w:sz w:val="24"/>
          <w:szCs w:val="24"/>
          <w:lang w:eastAsia="ja-JP"/>
        </w:rPr>
        <w:t xml:space="preserve"> RALES</w:t>
      </w:r>
      <w:r w:rsidR="00315A62" w:rsidRPr="00315A62">
        <w:rPr>
          <w:rFonts w:cs="Calibri"/>
          <w:iCs/>
          <w:kern w:val="2"/>
          <w:sz w:val="24"/>
          <w:szCs w:val="24"/>
          <w:lang w:eastAsia="ja-JP"/>
        </w:rPr>
        <w:t xml:space="preserve"> only</w:t>
      </w:r>
    </w:p>
    <w:p w14:paraId="6189F07D" w14:textId="77777777" w:rsidR="00F72ED4" w:rsidRDefault="00C704C2" w:rsidP="00F72ED4">
      <w:pPr>
        <w:spacing w:before="24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Supplemental Table V: </w:t>
      </w:r>
      <w:r w:rsidR="00315A62" w:rsidRPr="00315A62">
        <w:rPr>
          <w:rFonts w:asciiTheme="minorHAnsi" w:hAnsiTheme="minorHAnsi" w:cstheme="minorHAnsi"/>
          <w:sz w:val="24"/>
          <w:szCs w:val="24"/>
        </w:rPr>
        <w:t>Clinical outcomes and treatment effect according to COPD status (MRA vs placebo event rates and hazard ratios with 95% confidence interval) – EMPHASIS-HF only</w:t>
      </w:r>
      <w:r w:rsidR="00315A62" w:rsidRPr="00315A6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BFF9CAE" w14:textId="77777777" w:rsidR="00F25EF1" w:rsidRDefault="00F25EF1" w:rsidP="00E54DBB">
      <w:pPr>
        <w:spacing w:before="240" w:line="480" w:lineRule="auto"/>
        <w:rPr>
          <w:b/>
          <w:sz w:val="24"/>
          <w:szCs w:val="24"/>
        </w:rPr>
      </w:pPr>
      <w:r w:rsidRPr="00EC2C11">
        <w:rPr>
          <w:b/>
          <w:sz w:val="24"/>
          <w:szCs w:val="24"/>
        </w:rPr>
        <w:t xml:space="preserve">Supplemental </w:t>
      </w:r>
      <w:r>
        <w:rPr>
          <w:b/>
          <w:sz w:val="24"/>
          <w:szCs w:val="24"/>
        </w:rPr>
        <w:t>Figure</w:t>
      </w:r>
      <w:r w:rsidRPr="00EC2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Pr="00EC2C11">
        <w:rPr>
          <w:b/>
          <w:sz w:val="24"/>
          <w:szCs w:val="24"/>
        </w:rPr>
        <w:t xml:space="preserve">: </w:t>
      </w:r>
      <w:r w:rsidRPr="00F25EF1">
        <w:rPr>
          <w:sz w:val="24"/>
          <w:szCs w:val="24"/>
        </w:rPr>
        <w:t>Causes of non-cardiovascular death in patients with and without COPD (RALES and EMPHASIS-HF combined)</w:t>
      </w:r>
    </w:p>
    <w:p w14:paraId="03DBE193" w14:textId="77777777" w:rsidR="00A878EE" w:rsidRDefault="00A878EE" w:rsidP="00A878EE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69890A" w14:textId="77777777" w:rsidR="005D2B6B" w:rsidRDefault="005D2B6B" w:rsidP="00A878EE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BB06CB" w14:textId="77777777" w:rsidR="005D2B6B" w:rsidRDefault="005D2B6B" w:rsidP="00A878EE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008280" w14:textId="77777777" w:rsidR="005D2B6B" w:rsidRDefault="005D2B6B" w:rsidP="00A878EE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D790A2" w14:textId="7FE60E39" w:rsidR="005D2B6B" w:rsidRDefault="005D2B6B" w:rsidP="00A878EE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D45E68" w14:textId="77777777" w:rsidR="005D2B6B" w:rsidRDefault="005D2B6B" w:rsidP="00A878EE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6736A787" w14:textId="77777777" w:rsidR="00A878EE" w:rsidRDefault="00A878EE" w:rsidP="00A878EE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36C5C787" w14:textId="77777777" w:rsidR="00E90789" w:rsidRDefault="00E90789" w:rsidP="00A878EE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5C844595" w14:textId="77777777" w:rsidR="008F0292" w:rsidRDefault="008F0292" w:rsidP="008F0292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tbl>
      <w:tblPr>
        <w:tblStyle w:val="Tableausimple4"/>
        <w:tblW w:w="9517" w:type="dxa"/>
        <w:tblLook w:val="04A0" w:firstRow="1" w:lastRow="0" w:firstColumn="1" w:lastColumn="0" w:noHBand="0" w:noVBand="1"/>
      </w:tblPr>
      <w:tblGrid>
        <w:gridCol w:w="2440"/>
        <w:gridCol w:w="1888"/>
        <w:gridCol w:w="1886"/>
        <w:gridCol w:w="1879"/>
        <w:gridCol w:w="1424"/>
      </w:tblGrid>
      <w:tr w:rsidR="008F0292" w14:paraId="75A07FB2" w14:textId="77777777" w:rsidTr="00AA5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7" w:type="dxa"/>
            <w:gridSpan w:val="5"/>
            <w:hideMark/>
          </w:tcPr>
          <w:p w14:paraId="596E402A" w14:textId="77777777" w:rsidR="008F0292" w:rsidRPr="00CF2457" w:rsidRDefault="008F0292" w:rsidP="00AA5D97">
            <w:pPr>
              <w:widowControl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Supplemental Table I</w:t>
            </w:r>
            <w:r w:rsidRPr="00CF2457">
              <w:rPr>
                <w:rFonts w:cs="Calibri"/>
                <w:sz w:val="24"/>
                <w:szCs w:val="24"/>
              </w:rPr>
              <w:t>: Additional baseline characteristics according to COPD status (EMPHASIS-HF only)</w:t>
            </w:r>
          </w:p>
        </w:tc>
      </w:tr>
      <w:tr w:rsidR="008F0292" w:rsidRPr="003462F4" w14:paraId="210585E4" w14:textId="77777777" w:rsidTr="00AA5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294FB3D8" w14:textId="77777777" w:rsidR="008F0292" w:rsidRPr="003462F4" w:rsidRDefault="008F0292" w:rsidP="00AA5D97">
            <w:pPr>
              <w:widowControl w:val="0"/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hideMark/>
          </w:tcPr>
          <w:p w14:paraId="71B339C3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b/>
                <w:sz w:val="24"/>
                <w:szCs w:val="24"/>
              </w:rPr>
              <w:t>All Patients</w:t>
            </w:r>
          </w:p>
        </w:tc>
        <w:tc>
          <w:tcPr>
            <w:tcW w:w="1886" w:type="dxa"/>
            <w:hideMark/>
          </w:tcPr>
          <w:p w14:paraId="03BBD4F2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b/>
                <w:sz w:val="24"/>
                <w:szCs w:val="24"/>
              </w:rPr>
              <w:t>Without COPD</w:t>
            </w:r>
          </w:p>
        </w:tc>
        <w:tc>
          <w:tcPr>
            <w:tcW w:w="1879" w:type="dxa"/>
            <w:hideMark/>
          </w:tcPr>
          <w:p w14:paraId="57E4F8FE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 w:rsidRPr="003462F4">
              <w:rPr>
                <w:rFonts w:cs="Calibri"/>
                <w:b/>
                <w:bCs/>
                <w:sz w:val="24"/>
                <w:szCs w:val="24"/>
              </w:rPr>
              <w:t>With COPD</w:t>
            </w:r>
          </w:p>
        </w:tc>
        <w:tc>
          <w:tcPr>
            <w:tcW w:w="0" w:type="auto"/>
            <w:hideMark/>
          </w:tcPr>
          <w:p w14:paraId="06310124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P</w:t>
            </w:r>
            <w:r w:rsidRPr="003462F4">
              <w:rPr>
                <w:rFonts w:cs="Calibri"/>
                <w:b/>
                <w:sz w:val="24"/>
                <w:szCs w:val="24"/>
              </w:rPr>
              <w:t>-value</w:t>
            </w:r>
          </w:p>
        </w:tc>
      </w:tr>
      <w:tr w:rsidR="008F0292" w:rsidRPr="003462F4" w14:paraId="629CD4FC" w14:textId="77777777" w:rsidTr="00AA5D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14:paraId="6BEE3E10" w14:textId="77777777" w:rsidR="008F0292" w:rsidRPr="003462F4" w:rsidRDefault="008F0292" w:rsidP="00AA5D97">
            <w:pPr>
              <w:widowControl w:val="0"/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88" w:type="dxa"/>
            <w:hideMark/>
          </w:tcPr>
          <w:p w14:paraId="2DCFDB88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b/>
                <w:sz w:val="24"/>
                <w:szCs w:val="24"/>
              </w:rPr>
              <w:t>(N=2737)*</w:t>
            </w:r>
          </w:p>
        </w:tc>
        <w:tc>
          <w:tcPr>
            <w:tcW w:w="1886" w:type="dxa"/>
            <w:hideMark/>
          </w:tcPr>
          <w:p w14:paraId="1A25C3A7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b/>
                <w:sz w:val="24"/>
                <w:szCs w:val="24"/>
              </w:rPr>
              <w:t>(N=2343)</w:t>
            </w:r>
          </w:p>
        </w:tc>
        <w:tc>
          <w:tcPr>
            <w:tcW w:w="1879" w:type="dxa"/>
            <w:hideMark/>
          </w:tcPr>
          <w:p w14:paraId="35CFAFF1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 w:rsidRPr="003462F4">
              <w:rPr>
                <w:rFonts w:cs="Calibri"/>
                <w:b/>
                <w:sz w:val="24"/>
                <w:szCs w:val="24"/>
              </w:rPr>
              <w:t>(N=391)</w:t>
            </w:r>
          </w:p>
        </w:tc>
        <w:tc>
          <w:tcPr>
            <w:tcW w:w="0" w:type="auto"/>
          </w:tcPr>
          <w:p w14:paraId="7B9D74F5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</w:tr>
      <w:tr w:rsidR="008F0292" w:rsidRPr="003462F4" w14:paraId="760E3399" w14:textId="77777777" w:rsidTr="00AA5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35A3BCA9" w14:textId="77777777" w:rsidR="008F0292" w:rsidRPr="003462F4" w:rsidRDefault="008F0292" w:rsidP="00AA5D97">
            <w:pPr>
              <w:widowControl w:val="0"/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BMI (kg/m</w:t>
            </w:r>
            <w:r w:rsidRPr="003462F4">
              <w:rPr>
                <w:rFonts w:cs="Calibri"/>
                <w:sz w:val="24"/>
                <w:szCs w:val="24"/>
                <w:vertAlign w:val="superscript"/>
              </w:rPr>
              <w:t>2</w:t>
            </w:r>
            <w:r w:rsidRPr="003462F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888" w:type="dxa"/>
            <w:hideMark/>
          </w:tcPr>
          <w:p w14:paraId="6589758F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27.5 ± 4.9</w:t>
            </w:r>
          </w:p>
        </w:tc>
        <w:tc>
          <w:tcPr>
            <w:tcW w:w="1886" w:type="dxa"/>
            <w:hideMark/>
          </w:tcPr>
          <w:p w14:paraId="656FEACE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27.6 ± 4.8</w:t>
            </w:r>
          </w:p>
        </w:tc>
        <w:tc>
          <w:tcPr>
            <w:tcW w:w="1879" w:type="dxa"/>
            <w:hideMark/>
          </w:tcPr>
          <w:p w14:paraId="118FC458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27.4 ± 5.1</w:t>
            </w:r>
          </w:p>
        </w:tc>
        <w:tc>
          <w:tcPr>
            <w:tcW w:w="0" w:type="auto"/>
            <w:hideMark/>
          </w:tcPr>
          <w:p w14:paraId="536C1FD6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0.47</w:t>
            </w:r>
          </w:p>
        </w:tc>
      </w:tr>
      <w:tr w:rsidR="008F0292" w:rsidRPr="003462F4" w14:paraId="6589A675" w14:textId="77777777" w:rsidTr="00AA5D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19DE7323" w14:textId="77777777" w:rsidR="008F0292" w:rsidRPr="003462F4" w:rsidRDefault="008F0292" w:rsidP="00AA5D97">
            <w:pPr>
              <w:widowControl w:val="0"/>
              <w:spacing w:after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BMI Classification</w:t>
            </w:r>
          </w:p>
        </w:tc>
        <w:tc>
          <w:tcPr>
            <w:tcW w:w="1888" w:type="dxa"/>
          </w:tcPr>
          <w:p w14:paraId="05F3D79E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76A369F7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62510F4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70853F6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0.29</w:t>
            </w:r>
          </w:p>
        </w:tc>
      </w:tr>
      <w:tr w:rsidR="008F0292" w:rsidRPr="003462F4" w14:paraId="175BA8B6" w14:textId="77777777" w:rsidTr="00AA5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6CC3C924" w14:textId="77777777" w:rsidR="008F0292" w:rsidRPr="003462F4" w:rsidRDefault="008F0292" w:rsidP="008F0292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Underweight (BMI&lt;18.5)</w:t>
            </w:r>
          </w:p>
        </w:tc>
        <w:tc>
          <w:tcPr>
            <w:tcW w:w="1888" w:type="dxa"/>
            <w:hideMark/>
          </w:tcPr>
          <w:p w14:paraId="2E0866D6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50 (1.8)</w:t>
            </w:r>
          </w:p>
        </w:tc>
        <w:tc>
          <w:tcPr>
            <w:tcW w:w="1886" w:type="dxa"/>
            <w:hideMark/>
          </w:tcPr>
          <w:p w14:paraId="135DE3DB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40 (1.7)</w:t>
            </w:r>
          </w:p>
        </w:tc>
        <w:tc>
          <w:tcPr>
            <w:tcW w:w="1879" w:type="dxa"/>
            <w:hideMark/>
          </w:tcPr>
          <w:p w14:paraId="13FB004F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10 (2.6)</w:t>
            </w:r>
          </w:p>
        </w:tc>
        <w:tc>
          <w:tcPr>
            <w:tcW w:w="0" w:type="auto"/>
          </w:tcPr>
          <w:p w14:paraId="1F478F92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</w:tr>
      <w:tr w:rsidR="008F0292" w:rsidRPr="003462F4" w14:paraId="665B088F" w14:textId="77777777" w:rsidTr="00AA5D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32640B56" w14:textId="77777777" w:rsidR="008F0292" w:rsidRPr="003462F4" w:rsidRDefault="008F0292" w:rsidP="008F0292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Normal weight (BMI 18.5-24.9)</w:t>
            </w:r>
          </w:p>
        </w:tc>
        <w:tc>
          <w:tcPr>
            <w:tcW w:w="1888" w:type="dxa"/>
            <w:hideMark/>
          </w:tcPr>
          <w:p w14:paraId="4313A514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765 (28.1)</w:t>
            </w:r>
          </w:p>
        </w:tc>
        <w:tc>
          <w:tcPr>
            <w:tcW w:w="1886" w:type="dxa"/>
            <w:hideMark/>
          </w:tcPr>
          <w:p w14:paraId="63B0CB00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644 (27.6)</w:t>
            </w:r>
          </w:p>
        </w:tc>
        <w:tc>
          <w:tcPr>
            <w:tcW w:w="1879" w:type="dxa"/>
            <w:hideMark/>
          </w:tcPr>
          <w:p w14:paraId="1068BDEF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121 (31.1)</w:t>
            </w:r>
          </w:p>
        </w:tc>
        <w:tc>
          <w:tcPr>
            <w:tcW w:w="0" w:type="auto"/>
          </w:tcPr>
          <w:p w14:paraId="1D4B21C3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</w:tr>
      <w:tr w:rsidR="008F0292" w:rsidRPr="003462F4" w14:paraId="4827A1A4" w14:textId="77777777" w:rsidTr="00AA5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4D64442B" w14:textId="77777777" w:rsidR="008F0292" w:rsidRPr="003462F4" w:rsidRDefault="008F0292" w:rsidP="008F0292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Overweight (BMI 25-29.9)</w:t>
            </w:r>
          </w:p>
        </w:tc>
        <w:tc>
          <w:tcPr>
            <w:tcW w:w="1888" w:type="dxa"/>
            <w:hideMark/>
          </w:tcPr>
          <w:p w14:paraId="1A9806E1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Pr="003462F4">
              <w:rPr>
                <w:rFonts w:cs="Calibri"/>
                <w:sz w:val="24"/>
                <w:szCs w:val="24"/>
              </w:rPr>
              <w:t>165 (42.8)</w:t>
            </w:r>
          </w:p>
        </w:tc>
        <w:tc>
          <w:tcPr>
            <w:tcW w:w="1886" w:type="dxa"/>
            <w:hideMark/>
          </w:tcPr>
          <w:p w14:paraId="554CB6BC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Pr="003462F4">
              <w:rPr>
                <w:rFonts w:cs="Calibri"/>
                <w:sz w:val="24"/>
                <w:szCs w:val="24"/>
              </w:rPr>
              <w:t>010 (43.3)</w:t>
            </w:r>
          </w:p>
        </w:tc>
        <w:tc>
          <w:tcPr>
            <w:tcW w:w="1879" w:type="dxa"/>
            <w:hideMark/>
          </w:tcPr>
          <w:p w14:paraId="7B0B31B2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155 (39.8)</w:t>
            </w:r>
          </w:p>
        </w:tc>
        <w:tc>
          <w:tcPr>
            <w:tcW w:w="0" w:type="auto"/>
          </w:tcPr>
          <w:p w14:paraId="777E6CFA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</w:tr>
      <w:tr w:rsidR="008F0292" w:rsidRPr="003462F4" w14:paraId="00DE82FC" w14:textId="77777777" w:rsidTr="00AA5D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3370DCEE" w14:textId="77777777" w:rsidR="008F0292" w:rsidRPr="003462F4" w:rsidRDefault="008F0292" w:rsidP="008F0292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Obesity (BMI≥30)</w:t>
            </w:r>
          </w:p>
        </w:tc>
        <w:tc>
          <w:tcPr>
            <w:tcW w:w="1888" w:type="dxa"/>
            <w:hideMark/>
          </w:tcPr>
          <w:p w14:paraId="0BD873D3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 xml:space="preserve">739 (27.2)  </w:t>
            </w:r>
          </w:p>
        </w:tc>
        <w:tc>
          <w:tcPr>
            <w:tcW w:w="1886" w:type="dxa"/>
            <w:hideMark/>
          </w:tcPr>
          <w:p w14:paraId="09E02592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636 (27.3)</w:t>
            </w:r>
          </w:p>
        </w:tc>
        <w:tc>
          <w:tcPr>
            <w:tcW w:w="1879" w:type="dxa"/>
            <w:hideMark/>
          </w:tcPr>
          <w:p w14:paraId="770E0330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103 (26.5)</w:t>
            </w:r>
          </w:p>
        </w:tc>
        <w:tc>
          <w:tcPr>
            <w:tcW w:w="0" w:type="auto"/>
          </w:tcPr>
          <w:p w14:paraId="6F9D4EA2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</w:tr>
      <w:tr w:rsidR="008F0292" w:rsidRPr="003462F4" w14:paraId="558B0AFE" w14:textId="77777777" w:rsidTr="00AA5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7353A0D6" w14:textId="77777777" w:rsidR="008F0292" w:rsidRPr="003462F4" w:rsidRDefault="008F0292" w:rsidP="00AA5D97">
            <w:pPr>
              <w:widowControl w:val="0"/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Smoking status</w:t>
            </w:r>
          </w:p>
        </w:tc>
        <w:tc>
          <w:tcPr>
            <w:tcW w:w="1888" w:type="dxa"/>
          </w:tcPr>
          <w:p w14:paraId="6A4E20C9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524CABBD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2656100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6473A0E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&lt;0.001</w:t>
            </w:r>
          </w:p>
        </w:tc>
      </w:tr>
      <w:tr w:rsidR="008F0292" w:rsidRPr="003462F4" w14:paraId="5718DFE6" w14:textId="77777777" w:rsidTr="00AA5D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52319F4B" w14:textId="77777777" w:rsidR="008F0292" w:rsidRPr="003462F4" w:rsidRDefault="008F0292" w:rsidP="008F0292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Never</w:t>
            </w:r>
          </w:p>
        </w:tc>
        <w:tc>
          <w:tcPr>
            <w:tcW w:w="1888" w:type="dxa"/>
            <w:hideMark/>
          </w:tcPr>
          <w:p w14:paraId="54B8E519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Pr="003462F4">
              <w:rPr>
                <w:rFonts w:cs="Calibri"/>
                <w:sz w:val="24"/>
                <w:szCs w:val="24"/>
              </w:rPr>
              <w:t>222 (44.7)</w:t>
            </w:r>
          </w:p>
        </w:tc>
        <w:tc>
          <w:tcPr>
            <w:tcW w:w="1886" w:type="dxa"/>
            <w:hideMark/>
          </w:tcPr>
          <w:p w14:paraId="5439DCA7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Pr="003462F4">
              <w:rPr>
                <w:rFonts w:cs="Calibri"/>
                <w:sz w:val="24"/>
                <w:szCs w:val="24"/>
              </w:rPr>
              <w:t xml:space="preserve">125 (48.0)  </w:t>
            </w:r>
          </w:p>
        </w:tc>
        <w:tc>
          <w:tcPr>
            <w:tcW w:w="1879" w:type="dxa"/>
            <w:hideMark/>
          </w:tcPr>
          <w:p w14:paraId="4AD2D413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97 (24.8)</w:t>
            </w:r>
          </w:p>
        </w:tc>
        <w:tc>
          <w:tcPr>
            <w:tcW w:w="0" w:type="auto"/>
          </w:tcPr>
          <w:p w14:paraId="151EBBD7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</w:tr>
      <w:tr w:rsidR="008F0292" w:rsidRPr="003462F4" w14:paraId="4D03BBC3" w14:textId="77777777" w:rsidTr="00AA5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70526E9E" w14:textId="77777777" w:rsidR="008F0292" w:rsidRPr="003462F4" w:rsidRDefault="008F0292" w:rsidP="008F0292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Former</w:t>
            </w:r>
          </w:p>
        </w:tc>
        <w:tc>
          <w:tcPr>
            <w:tcW w:w="1888" w:type="dxa"/>
            <w:hideMark/>
          </w:tcPr>
          <w:p w14:paraId="256A8B1A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Pr="003462F4">
              <w:rPr>
                <w:rFonts w:cs="Calibri"/>
                <w:sz w:val="24"/>
                <w:szCs w:val="24"/>
              </w:rPr>
              <w:t>219 (44.6)</w:t>
            </w:r>
          </w:p>
        </w:tc>
        <w:tc>
          <w:tcPr>
            <w:tcW w:w="1886" w:type="dxa"/>
            <w:hideMark/>
          </w:tcPr>
          <w:p w14:paraId="036726E9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Pr="003462F4">
              <w:rPr>
                <w:rFonts w:cs="Calibri"/>
                <w:sz w:val="24"/>
                <w:szCs w:val="24"/>
              </w:rPr>
              <w:t>010 (43.1)</w:t>
            </w:r>
          </w:p>
        </w:tc>
        <w:tc>
          <w:tcPr>
            <w:tcW w:w="1879" w:type="dxa"/>
            <w:hideMark/>
          </w:tcPr>
          <w:p w14:paraId="274C708B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209 (53.5)</w:t>
            </w:r>
          </w:p>
        </w:tc>
        <w:tc>
          <w:tcPr>
            <w:tcW w:w="0" w:type="auto"/>
          </w:tcPr>
          <w:p w14:paraId="3A864B4E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</w:tr>
      <w:tr w:rsidR="008F0292" w:rsidRPr="003462F4" w14:paraId="03CB4BE3" w14:textId="77777777" w:rsidTr="00AA5D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23470C2C" w14:textId="77777777" w:rsidR="008F0292" w:rsidRPr="003462F4" w:rsidRDefault="008F0292" w:rsidP="008F0292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Current</w:t>
            </w:r>
          </w:p>
        </w:tc>
        <w:tc>
          <w:tcPr>
            <w:tcW w:w="1888" w:type="dxa"/>
            <w:hideMark/>
          </w:tcPr>
          <w:p w14:paraId="77AAAFC6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 xml:space="preserve">293 (10.7)  </w:t>
            </w:r>
          </w:p>
        </w:tc>
        <w:tc>
          <w:tcPr>
            <w:tcW w:w="1886" w:type="dxa"/>
            <w:hideMark/>
          </w:tcPr>
          <w:p w14:paraId="6A263D2E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208 (8.9)</w:t>
            </w:r>
          </w:p>
        </w:tc>
        <w:tc>
          <w:tcPr>
            <w:tcW w:w="1879" w:type="dxa"/>
            <w:hideMark/>
          </w:tcPr>
          <w:p w14:paraId="58061076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85 (21.7)</w:t>
            </w:r>
          </w:p>
        </w:tc>
        <w:tc>
          <w:tcPr>
            <w:tcW w:w="0" w:type="auto"/>
          </w:tcPr>
          <w:p w14:paraId="7BB25747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</w:tr>
      <w:tr w:rsidR="008F0292" w:rsidRPr="003462F4" w14:paraId="04F42684" w14:textId="77777777" w:rsidTr="00AA5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292AF824" w14:textId="77777777" w:rsidR="008F0292" w:rsidRPr="003462F4" w:rsidRDefault="008F0292" w:rsidP="00AA5D97">
            <w:pPr>
              <w:widowControl w:val="0"/>
              <w:spacing w:after="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3462F4">
              <w:rPr>
                <w:rFonts w:cs="Calibri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3462F4">
              <w:rPr>
                <w:rFonts w:cs="Calibri"/>
                <w:sz w:val="24"/>
                <w:szCs w:val="24"/>
              </w:rPr>
              <w:t>emoglobin</w:t>
            </w:r>
            <w:proofErr w:type="spellEnd"/>
            <w:r w:rsidRPr="003462F4">
              <w:rPr>
                <w:rFonts w:cs="Calibri"/>
                <w:sz w:val="24"/>
                <w:szCs w:val="24"/>
              </w:rPr>
              <w:t xml:space="preserve"> (g/L)</w:t>
            </w:r>
          </w:p>
        </w:tc>
        <w:tc>
          <w:tcPr>
            <w:tcW w:w="1888" w:type="dxa"/>
            <w:hideMark/>
          </w:tcPr>
          <w:p w14:paraId="707E4B27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138.0 ± 15.7</w:t>
            </w:r>
          </w:p>
        </w:tc>
        <w:tc>
          <w:tcPr>
            <w:tcW w:w="1886" w:type="dxa"/>
            <w:hideMark/>
          </w:tcPr>
          <w:p w14:paraId="3815FB59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137.8 ± 15.7</w:t>
            </w:r>
          </w:p>
        </w:tc>
        <w:tc>
          <w:tcPr>
            <w:tcW w:w="1879" w:type="dxa"/>
            <w:hideMark/>
          </w:tcPr>
          <w:p w14:paraId="3E5859A0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139.3 ± 15.9</w:t>
            </w:r>
          </w:p>
        </w:tc>
        <w:tc>
          <w:tcPr>
            <w:tcW w:w="0" w:type="auto"/>
            <w:hideMark/>
          </w:tcPr>
          <w:p w14:paraId="5E73363A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0.079</w:t>
            </w:r>
          </w:p>
        </w:tc>
      </w:tr>
      <w:tr w:rsidR="008F0292" w:rsidRPr="003462F4" w14:paraId="135D5236" w14:textId="77777777" w:rsidTr="00AA5D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25764875" w14:textId="77777777" w:rsidR="008F0292" w:rsidRPr="003462F4" w:rsidRDefault="008F0292" w:rsidP="00AA5D97">
            <w:pPr>
              <w:widowControl w:val="0"/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Anaemia</w:t>
            </w:r>
          </w:p>
        </w:tc>
        <w:tc>
          <w:tcPr>
            <w:tcW w:w="1888" w:type="dxa"/>
            <w:hideMark/>
          </w:tcPr>
          <w:p w14:paraId="45C67450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616 (23.1)</w:t>
            </w:r>
          </w:p>
        </w:tc>
        <w:tc>
          <w:tcPr>
            <w:tcW w:w="1886" w:type="dxa"/>
            <w:hideMark/>
          </w:tcPr>
          <w:p w14:paraId="696909A9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533 (23.3)</w:t>
            </w:r>
          </w:p>
        </w:tc>
        <w:tc>
          <w:tcPr>
            <w:tcW w:w="1879" w:type="dxa"/>
            <w:hideMark/>
          </w:tcPr>
          <w:p w14:paraId="7DA4881C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83 (21.7)</w:t>
            </w:r>
          </w:p>
        </w:tc>
        <w:tc>
          <w:tcPr>
            <w:tcW w:w="0" w:type="auto"/>
            <w:hideMark/>
          </w:tcPr>
          <w:p w14:paraId="2C0693B5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0.49</w:t>
            </w:r>
          </w:p>
        </w:tc>
      </w:tr>
      <w:tr w:rsidR="008F0292" w:rsidRPr="003462F4" w14:paraId="712129A2" w14:textId="77777777" w:rsidTr="00AA5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7E2791B8" w14:textId="77777777" w:rsidR="008F0292" w:rsidRPr="003462F4" w:rsidRDefault="008F0292" w:rsidP="00AA5D97">
            <w:pPr>
              <w:widowControl w:val="0"/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PCI</w:t>
            </w:r>
          </w:p>
        </w:tc>
        <w:tc>
          <w:tcPr>
            <w:tcW w:w="1888" w:type="dxa"/>
            <w:hideMark/>
          </w:tcPr>
          <w:p w14:paraId="4F0E3136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596 (21.8)</w:t>
            </w:r>
          </w:p>
        </w:tc>
        <w:tc>
          <w:tcPr>
            <w:tcW w:w="1886" w:type="dxa"/>
            <w:hideMark/>
          </w:tcPr>
          <w:p w14:paraId="6E82B7B6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524 (22.4)</w:t>
            </w:r>
          </w:p>
        </w:tc>
        <w:tc>
          <w:tcPr>
            <w:tcW w:w="1879" w:type="dxa"/>
            <w:hideMark/>
          </w:tcPr>
          <w:p w14:paraId="27CEABD1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72 (18.4)</w:t>
            </w:r>
          </w:p>
        </w:tc>
        <w:tc>
          <w:tcPr>
            <w:tcW w:w="0" w:type="auto"/>
            <w:hideMark/>
          </w:tcPr>
          <w:p w14:paraId="3EA23D94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0.079</w:t>
            </w:r>
          </w:p>
        </w:tc>
      </w:tr>
      <w:tr w:rsidR="008F0292" w:rsidRPr="003462F4" w14:paraId="442CC063" w14:textId="77777777" w:rsidTr="00AA5D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20472803" w14:textId="77777777" w:rsidR="008F0292" w:rsidRPr="003462F4" w:rsidRDefault="008F0292" w:rsidP="00AA5D97">
            <w:pPr>
              <w:widowControl w:val="0"/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CABG</w:t>
            </w:r>
          </w:p>
        </w:tc>
        <w:tc>
          <w:tcPr>
            <w:tcW w:w="1888" w:type="dxa"/>
            <w:hideMark/>
          </w:tcPr>
          <w:p w14:paraId="64D6ADD0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 xml:space="preserve">516 (18.9)  </w:t>
            </w:r>
          </w:p>
        </w:tc>
        <w:tc>
          <w:tcPr>
            <w:tcW w:w="1886" w:type="dxa"/>
            <w:hideMark/>
          </w:tcPr>
          <w:p w14:paraId="1AD703A5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434 (18.5)</w:t>
            </w:r>
          </w:p>
        </w:tc>
        <w:tc>
          <w:tcPr>
            <w:tcW w:w="1879" w:type="dxa"/>
            <w:hideMark/>
          </w:tcPr>
          <w:p w14:paraId="45B386D1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 xml:space="preserve">82 (21.0)  </w:t>
            </w:r>
          </w:p>
        </w:tc>
        <w:tc>
          <w:tcPr>
            <w:tcW w:w="0" w:type="auto"/>
            <w:hideMark/>
          </w:tcPr>
          <w:p w14:paraId="1347CA68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0.25</w:t>
            </w:r>
          </w:p>
        </w:tc>
      </w:tr>
      <w:tr w:rsidR="008F0292" w:rsidRPr="003462F4" w14:paraId="457DED1E" w14:textId="77777777" w:rsidTr="00AA5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03DD702F" w14:textId="77777777" w:rsidR="008F0292" w:rsidRPr="003462F4" w:rsidRDefault="008F0292" w:rsidP="00AA5D97">
            <w:pPr>
              <w:widowControl w:val="0"/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CRT-P/CRT-D</w:t>
            </w:r>
          </w:p>
        </w:tc>
        <w:tc>
          <w:tcPr>
            <w:tcW w:w="1888" w:type="dxa"/>
            <w:hideMark/>
          </w:tcPr>
          <w:p w14:paraId="612562DC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230 (8.7)</w:t>
            </w:r>
          </w:p>
        </w:tc>
        <w:tc>
          <w:tcPr>
            <w:tcW w:w="1886" w:type="dxa"/>
            <w:hideMark/>
          </w:tcPr>
          <w:p w14:paraId="724E7D11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 xml:space="preserve">201 (8.8)  </w:t>
            </w:r>
          </w:p>
        </w:tc>
        <w:tc>
          <w:tcPr>
            <w:tcW w:w="1879" w:type="dxa"/>
            <w:hideMark/>
          </w:tcPr>
          <w:p w14:paraId="4820EBA3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29 (7.8)</w:t>
            </w:r>
          </w:p>
        </w:tc>
        <w:tc>
          <w:tcPr>
            <w:tcW w:w="0" w:type="auto"/>
            <w:hideMark/>
          </w:tcPr>
          <w:p w14:paraId="31FCACCC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0.51</w:t>
            </w:r>
          </w:p>
        </w:tc>
      </w:tr>
      <w:tr w:rsidR="008F0292" w:rsidRPr="003462F4" w14:paraId="136AE9A3" w14:textId="77777777" w:rsidTr="00AA5D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0AFE7E07" w14:textId="77777777" w:rsidR="008F0292" w:rsidRPr="003462F4" w:rsidRDefault="008F0292" w:rsidP="00AA5D97">
            <w:pPr>
              <w:widowControl w:val="0"/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ICD/CRT-D</w:t>
            </w:r>
          </w:p>
        </w:tc>
        <w:tc>
          <w:tcPr>
            <w:tcW w:w="1888" w:type="dxa"/>
            <w:hideMark/>
          </w:tcPr>
          <w:p w14:paraId="60359C1F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421 (15.8)</w:t>
            </w:r>
          </w:p>
        </w:tc>
        <w:tc>
          <w:tcPr>
            <w:tcW w:w="1886" w:type="dxa"/>
            <w:hideMark/>
          </w:tcPr>
          <w:p w14:paraId="03B33957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358 (15.6)</w:t>
            </w:r>
          </w:p>
        </w:tc>
        <w:tc>
          <w:tcPr>
            <w:tcW w:w="1879" w:type="dxa"/>
            <w:hideMark/>
          </w:tcPr>
          <w:p w14:paraId="0DAB7D8C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63 (16.7)</w:t>
            </w:r>
          </w:p>
        </w:tc>
        <w:tc>
          <w:tcPr>
            <w:tcW w:w="0" w:type="auto"/>
            <w:hideMark/>
          </w:tcPr>
          <w:p w14:paraId="06FC2D85" w14:textId="77777777" w:rsidR="008F0292" w:rsidRPr="003462F4" w:rsidRDefault="008F0292" w:rsidP="00AA5D97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462F4">
              <w:rPr>
                <w:rFonts w:cs="Calibri"/>
                <w:sz w:val="24"/>
                <w:szCs w:val="24"/>
              </w:rPr>
              <w:t>0.59</w:t>
            </w:r>
          </w:p>
        </w:tc>
      </w:tr>
      <w:tr w:rsidR="008F0292" w14:paraId="25163D3C" w14:textId="77777777" w:rsidTr="00AA5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7" w:type="dxa"/>
            <w:gridSpan w:val="5"/>
            <w:hideMark/>
          </w:tcPr>
          <w:p w14:paraId="0791CD0A" w14:textId="77777777" w:rsidR="008F0292" w:rsidRPr="005D125B" w:rsidRDefault="008F0292" w:rsidP="00AA5D97">
            <w:pPr>
              <w:widowControl w:val="0"/>
              <w:spacing w:after="0"/>
              <w:jc w:val="both"/>
              <w:rPr>
                <w:rFonts w:asciiTheme="minorHAnsi" w:hAnsiTheme="minorHAnsi" w:cstheme="minorBidi"/>
                <w:b w:val="0"/>
                <w:kern w:val="2"/>
                <w:sz w:val="18"/>
                <w:szCs w:val="18"/>
                <w:lang w:eastAsia="ja-JP"/>
              </w:rPr>
            </w:pPr>
            <w:r w:rsidRPr="005D125B">
              <w:rPr>
                <w:rFonts w:asciiTheme="minorHAnsi" w:hAnsiTheme="minorHAnsi" w:cstheme="minorBidi"/>
                <w:b w:val="0"/>
                <w:kern w:val="2"/>
                <w:sz w:val="18"/>
                <w:szCs w:val="18"/>
                <w:lang w:eastAsia="ja-JP"/>
              </w:rPr>
              <w:t>Data are presented as mean ± SD for continuous measures and n (%) for categorical measures.</w:t>
            </w:r>
          </w:p>
          <w:p w14:paraId="7F739C4C" w14:textId="77777777" w:rsidR="008F0292" w:rsidRPr="005D125B" w:rsidRDefault="008F0292" w:rsidP="00AA5D97">
            <w:pPr>
              <w:widowControl w:val="0"/>
              <w:spacing w:after="0"/>
              <w:jc w:val="both"/>
              <w:rPr>
                <w:rFonts w:asciiTheme="minorHAnsi" w:hAnsiTheme="minorHAnsi" w:cs="Calibri"/>
                <w:b w:val="0"/>
                <w:kern w:val="2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="Calibri"/>
                <w:b w:val="0"/>
                <w:kern w:val="2"/>
                <w:sz w:val="18"/>
                <w:szCs w:val="18"/>
                <w:lang w:eastAsia="ja-JP"/>
              </w:rPr>
              <w:t>Chronic obstructive pulmonary disease (COPD); b</w:t>
            </w:r>
            <w:r w:rsidRPr="005D125B">
              <w:rPr>
                <w:rFonts w:asciiTheme="minorHAnsi" w:hAnsiTheme="minorHAnsi" w:cs="Calibri"/>
                <w:b w:val="0"/>
                <w:kern w:val="2"/>
                <w:sz w:val="18"/>
                <w:szCs w:val="18"/>
                <w:lang w:eastAsia="ja-JP"/>
              </w:rPr>
              <w:t>ody mass index (BMI); percutaneous coronary intervention (PCI); coronary artery bypass gr</w:t>
            </w:r>
            <w:r>
              <w:rPr>
                <w:rFonts w:asciiTheme="minorHAnsi" w:hAnsiTheme="minorHAnsi" w:cs="Calibri"/>
                <w:b w:val="0"/>
                <w:kern w:val="2"/>
                <w:sz w:val="18"/>
                <w:szCs w:val="18"/>
                <w:lang w:eastAsia="ja-JP"/>
              </w:rPr>
              <w:t>aft (CABG); cardiac resynchronis</w:t>
            </w:r>
            <w:r w:rsidRPr="005D125B">
              <w:rPr>
                <w:rFonts w:asciiTheme="minorHAnsi" w:hAnsiTheme="minorHAnsi" w:cs="Calibri"/>
                <w:b w:val="0"/>
                <w:kern w:val="2"/>
                <w:sz w:val="18"/>
                <w:szCs w:val="18"/>
                <w:lang w:eastAsia="ja-JP"/>
              </w:rPr>
              <w:t>ation therapy (CRT) with pacemaker (P) or defibrillator (D); implantable cardioverter-defibrillator (ICD).</w:t>
            </w:r>
          </w:p>
          <w:p w14:paraId="113FFB22" w14:textId="77777777" w:rsidR="008F0292" w:rsidRPr="005D125B" w:rsidRDefault="008F0292" w:rsidP="00AA5D97">
            <w:pPr>
              <w:widowControl w:val="0"/>
              <w:spacing w:after="0"/>
              <w:jc w:val="both"/>
              <w:rPr>
                <w:rFonts w:asciiTheme="minorHAnsi" w:hAnsiTheme="minorHAnsi" w:cs="Calibri"/>
                <w:b w:val="0"/>
                <w:kern w:val="2"/>
                <w:sz w:val="18"/>
                <w:szCs w:val="18"/>
                <w:lang w:eastAsia="ja-JP"/>
              </w:rPr>
            </w:pPr>
            <w:r w:rsidRPr="005D125B">
              <w:rPr>
                <w:rFonts w:asciiTheme="minorHAnsi" w:hAnsiTheme="minorHAnsi" w:cs="Calibri"/>
                <w:b w:val="0"/>
                <w:kern w:val="2"/>
                <w:sz w:val="18"/>
                <w:szCs w:val="18"/>
                <w:lang w:eastAsia="ja-JP"/>
              </w:rPr>
              <w:t xml:space="preserve">Units: kilograms per square </w:t>
            </w:r>
            <w:proofErr w:type="spellStart"/>
            <w:r w:rsidRPr="005D125B">
              <w:rPr>
                <w:rFonts w:asciiTheme="minorHAnsi" w:hAnsiTheme="minorHAnsi" w:cs="Calibri"/>
                <w:b w:val="0"/>
                <w:kern w:val="2"/>
                <w:sz w:val="18"/>
                <w:szCs w:val="18"/>
                <w:lang w:eastAsia="ja-JP"/>
              </w:rPr>
              <w:t>metre</w:t>
            </w:r>
            <w:proofErr w:type="spellEnd"/>
            <w:r w:rsidRPr="005D125B">
              <w:rPr>
                <w:rFonts w:asciiTheme="minorHAnsi" w:hAnsiTheme="minorHAnsi" w:cs="Calibri"/>
                <w:b w:val="0"/>
                <w:kern w:val="2"/>
                <w:sz w:val="18"/>
                <w:szCs w:val="18"/>
                <w:lang w:eastAsia="ja-JP"/>
              </w:rPr>
              <w:t xml:space="preserve"> (kg/m</w:t>
            </w:r>
            <w:r w:rsidRPr="005D125B">
              <w:rPr>
                <w:rFonts w:asciiTheme="minorHAnsi" w:hAnsiTheme="minorHAnsi" w:cs="Calibri"/>
                <w:b w:val="0"/>
                <w:kern w:val="2"/>
                <w:sz w:val="18"/>
                <w:szCs w:val="18"/>
                <w:vertAlign w:val="superscript"/>
                <w:lang w:eastAsia="ja-JP"/>
              </w:rPr>
              <w:t>2</w:t>
            </w:r>
            <w:r w:rsidRPr="005D125B">
              <w:rPr>
                <w:rFonts w:asciiTheme="minorHAnsi" w:hAnsiTheme="minorHAnsi" w:cs="Calibri"/>
                <w:b w:val="0"/>
                <w:kern w:val="2"/>
                <w:sz w:val="18"/>
                <w:szCs w:val="18"/>
                <w:lang w:eastAsia="ja-JP"/>
              </w:rPr>
              <w:t xml:space="preserve">), grams per </w:t>
            </w:r>
            <w:proofErr w:type="spellStart"/>
            <w:r w:rsidRPr="005D125B">
              <w:rPr>
                <w:rFonts w:asciiTheme="minorHAnsi" w:hAnsiTheme="minorHAnsi" w:cs="Calibri"/>
                <w:b w:val="0"/>
                <w:kern w:val="2"/>
                <w:sz w:val="18"/>
                <w:szCs w:val="18"/>
                <w:lang w:eastAsia="ja-JP"/>
              </w:rPr>
              <w:t>litre</w:t>
            </w:r>
            <w:proofErr w:type="spellEnd"/>
            <w:r w:rsidRPr="005D125B">
              <w:rPr>
                <w:rFonts w:asciiTheme="minorHAnsi" w:hAnsiTheme="minorHAnsi" w:cs="Calibri"/>
                <w:b w:val="0"/>
                <w:kern w:val="2"/>
                <w:sz w:val="18"/>
                <w:szCs w:val="18"/>
                <w:lang w:eastAsia="ja-JP"/>
              </w:rPr>
              <w:t xml:space="preserve"> (g/L).</w:t>
            </w:r>
          </w:p>
          <w:p w14:paraId="5E921400" w14:textId="77777777" w:rsidR="008F0292" w:rsidRDefault="008F0292" w:rsidP="007C7BD2">
            <w:pPr>
              <w:widowControl w:val="0"/>
              <w:spacing w:after="0"/>
              <w:jc w:val="both"/>
              <w:rPr>
                <w:rFonts w:cs="Calibri"/>
                <w:kern w:val="2"/>
                <w:sz w:val="24"/>
                <w:szCs w:val="24"/>
                <w:lang w:eastAsia="ja-JP"/>
              </w:rPr>
            </w:pPr>
            <w:r w:rsidRPr="005D125B">
              <w:rPr>
                <w:rFonts w:asciiTheme="minorHAnsi" w:hAnsiTheme="minorHAnsi" w:cs="Calibri"/>
                <w:b w:val="0"/>
                <w:kern w:val="2"/>
                <w:sz w:val="18"/>
                <w:szCs w:val="18"/>
                <w:lang w:eastAsia="ja-JP"/>
              </w:rPr>
              <w:t>*3 patients missing COPD data</w:t>
            </w:r>
          </w:p>
        </w:tc>
      </w:tr>
    </w:tbl>
    <w:p w14:paraId="6137FC97" w14:textId="77777777" w:rsidR="008F0292" w:rsidRDefault="008F0292" w:rsidP="008F0292"/>
    <w:p w14:paraId="3BE205DF" w14:textId="77777777" w:rsidR="00D759EB" w:rsidRDefault="00D759EB" w:rsidP="00A878EE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tbl>
      <w:tblPr>
        <w:tblStyle w:val="Grilledutableau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1701"/>
      </w:tblGrid>
      <w:tr w:rsidR="009E3F55" w14:paraId="7504ABD5" w14:textId="77777777" w:rsidTr="00AA5D9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080DC2" w14:textId="77777777" w:rsidR="009E3F55" w:rsidRDefault="009E3F55" w:rsidP="00AA5D9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Supplemental Table II: </w:t>
            </w:r>
            <w:r>
              <w:rPr>
                <w:rFonts w:asciiTheme="minorHAnsi" w:hAnsiTheme="minorHAnsi" w:cstheme="minorHAnsi"/>
                <w:b/>
              </w:rPr>
              <w:t xml:space="preserve">Event rate (per 100 patient-years) and risk of study endpoints </w:t>
            </w:r>
            <w:r>
              <w:rPr>
                <w:rFonts w:cs="Calibri"/>
                <w:b/>
                <w:bCs/>
              </w:rPr>
              <w:t>according to COPD status (RALES only)</w:t>
            </w:r>
          </w:p>
        </w:tc>
      </w:tr>
      <w:tr w:rsidR="009E3F55" w:rsidRPr="007476BD" w14:paraId="282B8A22" w14:textId="77777777" w:rsidTr="00AA5D97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40FAD8" w14:textId="77777777" w:rsidR="009E3F55" w:rsidRPr="007476BD" w:rsidRDefault="009E3F55" w:rsidP="00AA5D9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E4230A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sz w:val="22"/>
                <w:szCs w:val="22"/>
              </w:rPr>
              <w:t>Without COPD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20DFB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With COPD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3277D2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P-</w:t>
            </w: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value</w:t>
            </w:r>
          </w:p>
        </w:tc>
      </w:tr>
      <w:tr w:rsidR="009E3F55" w:rsidRPr="007476BD" w14:paraId="06C56460" w14:textId="77777777" w:rsidTr="00AA5D97">
        <w:trPr>
          <w:trHeight w:val="454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F01D6" w14:textId="77777777" w:rsidR="009E3F55" w:rsidRPr="007476BD" w:rsidRDefault="009E3F55" w:rsidP="00AA5D9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D62D28" w14:textId="77777777" w:rsidR="009E3F55" w:rsidRPr="007476BD" w:rsidRDefault="00173E0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(N=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73E0A">
              <w:rPr>
                <w:rFonts w:asciiTheme="minorHAnsi" w:hAnsiTheme="minorHAnsi" w:cstheme="minorHAnsi"/>
                <w:b/>
                <w:sz w:val="22"/>
                <w:szCs w:val="22"/>
              </w:rPr>
              <w:t>429</w:t>
            </w:r>
            <w:r w:rsidR="009E3F55" w:rsidRPr="007476B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8F3D21" w14:textId="77777777" w:rsidR="009E3F55" w:rsidRPr="007476BD" w:rsidRDefault="00173E0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(N=234</w:t>
            </w:r>
            <w:r w:rsidR="009E3F55" w:rsidRPr="007476B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2926E1" w14:textId="77777777" w:rsidR="009E3F55" w:rsidRPr="007476BD" w:rsidRDefault="009E3F55" w:rsidP="00AA5D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3F55" w:rsidRPr="007476BD" w14:paraId="386EDB09" w14:textId="77777777" w:rsidTr="00AA5D97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A87A29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HF hospitalis</w:t>
            </w: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ation or cardiovascular death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63551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C3C678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A1BA24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56073B15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0FD5A796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128AEBA1" w14:textId="77777777" w:rsidR="009E3F55" w:rsidRPr="007476BD" w:rsidRDefault="00381ECF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695 (48.6</w:t>
            </w:r>
            <w:r w:rsidRPr="00381EC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767E338F" w14:textId="77777777" w:rsidR="009E3F55" w:rsidRPr="007476BD" w:rsidRDefault="00381ECF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123 (52.6</w:t>
            </w:r>
            <w:r w:rsidRPr="00381EC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628CFE5E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6614EBC1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6E7273C9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37D0DA16" w14:textId="77777777" w:rsidR="009E3F55" w:rsidRPr="007476BD" w:rsidRDefault="008F7392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392">
              <w:rPr>
                <w:rFonts w:asciiTheme="minorHAnsi" w:hAnsiTheme="minorHAnsi" w:cstheme="minorHAnsi"/>
                <w:sz w:val="22"/>
                <w:szCs w:val="22"/>
              </w:rPr>
              <w:t xml:space="preserve">33.1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(30.7 – 35.7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624B3F67" w14:textId="77777777" w:rsidR="009E3F55" w:rsidRPr="007476BD" w:rsidRDefault="00F85C0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38.7 (32.4 – 46.2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BCC423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7B0DD51E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BA538BC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1C7E542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356FE79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449E6" w14:textId="77777777" w:rsidR="009E3F55" w:rsidRPr="007476BD" w:rsidRDefault="00F85C0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1.15 (0.95 – 1.39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263BF5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AF5A3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40CDA" w14:textId="77777777" w:rsidR="009E3F55" w:rsidRPr="007476BD" w:rsidRDefault="0012502F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02F">
              <w:rPr>
                <w:rFonts w:asciiTheme="minorHAnsi" w:hAnsiTheme="minorHAnsi" w:cstheme="minorHAnsi"/>
                <w:sz w:val="22"/>
                <w:szCs w:val="22"/>
              </w:rPr>
              <w:t>0.151</w:t>
            </w:r>
          </w:p>
        </w:tc>
      </w:tr>
      <w:tr w:rsidR="009E3F55" w:rsidRPr="007476BD" w14:paraId="25BAA37B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CB5DC81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47D91D6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6F49B86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44C43" w14:textId="77777777" w:rsidR="009E3F55" w:rsidRPr="007476BD" w:rsidRDefault="0012502F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1.05 (0.86 – 1.28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35EA87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72B0E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8900A" w14:textId="77777777" w:rsidR="009E3F55" w:rsidRPr="007476BD" w:rsidRDefault="0012502F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02F">
              <w:rPr>
                <w:rFonts w:asciiTheme="minorHAnsi" w:hAnsiTheme="minorHAnsi" w:cstheme="minorHAnsi"/>
                <w:sz w:val="22"/>
                <w:szCs w:val="22"/>
              </w:rPr>
              <w:t>0.608</w:t>
            </w:r>
          </w:p>
        </w:tc>
      </w:tr>
      <w:tr w:rsidR="009E3F55" w:rsidRPr="007476BD" w14:paraId="1C76A1B3" w14:textId="77777777" w:rsidTr="00AA5D97">
        <w:trPr>
          <w:trHeight w:val="454"/>
          <w:jc w:val="center"/>
        </w:trPr>
        <w:tc>
          <w:tcPr>
            <w:tcW w:w="2410" w:type="dxa"/>
            <w:vAlign w:val="center"/>
          </w:tcPr>
          <w:p w14:paraId="041E62FB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</w:tcPr>
          <w:p w14:paraId="1CC7DAA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3A1B02B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50BF7" w14:textId="77777777" w:rsidR="009E3F55" w:rsidRPr="007476BD" w:rsidRDefault="00D3329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1.03 (0.85 – 1.26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8E8CD8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20D8B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6617C" w14:textId="77777777" w:rsidR="009E3F55" w:rsidRPr="007476BD" w:rsidRDefault="00D3329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295">
              <w:rPr>
                <w:rFonts w:asciiTheme="minorHAnsi" w:hAnsiTheme="minorHAnsi" w:cstheme="minorHAnsi"/>
                <w:sz w:val="22"/>
                <w:szCs w:val="22"/>
              </w:rPr>
              <w:t>0.740</w:t>
            </w:r>
          </w:p>
        </w:tc>
      </w:tr>
      <w:tr w:rsidR="009E3F55" w:rsidRPr="007476BD" w14:paraId="5E6A3EE1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0E2606BA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HF hospitalis</w:t>
            </w: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3DCD7F9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A56537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CCC8DD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2EF8FB1C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2CFB2C69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3AE3767C" w14:textId="77777777" w:rsidR="009E3F55" w:rsidRPr="007476BD" w:rsidRDefault="009E0E13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440 (30.8</w:t>
            </w:r>
            <w:r w:rsidRPr="009E0E1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434551AE" w14:textId="77777777" w:rsidR="009E3F55" w:rsidRPr="007476BD" w:rsidRDefault="009E0E13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 (32.5</w:t>
            </w:r>
            <w:r w:rsidRPr="009E0E1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555B69DC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51CA83D9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20C62103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6BED40A3" w14:textId="77777777" w:rsidR="009E3F55" w:rsidRPr="007476BD" w:rsidRDefault="00A9212F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 (19.1 – 23.1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07D5912C" w14:textId="77777777" w:rsidR="009E3F55" w:rsidRPr="007476BD" w:rsidRDefault="00A9212F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23.9 (19.1 – 29.9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72F047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26F67ECB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6130EE07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2D286659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01EB3C14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C7347" w14:textId="77777777" w:rsidR="009E3F55" w:rsidRPr="007476BD" w:rsidRDefault="009657C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1.11 (0.87 – 1.42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38F447C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4323CA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0AE96" w14:textId="77777777" w:rsidR="009E3F55" w:rsidRPr="007476BD" w:rsidRDefault="009657C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57CD">
              <w:rPr>
                <w:rFonts w:asciiTheme="minorHAnsi" w:hAnsiTheme="minorHAnsi" w:cstheme="minorHAnsi"/>
                <w:sz w:val="22"/>
                <w:szCs w:val="22"/>
              </w:rPr>
              <w:t>0.387</w:t>
            </w:r>
          </w:p>
        </w:tc>
      </w:tr>
      <w:tr w:rsidR="009E3F55" w:rsidRPr="007476BD" w14:paraId="3BBBEDC1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96B0477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7997377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39371809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1E26C" w14:textId="77777777" w:rsidR="009E3F55" w:rsidRPr="007476BD" w:rsidRDefault="00321FC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1.01 (0.79 – 1.3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14:paraId="0A77F1D9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85D68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45BA0" w14:textId="77777777" w:rsidR="009E3F55" w:rsidRPr="007476BD" w:rsidRDefault="00321FC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FCA">
              <w:rPr>
                <w:rFonts w:asciiTheme="minorHAnsi" w:hAnsiTheme="minorHAnsi" w:cstheme="minorHAnsi"/>
                <w:sz w:val="22"/>
                <w:szCs w:val="22"/>
              </w:rPr>
              <w:t>0.929</w:t>
            </w:r>
          </w:p>
        </w:tc>
      </w:tr>
      <w:tr w:rsidR="009E3F55" w:rsidRPr="007476BD" w14:paraId="0BD52CA8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339CDCC8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  <w:hideMark/>
          </w:tcPr>
          <w:p w14:paraId="23CEAC1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4AABBF9F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3207C" w14:textId="77777777" w:rsidR="009E3F55" w:rsidRPr="007476BD" w:rsidRDefault="00321FCA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0.99 (0.77 – 1.28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9621A33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93F89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B54997" w14:textId="77777777" w:rsidR="009E3F55" w:rsidRPr="007476BD" w:rsidRDefault="00321FCA" w:rsidP="00321FC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FCA">
              <w:rPr>
                <w:rFonts w:asciiTheme="minorHAnsi" w:hAnsiTheme="minorHAnsi" w:cstheme="minorHAnsi"/>
                <w:sz w:val="22"/>
                <w:szCs w:val="22"/>
              </w:rPr>
              <w:t>0.955</w:t>
            </w:r>
          </w:p>
        </w:tc>
      </w:tr>
      <w:tr w:rsidR="009E3F55" w:rsidRPr="007476BD" w14:paraId="709D0C06" w14:textId="77777777" w:rsidTr="00AA5D97">
        <w:trPr>
          <w:trHeight w:val="454"/>
          <w:jc w:val="center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1ED3D2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All-cause hospitalis</w:t>
            </w: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ation 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B0C7E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F1ADA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EC29F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0033297D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3E34035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50231F2C" w14:textId="77777777" w:rsidR="009E3F55" w:rsidRPr="007476BD" w:rsidRDefault="00EF182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766 (53.6</w:t>
            </w:r>
            <w:r w:rsidRPr="00EF18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6E6FC6BB" w14:textId="77777777" w:rsidR="009E3F55" w:rsidRPr="007476BD" w:rsidRDefault="00EF182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 (59.8</w:t>
            </w:r>
            <w:r w:rsidRPr="00EF18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5127D56A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273F3E40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5CB5C0E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25974F0B" w14:textId="77777777" w:rsidR="009E3F55" w:rsidRPr="007476BD" w:rsidRDefault="00EF182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43.4 (40.5 – 46.6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38C02593" w14:textId="77777777" w:rsidR="009E3F55" w:rsidRPr="007476BD" w:rsidRDefault="00EF1826" w:rsidP="00EF182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54.8 (46.4 – 64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 xml:space="preserve">.7) </w:t>
            </w:r>
          </w:p>
        </w:tc>
        <w:tc>
          <w:tcPr>
            <w:tcW w:w="1701" w:type="dxa"/>
          </w:tcPr>
          <w:p w14:paraId="3E6E444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2248BC86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043F5E4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0A3D011A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615FEAA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B03CE" w14:textId="77777777" w:rsidR="009E3F55" w:rsidRPr="007476BD" w:rsidRDefault="00713EEB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1.23 (1.03 – 1.48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C8DD39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FA6AC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FD706" w14:textId="77777777" w:rsidR="009E3F55" w:rsidRPr="007476BD" w:rsidRDefault="00713EEB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EEB">
              <w:rPr>
                <w:rFonts w:asciiTheme="minorHAnsi" w:hAnsiTheme="minorHAnsi" w:cstheme="minorHAnsi"/>
                <w:sz w:val="22"/>
                <w:szCs w:val="22"/>
              </w:rPr>
              <w:t>0.022</w:t>
            </w:r>
          </w:p>
        </w:tc>
      </w:tr>
      <w:tr w:rsidR="009E3F55" w:rsidRPr="007476BD" w14:paraId="7AB462D9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B75351F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3A83DB4D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6F80E82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7B999" w14:textId="77777777" w:rsidR="009E3F55" w:rsidRPr="007476BD" w:rsidRDefault="00713EEB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1.13 (0.94 – 1.36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37805B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7FFCDF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4C41E" w14:textId="77777777" w:rsidR="009E3F55" w:rsidRPr="007476BD" w:rsidRDefault="00713EEB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EEB">
              <w:rPr>
                <w:rFonts w:asciiTheme="minorHAnsi" w:hAnsiTheme="minorHAnsi" w:cstheme="minorHAnsi"/>
                <w:sz w:val="22"/>
                <w:szCs w:val="22"/>
              </w:rPr>
              <w:t>0.195</w:t>
            </w:r>
          </w:p>
        </w:tc>
      </w:tr>
      <w:tr w:rsidR="009E3F55" w:rsidRPr="007476BD" w14:paraId="584599C4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7541289F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  <w:hideMark/>
          </w:tcPr>
          <w:p w14:paraId="5FC05D7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71CE61E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8E427F" w14:textId="77777777" w:rsidR="009E3F55" w:rsidRPr="007476BD" w:rsidRDefault="00E24FE2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1.12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0.93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1.35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D99AD8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A2A7A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761F5" w14:textId="77777777" w:rsidR="009E3F55" w:rsidRPr="007476BD" w:rsidRDefault="00E24FE2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FE2">
              <w:rPr>
                <w:rFonts w:asciiTheme="minorHAnsi" w:hAnsiTheme="minorHAnsi" w:cstheme="minorHAnsi"/>
                <w:sz w:val="22"/>
                <w:szCs w:val="22"/>
              </w:rPr>
              <w:t>0.219</w:t>
            </w:r>
          </w:p>
        </w:tc>
      </w:tr>
      <w:tr w:rsidR="009E3F55" w:rsidRPr="007476BD" w14:paraId="0E0FBE30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0128E307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Non-Cardiovascular hospitalis</w:t>
            </w: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89A297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D3543E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F7A9E18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78A67652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0CFFE526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50068EA3" w14:textId="77777777" w:rsidR="009E3F55" w:rsidRPr="007476BD" w:rsidRDefault="00A1273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739">
              <w:rPr>
                <w:rFonts w:asciiTheme="minorHAnsi" w:hAnsiTheme="minorHAnsi" w:cstheme="minorHAnsi"/>
                <w:sz w:val="22"/>
                <w:szCs w:val="22"/>
              </w:rPr>
              <w:t xml:space="preserve">248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(17.4</w:t>
            </w:r>
            <w:r w:rsidRPr="00A1273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269AE705" w14:textId="77777777" w:rsidR="009E3F55" w:rsidRPr="007476BD" w:rsidRDefault="00A1273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 (23.9</w:t>
            </w:r>
            <w:r w:rsidRPr="00A1273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1F9D828F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164CC888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251627D8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5E034D47" w14:textId="77777777" w:rsidR="009E3F55" w:rsidRPr="007476BD" w:rsidRDefault="00616D7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 (12.4 – 15.9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3FB88565" w14:textId="77777777" w:rsidR="009E3F55" w:rsidRPr="007476BD" w:rsidRDefault="00616D7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21.7 (16.6 – 28.2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4E23D0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009B377F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1AB5D4B6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4CAE12A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4D0E3D8D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C1C7F" w14:textId="77777777" w:rsidR="009E3F55" w:rsidRPr="007476BD" w:rsidRDefault="00A1273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1.51 (1.13 – 2.03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6BDF88D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F4E67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ACB70" w14:textId="77777777" w:rsidR="009E3F55" w:rsidRPr="007476BD" w:rsidRDefault="00A1273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739">
              <w:rPr>
                <w:rFonts w:asciiTheme="minorHAnsi" w:hAnsiTheme="minorHAnsi" w:cstheme="minorHAnsi"/>
                <w:sz w:val="22"/>
                <w:szCs w:val="22"/>
              </w:rPr>
              <w:t>0.005</w:t>
            </w:r>
          </w:p>
        </w:tc>
      </w:tr>
      <w:tr w:rsidR="009E3F55" w:rsidRPr="007476BD" w14:paraId="0C866A6F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DACB244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453FBE3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3970E4F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C151F" w14:textId="77777777" w:rsidR="009E3F55" w:rsidRPr="007476BD" w:rsidRDefault="00A1273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1.44 (1.07 – 1.94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9930DBE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8316C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E9C14" w14:textId="77777777" w:rsidR="009E3F55" w:rsidRPr="007476BD" w:rsidRDefault="00A12739" w:rsidP="00A1273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739">
              <w:rPr>
                <w:rFonts w:asciiTheme="minorHAnsi" w:hAnsiTheme="minorHAnsi" w:cstheme="minorHAnsi"/>
                <w:sz w:val="22"/>
                <w:szCs w:val="22"/>
              </w:rPr>
              <w:t>0.017</w:t>
            </w:r>
          </w:p>
        </w:tc>
      </w:tr>
      <w:tr w:rsidR="009E3F55" w:rsidRPr="007476BD" w14:paraId="55B38628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1BADDC86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  <w:hideMark/>
          </w:tcPr>
          <w:p w14:paraId="77F1BCF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0FEC64F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95760" w14:textId="77777777" w:rsidR="009E3F55" w:rsidRPr="007476BD" w:rsidRDefault="00A1273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1.45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1.07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1.95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4C9F84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47C10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C5B4BC" w14:textId="77777777" w:rsidR="009E3F55" w:rsidRPr="007476BD" w:rsidRDefault="00A1273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739">
              <w:rPr>
                <w:rFonts w:asciiTheme="minorHAnsi" w:hAnsiTheme="minorHAnsi" w:cstheme="minorHAnsi"/>
                <w:sz w:val="22"/>
                <w:szCs w:val="22"/>
              </w:rPr>
              <w:t>0.015</w:t>
            </w:r>
          </w:p>
        </w:tc>
      </w:tr>
      <w:tr w:rsidR="009E3F55" w:rsidRPr="007476BD" w14:paraId="4296AA6A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632EA204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Cardiovascular death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F0A6C7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DEFD21F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45CAE48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1FC5147E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29148F6F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14CF5085" w14:textId="77777777" w:rsidR="009E3F55" w:rsidRPr="007476BD" w:rsidRDefault="00BA662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455 (31.8</w:t>
            </w:r>
            <w:r w:rsidRPr="00BA66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7050C4D2" w14:textId="77777777" w:rsidR="009E3F55" w:rsidRPr="007476BD" w:rsidRDefault="00BA662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 (36.3</w:t>
            </w:r>
            <w:r w:rsidRPr="00BA66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659BA991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5979FA86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66AFE011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0433D228" w14:textId="77777777" w:rsidR="009E3F55" w:rsidRPr="007476BD" w:rsidRDefault="004D6630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17.7 (16.2 – 19.4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5312042C" w14:textId="77777777" w:rsidR="009E3F55" w:rsidRPr="007476BD" w:rsidRDefault="004D6630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20.8 (16.8 – 2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5.8)</w:t>
            </w:r>
          </w:p>
        </w:tc>
        <w:tc>
          <w:tcPr>
            <w:tcW w:w="1701" w:type="dxa"/>
          </w:tcPr>
          <w:p w14:paraId="7536FC4D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5765CD2C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378CDDE4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32294D4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75870B70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EB5AE" w14:textId="77777777" w:rsidR="009E3F55" w:rsidRPr="007476BD" w:rsidRDefault="00F96B0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1.18 (0.9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4 – 1.49)</w:t>
            </w:r>
          </w:p>
          <w:p w14:paraId="0D1CC6E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084F7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DD21C7" w14:textId="77777777" w:rsidR="009E3F55" w:rsidRPr="007476BD" w:rsidRDefault="00F96B0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B05">
              <w:rPr>
                <w:rFonts w:asciiTheme="minorHAnsi" w:hAnsiTheme="minorHAnsi" w:cstheme="minorHAnsi"/>
                <w:sz w:val="22"/>
                <w:szCs w:val="22"/>
              </w:rPr>
              <w:t>0.163</w:t>
            </w:r>
          </w:p>
        </w:tc>
      </w:tr>
      <w:tr w:rsidR="009E3F55" w:rsidRPr="007476BD" w14:paraId="6DD91D60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777CF0D1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0F2F67F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28B4CAF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A79AF" w14:textId="77777777" w:rsidR="009E3F55" w:rsidRPr="007476BD" w:rsidRDefault="00BD1AA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1.05 (0.83 – 1.33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A7B0B4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6BD74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E21F1" w14:textId="77777777" w:rsidR="009E3F55" w:rsidRPr="007476BD" w:rsidRDefault="00BD1AA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AA6">
              <w:rPr>
                <w:rFonts w:asciiTheme="minorHAnsi" w:hAnsiTheme="minorHAnsi" w:cstheme="minorHAnsi"/>
                <w:sz w:val="22"/>
                <w:szCs w:val="22"/>
              </w:rPr>
              <w:t>0.684</w:t>
            </w:r>
          </w:p>
        </w:tc>
      </w:tr>
      <w:tr w:rsidR="009E3F55" w:rsidRPr="007476BD" w14:paraId="2C3D3E00" w14:textId="77777777" w:rsidTr="00AA5D97">
        <w:trPr>
          <w:trHeight w:val="567"/>
          <w:jc w:val="center"/>
        </w:trPr>
        <w:tc>
          <w:tcPr>
            <w:tcW w:w="2410" w:type="dxa"/>
            <w:vAlign w:val="center"/>
            <w:hideMark/>
          </w:tcPr>
          <w:p w14:paraId="3D48CB69" w14:textId="77777777" w:rsidR="009E3F55" w:rsidRPr="007476BD" w:rsidRDefault="009E3F55" w:rsidP="00AA5D97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  <w:hideMark/>
          </w:tcPr>
          <w:p w14:paraId="2CB04566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0163341F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34979" w14:textId="77777777" w:rsidR="009E3F55" w:rsidRPr="007476BD" w:rsidRDefault="00BD1AA6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1.04 (0.82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 xml:space="preserve"> – 1.32)</w:t>
            </w:r>
          </w:p>
          <w:p w14:paraId="25B69A5A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4C2325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D21FA" w14:textId="77777777" w:rsidR="009E3F55" w:rsidRPr="007476BD" w:rsidRDefault="00BD1AA6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AA6">
              <w:rPr>
                <w:rFonts w:asciiTheme="minorHAnsi" w:hAnsiTheme="minorHAnsi" w:cstheme="minorHAnsi"/>
                <w:sz w:val="22"/>
                <w:szCs w:val="22"/>
              </w:rPr>
              <w:t>0.769</w:t>
            </w:r>
          </w:p>
        </w:tc>
      </w:tr>
      <w:tr w:rsidR="009E3F55" w:rsidRPr="007476BD" w14:paraId="6D865703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44805918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Non-Cardiovascular death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AE6D86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5094D8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0EFE08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1CEBE5DF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5C50D78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03A28658" w14:textId="77777777" w:rsidR="009E3F55" w:rsidRPr="007476BD" w:rsidRDefault="006D03F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101 (7.1</w:t>
            </w:r>
            <w:r w:rsidRPr="006D03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0D0897F7" w14:textId="77777777" w:rsidR="009E3F55" w:rsidRPr="007476BD" w:rsidRDefault="006D03F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 (12.4)</w:t>
            </w:r>
          </w:p>
        </w:tc>
        <w:tc>
          <w:tcPr>
            <w:tcW w:w="1701" w:type="dxa"/>
            <w:hideMark/>
          </w:tcPr>
          <w:p w14:paraId="1DBAA8D6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0DDA0E12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20DE6478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0EC11BE0" w14:textId="77777777" w:rsidR="009E3F55" w:rsidRPr="007476BD" w:rsidRDefault="004D0621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3.9 (3.2 – 4.7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21571068" w14:textId="77777777" w:rsidR="009E3F55" w:rsidRPr="007476BD" w:rsidRDefault="004D0621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 (4.9 – 10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.2)</w:t>
            </w:r>
          </w:p>
        </w:tc>
        <w:tc>
          <w:tcPr>
            <w:tcW w:w="1701" w:type="dxa"/>
          </w:tcPr>
          <w:p w14:paraId="241D29D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3EDAF20B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015A8589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08C186B4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0359682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C9CEF" w14:textId="77777777" w:rsidR="009E3F55" w:rsidRPr="007476BD" w:rsidRDefault="003B283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1.83 (1.21 – 2.77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11D3DF9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DF640A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DCF6A" w14:textId="77777777" w:rsidR="009E3F55" w:rsidRPr="007476BD" w:rsidRDefault="003B283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839">
              <w:rPr>
                <w:rFonts w:asciiTheme="minorHAnsi" w:hAnsiTheme="minorHAnsi" w:cstheme="minorHAnsi"/>
                <w:sz w:val="22"/>
                <w:szCs w:val="22"/>
              </w:rPr>
              <w:t>0.004</w:t>
            </w:r>
          </w:p>
        </w:tc>
      </w:tr>
      <w:tr w:rsidR="009E3F55" w:rsidRPr="007476BD" w14:paraId="6215F706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70847658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24BD12D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0487B7B8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FAE83" w14:textId="77777777" w:rsidR="009E3F55" w:rsidRPr="007476BD" w:rsidRDefault="00B056D7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1.84 (1.20 – 2.82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9F6B8E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210DB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76F4F" w14:textId="77777777" w:rsidR="009E3F55" w:rsidRPr="007476BD" w:rsidRDefault="00B056D7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6D7">
              <w:rPr>
                <w:rFonts w:asciiTheme="minorHAnsi" w:hAnsiTheme="minorHAnsi" w:cstheme="minorHAnsi"/>
                <w:sz w:val="22"/>
                <w:szCs w:val="22"/>
              </w:rPr>
              <w:t>0.005</w:t>
            </w:r>
          </w:p>
        </w:tc>
      </w:tr>
    </w:tbl>
    <w:p w14:paraId="7FB28C66" w14:textId="77777777" w:rsidR="00D759EB" w:rsidRDefault="00D759EB">
      <w:r>
        <w:br w:type="page"/>
      </w:r>
    </w:p>
    <w:tbl>
      <w:tblPr>
        <w:tblStyle w:val="Grilledutableau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1701"/>
      </w:tblGrid>
      <w:tr w:rsidR="009E3F55" w:rsidRPr="00B0137D" w14:paraId="07935EE2" w14:textId="77777777" w:rsidTr="00AA5D97">
        <w:trPr>
          <w:trHeight w:val="567"/>
          <w:jc w:val="center"/>
        </w:trPr>
        <w:tc>
          <w:tcPr>
            <w:tcW w:w="2410" w:type="dxa"/>
            <w:vAlign w:val="center"/>
            <w:hideMark/>
          </w:tcPr>
          <w:p w14:paraId="7FC1227B" w14:textId="77777777" w:rsidR="009E3F55" w:rsidRPr="006A7CF7" w:rsidRDefault="009E3F55" w:rsidP="00AA5D97">
            <w:pPr>
              <w:widowControl w:val="0"/>
              <w:spacing w:after="0"/>
              <w:rPr>
                <w:rFonts w:cs="Calibri"/>
                <w:sz w:val="22"/>
                <w:szCs w:val="22"/>
                <w:vertAlign w:val="superscript"/>
              </w:rPr>
            </w:pPr>
            <w:r w:rsidRPr="00B0137D">
              <w:rPr>
                <w:rFonts w:cs="Calibr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  <w:hideMark/>
          </w:tcPr>
          <w:p w14:paraId="2F54CB96" w14:textId="77777777" w:rsidR="009E3F55" w:rsidRPr="00B0137D" w:rsidRDefault="009E3F55" w:rsidP="00AA5D97">
            <w:pPr>
              <w:widowControl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  <w:r w:rsidRPr="00B0137D">
              <w:rPr>
                <w:rFonts w:cs="Calibr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6312F98E" w14:textId="77777777" w:rsidR="009E3F55" w:rsidRPr="00B0137D" w:rsidRDefault="009E3F55" w:rsidP="00AA5D97">
            <w:pPr>
              <w:widowControl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</w:p>
          <w:p w14:paraId="69FCA209" w14:textId="77777777" w:rsidR="009E3F55" w:rsidRPr="00B0137D" w:rsidRDefault="00B056D7" w:rsidP="00AA5D97">
            <w:pPr>
              <w:widowControl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1.80 (1.17 – 2.76</w:t>
            </w:r>
            <w:r w:rsidR="009E3F55" w:rsidRPr="00B0137D">
              <w:rPr>
                <w:rFonts w:cs="Calibri"/>
                <w:sz w:val="22"/>
                <w:szCs w:val="22"/>
              </w:rPr>
              <w:t>)</w:t>
            </w:r>
          </w:p>
          <w:p w14:paraId="1BE1313A" w14:textId="77777777" w:rsidR="009E3F55" w:rsidRPr="00B0137D" w:rsidRDefault="009E3F55" w:rsidP="00AA5D97">
            <w:pPr>
              <w:widowControl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A3E83" w14:textId="77777777" w:rsidR="009E3F55" w:rsidRPr="00B0137D" w:rsidRDefault="009E3F55" w:rsidP="00AA5D97">
            <w:pPr>
              <w:widowControl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</w:p>
          <w:p w14:paraId="54ACE328" w14:textId="77777777" w:rsidR="009E3F55" w:rsidRPr="00B0137D" w:rsidRDefault="00B056D7" w:rsidP="00AA5D97">
            <w:pPr>
              <w:widowControl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  <w:r w:rsidRPr="00B056D7">
              <w:rPr>
                <w:rFonts w:cs="Calibri"/>
                <w:sz w:val="22"/>
                <w:szCs w:val="22"/>
              </w:rPr>
              <w:t>0.007</w:t>
            </w:r>
          </w:p>
        </w:tc>
      </w:tr>
      <w:tr w:rsidR="009E3F55" w:rsidRPr="007476BD" w14:paraId="2B484D97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3BABC66A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sz w:val="22"/>
                <w:szCs w:val="22"/>
              </w:rPr>
              <w:t>All-cause death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7E7A0D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C11DA6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3F579A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0EF3D572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0FD55893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06B3B428" w14:textId="77777777" w:rsidR="009E3F55" w:rsidRPr="007476BD" w:rsidRDefault="00027D6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556 (38.9</w:t>
            </w:r>
            <w:r w:rsidRPr="00027D6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37131136" w14:textId="77777777" w:rsidR="009E3F55" w:rsidRPr="007476BD" w:rsidRDefault="00027D6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114 (48.7</w:t>
            </w:r>
            <w:r w:rsidRPr="00027D6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718824AC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580135DC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3B502CBD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0DD11C97" w14:textId="77777777" w:rsidR="009E3F55" w:rsidRPr="007476BD" w:rsidRDefault="00027D6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21.6 (19.9 – 23.5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2A427CBC" w14:textId="77777777" w:rsidR="009E3F55" w:rsidRPr="007476BD" w:rsidRDefault="00027D6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27.9 (23.2 – 33.6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3B814C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6D91EC8D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17C1B87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5138E56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0EC4A43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B9922" w14:textId="77777777" w:rsidR="009E3F55" w:rsidRPr="007476BD" w:rsidRDefault="002D4C0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1.30 (1.06 – 1.59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B8E831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71B9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A1F5C" w14:textId="77777777" w:rsidR="009E3F55" w:rsidRPr="007476BD" w:rsidRDefault="002D4C0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C09">
              <w:rPr>
                <w:rFonts w:asciiTheme="minorHAnsi" w:hAnsiTheme="minorHAnsi" w:cstheme="minorHAnsi"/>
                <w:sz w:val="22"/>
                <w:szCs w:val="22"/>
              </w:rPr>
              <w:t>0.012</w:t>
            </w:r>
          </w:p>
        </w:tc>
      </w:tr>
      <w:tr w:rsidR="009E3F55" w:rsidRPr="007476BD" w14:paraId="16C3CC64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122CDF27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5E798D7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783423A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9BF2E" w14:textId="77777777" w:rsidR="009E3F55" w:rsidRPr="007476BD" w:rsidRDefault="002D4C0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1.19 (0.96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 xml:space="preserve"> – 1.46)</w:t>
            </w:r>
          </w:p>
          <w:p w14:paraId="3F37E9A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0B905F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E8226" w14:textId="77777777" w:rsidR="009E3F55" w:rsidRPr="007476BD" w:rsidRDefault="002D4C0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C09">
              <w:rPr>
                <w:rFonts w:asciiTheme="minorHAnsi" w:hAnsiTheme="minorHAnsi" w:cstheme="minorHAnsi"/>
                <w:sz w:val="22"/>
                <w:szCs w:val="22"/>
              </w:rPr>
              <w:t>0.105</w:t>
            </w:r>
          </w:p>
        </w:tc>
      </w:tr>
      <w:tr w:rsidR="009E3F55" w:rsidRPr="007476BD" w14:paraId="785955E7" w14:textId="77777777" w:rsidTr="00AA5D97">
        <w:trPr>
          <w:trHeight w:val="567"/>
          <w:jc w:val="center"/>
        </w:trPr>
        <w:tc>
          <w:tcPr>
            <w:tcW w:w="2410" w:type="dxa"/>
            <w:vAlign w:val="center"/>
            <w:hideMark/>
          </w:tcPr>
          <w:p w14:paraId="7084D0F9" w14:textId="77777777" w:rsidR="009E3F55" w:rsidRPr="007476BD" w:rsidRDefault="009E3F55" w:rsidP="00AA5D97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  <w:hideMark/>
          </w:tcPr>
          <w:p w14:paraId="3251C696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063C3227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CA47C" w14:textId="77777777" w:rsidR="009E3F55" w:rsidRPr="007476BD" w:rsidRDefault="002D4C09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1.17 (0.95 – 1.44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31F0A3A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D84376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0F164" w14:textId="77777777" w:rsidR="009E3F55" w:rsidRPr="007476BD" w:rsidRDefault="002D4C09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C09">
              <w:rPr>
                <w:rFonts w:asciiTheme="minorHAnsi" w:hAnsiTheme="minorHAnsi" w:cstheme="minorHAnsi"/>
                <w:sz w:val="22"/>
                <w:szCs w:val="22"/>
              </w:rPr>
              <w:t>0.140</w:t>
            </w:r>
          </w:p>
        </w:tc>
      </w:tr>
      <w:tr w:rsidR="009E3F55" w:rsidRPr="007476BD" w14:paraId="33C265A7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16417130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sz w:val="22"/>
                <w:szCs w:val="22"/>
              </w:rPr>
              <w:t>Pump failure death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79FF210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162F6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426136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77396716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3C28358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1835B258" w14:textId="77777777" w:rsidR="009E3F55" w:rsidRPr="007476BD" w:rsidRDefault="00E35B1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275 (19.2</w:t>
            </w:r>
            <w:r w:rsidRPr="00E35B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5F07989B" w14:textId="77777777" w:rsidR="009E3F55" w:rsidRPr="007476BD" w:rsidRDefault="00E35B1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 (17.5</w:t>
            </w:r>
            <w:r w:rsidRPr="00E35B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41766CD1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16E75565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7034BD09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324500D3" w14:textId="77777777" w:rsidR="009E3F55" w:rsidRPr="007476BD" w:rsidRDefault="008F012F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10.7 (9.5 – 12.0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1C3D708D" w14:textId="77777777" w:rsidR="009E3F55" w:rsidRPr="007476BD" w:rsidRDefault="008F012F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 (7.4 – 13.6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C13992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661CA3AE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3C3D0A5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4A28125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7E53BF7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4EC61" w14:textId="77777777" w:rsidR="009E3F55" w:rsidRPr="007476BD" w:rsidRDefault="00F3444C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0.94 (0.68 – 1.31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24D2F44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1AF81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BEFD6" w14:textId="77777777" w:rsidR="009E3F55" w:rsidRPr="007476BD" w:rsidRDefault="00F3444C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44C">
              <w:rPr>
                <w:rFonts w:asciiTheme="minorHAnsi" w:hAnsiTheme="minorHAnsi" w:cstheme="minorHAnsi"/>
                <w:sz w:val="22"/>
                <w:szCs w:val="22"/>
              </w:rPr>
              <w:t>0.727</w:t>
            </w:r>
          </w:p>
        </w:tc>
      </w:tr>
      <w:tr w:rsidR="009E3F55" w:rsidRPr="007476BD" w14:paraId="1A3F9C87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73C03A3A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3086B21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3A6BE3D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1939D" w14:textId="77777777" w:rsidR="009E3F55" w:rsidRPr="007476BD" w:rsidRDefault="00F3444C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0.78 (0.56 – 1.09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558D15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62DDC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1F9FA" w14:textId="77777777" w:rsidR="009E3F55" w:rsidRPr="007476BD" w:rsidRDefault="00F3444C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44C">
              <w:rPr>
                <w:rFonts w:asciiTheme="minorHAnsi" w:hAnsiTheme="minorHAnsi" w:cstheme="minorHAnsi"/>
                <w:sz w:val="22"/>
                <w:szCs w:val="22"/>
              </w:rPr>
              <w:t>0.150</w:t>
            </w:r>
          </w:p>
        </w:tc>
      </w:tr>
      <w:tr w:rsidR="009E3F55" w:rsidRPr="007476BD" w14:paraId="35133CED" w14:textId="77777777" w:rsidTr="00AA5D97">
        <w:trPr>
          <w:trHeight w:val="567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49D12" w14:textId="77777777" w:rsidR="009E3F55" w:rsidRPr="007476BD" w:rsidRDefault="009E3F55" w:rsidP="00AA5D97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EA6D97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7B2094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DCF17" w14:textId="77777777" w:rsidR="009E3F55" w:rsidRPr="007476BD" w:rsidRDefault="00F3444C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0.77 (0.55 – 1.08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E1E92F9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50B1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9886A" w14:textId="77777777" w:rsidR="009E3F55" w:rsidRPr="007476BD" w:rsidRDefault="00F3444C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44C">
              <w:rPr>
                <w:rFonts w:asciiTheme="minorHAnsi" w:hAnsiTheme="minorHAnsi" w:cstheme="minorHAnsi"/>
                <w:sz w:val="22"/>
                <w:szCs w:val="22"/>
              </w:rPr>
              <w:t>0.127</w:t>
            </w:r>
          </w:p>
        </w:tc>
      </w:tr>
      <w:tr w:rsidR="009E3F55" w:rsidRPr="007476BD" w14:paraId="25EA8815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3E1511A9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sz w:val="22"/>
                <w:szCs w:val="22"/>
              </w:rPr>
              <w:t>Sudden cardiac death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95357C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D5AA5BD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9950B98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5E7B84D4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31735A82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3163EEA4" w14:textId="77777777" w:rsidR="009E3F55" w:rsidRPr="007476BD" w:rsidRDefault="00FE565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155 (10.8</w:t>
            </w:r>
            <w:r w:rsidRPr="00FE565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61C6D302" w14:textId="77777777" w:rsidR="009E3F55" w:rsidRPr="007476BD" w:rsidRDefault="00FE565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 (15.8</w:t>
            </w:r>
            <w:r w:rsidRPr="00FE565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2399CDDE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6188CBE4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3A3A849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787BC83D" w14:textId="77777777" w:rsidR="009E3F55" w:rsidRPr="007476BD" w:rsidRDefault="00FE565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6.0 (5.2 – 7.1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3FBDD68E" w14:textId="77777777" w:rsidR="009E3F55" w:rsidRPr="007476BD" w:rsidRDefault="00FE565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 (6.6 – 12.5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0DCCBF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7E770162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802E708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02660BC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1FDDA988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D85A7" w14:textId="77777777" w:rsidR="009E3F55" w:rsidRPr="007476BD" w:rsidRDefault="00FE565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1.51 (1.06 – 2.17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2BD0779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D4827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D5949" w14:textId="77777777" w:rsidR="009E3F55" w:rsidRPr="007476BD" w:rsidRDefault="00FE565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654">
              <w:rPr>
                <w:rFonts w:asciiTheme="minorHAnsi" w:hAnsiTheme="minorHAnsi" w:cstheme="minorHAnsi"/>
                <w:sz w:val="22"/>
                <w:szCs w:val="22"/>
              </w:rPr>
              <w:t>0.024</w:t>
            </w:r>
          </w:p>
        </w:tc>
      </w:tr>
      <w:tr w:rsidR="009E3F55" w:rsidRPr="007476BD" w14:paraId="76AB4ADA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367D11D3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7721A3FD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609D2708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F3D25" w14:textId="77777777" w:rsidR="009E3F55" w:rsidRPr="007476BD" w:rsidRDefault="00FF46D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1.44</w:t>
            </w:r>
            <w:r w:rsidR="004072A4">
              <w:rPr>
                <w:rFonts w:asciiTheme="minorHAnsi" w:hAnsiTheme="minorHAnsi" w:cstheme="minorHAnsi"/>
                <w:sz w:val="22"/>
                <w:szCs w:val="22"/>
              </w:rPr>
              <w:t xml:space="preserve"> (1.00 – 2.09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00962C0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1E1CF8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A18EF" w14:textId="77777777" w:rsidR="009E3F55" w:rsidRPr="007476BD" w:rsidRDefault="00FF46D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6D5">
              <w:rPr>
                <w:rFonts w:asciiTheme="minorHAnsi" w:hAnsiTheme="minorHAnsi" w:cstheme="minorHAnsi"/>
                <w:sz w:val="22"/>
                <w:szCs w:val="22"/>
              </w:rPr>
              <w:t>0.052</w:t>
            </w:r>
          </w:p>
        </w:tc>
      </w:tr>
    </w:tbl>
    <w:p w14:paraId="24638682" w14:textId="77777777" w:rsidR="00FF46D5" w:rsidRDefault="00FF46D5">
      <w:r>
        <w:br w:type="page"/>
      </w:r>
    </w:p>
    <w:tbl>
      <w:tblPr>
        <w:tblStyle w:val="Grilledutableau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1701"/>
      </w:tblGrid>
      <w:tr w:rsidR="009E3F55" w:rsidRPr="007476BD" w14:paraId="4A5E42FC" w14:textId="77777777" w:rsidTr="00AA5D97">
        <w:trPr>
          <w:trHeight w:val="567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2BDFB4" w14:textId="77777777" w:rsidR="009E3F55" w:rsidRPr="007476BD" w:rsidRDefault="009E3F55" w:rsidP="00AA5D97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31B1E4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245D4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DB339" w14:textId="77777777" w:rsidR="009E3F55" w:rsidRPr="007476BD" w:rsidRDefault="00FF46D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1.42 (0.98 – 2.05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C91906A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DEBFA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2BBE0" w14:textId="77777777" w:rsidR="009E3F55" w:rsidRPr="007476BD" w:rsidRDefault="00FF46D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6D5">
              <w:rPr>
                <w:rFonts w:asciiTheme="minorHAnsi" w:hAnsiTheme="minorHAnsi" w:cstheme="minorHAnsi"/>
                <w:sz w:val="22"/>
                <w:szCs w:val="22"/>
              </w:rPr>
              <w:t>0.062</w:t>
            </w:r>
          </w:p>
        </w:tc>
      </w:tr>
      <w:tr w:rsidR="009E3F55" w14:paraId="51434A36" w14:textId="77777777" w:rsidTr="00AA5D9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3CA9BF" w14:textId="77777777" w:rsidR="009E3F55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*</w:t>
            </w:r>
            <w:r w:rsidRPr="004C53F0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 xml:space="preserve"> </w:t>
            </w:r>
            <w:r w:rsidRPr="004C53F0">
              <w:rPr>
                <w:rFonts w:asciiTheme="minorHAnsi" w:hAnsiTheme="minorHAnsi" w:cs="Calibri"/>
                <w:sz w:val="18"/>
                <w:szCs w:val="18"/>
              </w:rPr>
              <w:t>Model adjusted for age, sex, race, heart rate, systolic blood pressure, New York Heart Association classification, left ventricular ejection fraction, estimated glomerular filtration rate, history of myocardial infarction, di</w:t>
            </w:r>
            <w:r>
              <w:rPr>
                <w:rFonts w:asciiTheme="minorHAnsi" w:hAnsiTheme="minorHAnsi" w:cs="Calibri"/>
                <w:sz w:val="18"/>
                <w:szCs w:val="18"/>
              </w:rPr>
              <w:t>abetes and atrial fibrillation.</w:t>
            </w:r>
          </w:p>
          <w:p w14:paraId="3B48C2F4" w14:textId="77777777" w:rsidR="009E3F55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Adjusted as for *</w:t>
            </w:r>
            <w:r w:rsidRPr="00C201E6">
              <w:rPr>
                <w:rFonts w:asciiTheme="minorHAnsi" w:hAnsiTheme="minorHAnsi" w:cs="Calibri"/>
                <w:sz w:val="18"/>
                <w:szCs w:val="18"/>
              </w:rPr>
              <w:t xml:space="preserve"> with additional adjustment for beta blocker prescription at baseline. </w:t>
            </w:r>
          </w:p>
          <w:p w14:paraId="716BD7D0" w14:textId="77777777" w:rsidR="009E3F55" w:rsidRPr="004C53F0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FD5107">
              <w:rPr>
                <w:rFonts w:asciiTheme="minorHAnsi" w:hAnsiTheme="minorHAnsi" w:cs="Calibri"/>
                <w:sz w:val="18"/>
                <w:szCs w:val="18"/>
              </w:rPr>
              <w:t>Chronic obstructive pulmonary disease (COPD);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heart failure (HF); hazard ratio (HR).</w:t>
            </w:r>
            <w:r w:rsidRPr="00C201E6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</w:p>
        </w:tc>
      </w:tr>
    </w:tbl>
    <w:p w14:paraId="1D82D901" w14:textId="77777777" w:rsidR="009E3F55" w:rsidRDefault="009E3F55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  <w:r>
        <w:rPr>
          <w:rFonts w:cstheme="minorBidi"/>
          <w:kern w:val="2"/>
          <w:sz w:val="24"/>
          <w:szCs w:val="24"/>
          <w:lang w:eastAsia="ja-JP"/>
        </w:rPr>
        <w:t xml:space="preserve">  </w:t>
      </w:r>
    </w:p>
    <w:p w14:paraId="3FCBB79B" w14:textId="77777777" w:rsidR="009E3F55" w:rsidRDefault="009E3F55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054F90A6" w14:textId="77777777" w:rsidR="000E2044" w:rsidRDefault="000E2044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586CF3E4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66D54585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1ED8FB66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05314A1B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4EF49D50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1943E60C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5CDD27FC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2B53CF48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4943C3BD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47B9078C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20635031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1D082279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5C1F380C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34B61820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48C84F74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479CE816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698070C0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7F727101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64662BD9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3EAD00AB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0DFF7BFD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1D44408D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5E6D1812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1A4142E2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54AF917F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6E6D9438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7CDC1570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222F5583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0CF044C1" w14:textId="77777777" w:rsidR="00CE26A7" w:rsidRDefault="00CE26A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788A627F" w14:textId="77777777" w:rsidR="000E2044" w:rsidRDefault="000E2044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6FF19FCA" w14:textId="77777777" w:rsidR="000E2044" w:rsidRDefault="000E2044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238BF9C0" w14:textId="77777777" w:rsidR="00FA522D" w:rsidRDefault="00FA522D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4BF90DD8" w14:textId="77777777" w:rsidR="00FA522D" w:rsidRDefault="00FA522D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tbl>
      <w:tblPr>
        <w:tblStyle w:val="Grilledutableau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1701"/>
      </w:tblGrid>
      <w:tr w:rsidR="009E3F55" w14:paraId="6B80F845" w14:textId="77777777" w:rsidTr="00AA5D9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95022B" w14:textId="77777777" w:rsidR="009E3F55" w:rsidRDefault="009E3F55" w:rsidP="00AA5D9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Supplemental Table III: </w:t>
            </w:r>
            <w:r>
              <w:rPr>
                <w:rFonts w:asciiTheme="minorHAnsi" w:hAnsiTheme="minorHAnsi" w:cstheme="minorHAnsi"/>
                <w:b/>
              </w:rPr>
              <w:t xml:space="preserve">Event rate (per 100 patient-years) and risk of study endpoints </w:t>
            </w:r>
            <w:r>
              <w:rPr>
                <w:rFonts w:cs="Calibri"/>
                <w:b/>
                <w:bCs/>
              </w:rPr>
              <w:t>according to COPD status (EMPHASIS-HF only)</w:t>
            </w:r>
          </w:p>
        </w:tc>
      </w:tr>
      <w:tr w:rsidR="009E3F55" w:rsidRPr="007476BD" w14:paraId="104F4C32" w14:textId="77777777" w:rsidTr="00AA5D97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C1684D" w14:textId="77777777" w:rsidR="009E3F55" w:rsidRPr="007476BD" w:rsidRDefault="009E3F55" w:rsidP="00AA5D9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CB27E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sz w:val="22"/>
                <w:szCs w:val="22"/>
              </w:rPr>
              <w:t>Without COPD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C722F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With COPD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9500E0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P-</w:t>
            </w: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value</w:t>
            </w:r>
          </w:p>
        </w:tc>
      </w:tr>
      <w:tr w:rsidR="009E3F55" w:rsidRPr="007476BD" w14:paraId="0AA07320" w14:textId="77777777" w:rsidTr="00AA5D97">
        <w:trPr>
          <w:trHeight w:val="454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AE431" w14:textId="77777777" w:rsidR="009E3F55" w:rsidRPr="007476BD" w:rsidRDefault="009E3F55" w:rsidP="00AA5D97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811754" w14:textId="77777777" w:rsidR="009E3F55" w:rsidRPr="007476BD" w:rsidRDefault="0013635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(N=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36359">
              <w:rPr>
                <w:rFonts w:asciiTheme="minorHAnsi" w:hAnsiTheme="minorHAnsi" w:cstheme="minorHAnsi"/>
                <w:b/>
                <w:sz w:val="22"/>
                <w:szCs w:val="22"/>
              </w:rPr>
              <w:t>343</w:t>
            </w:r>
            <w:r w:rsidR="009E3F55" w:rsidRPr="007476B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6897BA" w14:textId="77777777" w:rsidR="009E3F55" w:rsidRPr="007476BD" w:rsidRDefault="0013635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(N=</w:t>
            </w:r>
            <w:r>
              <w:t xml:space="preserve"> </w:t>
            </w:r>
            <w:r w:rsidRPr="00136359">
              <w:rPr>
                <w:rFonts w:asciiTheme="minorHAnsi" w:hAnsiTheme="minorHAnsi" w:cstheme="minorHAnsi"/>
                <w:b/>
                <w:sz w:val="22"/>
                <w:szCs w:val="22"/>
              </w:rPr>
              <w:t>391</w:t>
            </w:r>
            <w:r w:rsidR="009E3F55" w:rsidRPr="007476B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91ACD6" w14:textId="77777777" w:rsidR="009E3F55" w:rsidRPr="007476BD" w:rsidRDefault="009E3F55" w:rsidP="00AA5D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3F55" w:rsidRPr="007476BD" w14:paraId="49B7858A" w14:textId="77777777" w:rsidTr="00AA5D97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6D3CE2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HF hospitalis</w:t>
            </w: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ation or cardiovascular death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C5950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F2E8BD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D7612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131BC0E6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208ACD96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07FDADCA" w14:textId="77777777" w:rsidR="009E3F55" w:rsidRPr="007476BD" w:rsidRDefault="00A2751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514">
              <w:rPr>
                <w:rFonts w:asciiTheme="minorHAnsi" w:hAnsiTheme="minorHAnsi" w:cstheme="minorHAnsi"/>
                <w:sz w:val="22"/>
                <w:szCs w:val="22"/>
              </w:rPr>
              <w:t>500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  <w:r w:rsidRPr="00A275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2A00DE00" w14:textId="77777777" w:rsidR="009E3F55" w:rsidRPr="007476BD" w:rsidRDefault="00A2751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104 (26.6</w:t>
            </w:r>
            <w:r w:rsidRPr="00A275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7E5161A4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3D508D5D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2AC3F5D2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3ABA50F5" w14:textId="77777777" w:rsidR="009E3F55" w:rsidRPr="007476BD" w:rsidRDefault="006F4C7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12.8 (11.8 – 14.0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18C08E6A" w14:textId="77777777" w:rsidR="009E3F55" w:rsidRPr="007476BD" w:rsidRDefault="006F4C7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17.8 (14.7 – 21.6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E242FF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193AC3EC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64C0DF0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3EBF924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565B31FD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99759" w14:textId="77777777" w:rsidR="009E3F55" w:rsidRPr="007476BD" w:rsidRDefault="006F4C7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1.39 (1.13 – 1.72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64FDC0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B95A0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EA131" w14:textId="77777777" w:rsidR="009E3F55" w:rsidRPr="007476BD" w:rsidRDefault="006F4C7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C7A">
              <w:rPr>
                <w:rFonts w:asciiTheme="minorHAnsi" w:hAnsiTheme="minorHAnsi" w:cstheme="minorHAnsi"/>
                <w:sz w:val="22"/>
                <w:szCs w:val="22"/>
              </w:rPr>
              <w:t>0.002</w:t>
            </w:r>
          </w:p>
        </w:tc>
      </w:tr>
      <w:tr w:rsidR="009E3F55" w:rsidRPr="007476BD" w14:paraId="31C62B0E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7E7AF685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4E50389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7697BE7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2AB41" w14:textId="77777777" w:rsidR="009E3F55" w:rsidRPr="007476BD" w:rsidRDefault="006F4C7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1.32 (1.05 – 1.64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820B62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F8D254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9CA63" w14:textId="77777777" w:rsidR="009E3F55" w:rsidRPr="007476BD" w:rsidRDefault="006F4C7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C7A">
              <w:rPr>
                <w:rFonts w:asciiTheme="minorHAnsi" w:hAnsiTheme="minorHAnsi" w:cstheme="minorHAnsi"/>
                <w:sz w:val="22"/>
                <w:szCs w:val="22"/>
              </w:rPr>
              <w:t>0.015</w:t>
            </w:r>
          </w:p>
        </w:tc>
      </w:tr>
      <w:tr w:rsidR="009E3F55" w:rsidRPr="007476BD" w14:paraId="0F8A48DA" w14:textId="77777777" w:rsidTr="00AA5D97">
        <w:trPr>
          <w:trHeight w:val="454"/>
          <w:jc w:val="center"/>
        </w:trPr>
        <w:tc>
          <w:tcPr>
            <w:tcW w:w="2410" w:type="dxa"/>
            <w:vAlign w:val="center"/>
          </w:tcPr>
          <w:p w14:paraId="1A6E91ED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</w:tcPr>
          <w:p w14:paraId="1EE102C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393418F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E3D3B" w14:textId="77777777" w:rsidR="009E3F55" w:rsidRPr="007476BD" w:rsidRDefault="007A444B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1.26 (1.01 – 1.58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D6FCC30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F9196A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0D864" w14:textId="77777777" w:rsidR="009E3F55" w:rsidRPr="007476BD" w:rsidRDefault="007A444B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44B">
              <w:rPr>
                <w:rFonts w:asciiTheme="minorHAnsi" w:hAnsiTheme="minorHAnsi" w:cstheme="minorHAnsi"/>
                <w:sz w:val="22"/>
                <w:szCs w:val="22"/>
              </w:rPr>
              <w:t>0.042</w:t>
            </w:r>
          </w:p>
        </w:tc>
      </w:tr>
      <w:tr w:rsidR="009E3F55" w:rsidRPr="007476BD" w14:paraId="49AB5875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4719827A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HF hospitalis</w:t>
            </w: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AF4D6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8391C0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1F5B19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40618A28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D6D4F7B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758EFD65" w14:textId="77777777" w:rsidR="009E3F55" w:rsidRPr="007476BD" w:rsidRDefault="00E872B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343 (14.6</w:t>
            </w:r>
            <w:r w:rsidRPr="00E872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099BF21F" w14:textId="77777777" w:rsidR="009E3F55" w:rsidRPr="007476BD" w:rsidRDefault="00E872B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 (18.9</w:t>
            </w:r>
            <w:r w:rsidRPr="00E872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3EA44E6D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08ED34CD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78FE0335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43CE10EC" w14:textId="77777777" w:rsidR="009E3F55" w:rsidRPr="007476BD" w:rsidRDefault="00FB2467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8.8 (7.9 – 9.8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536C1390" w14:textId="77777777" w:rsidR="009E3F55" w:rsidRPr="007476BD" w:rsidRDefault="00E872B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12.7 (10.1 – 15.9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4374F6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7E923D1B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0F0F59FE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5AFC1D9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1509270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2A9E85" w14:textId="77777777" w:rsidR="009E3F55" w:rsidRPr="007476BD" w:rsidRDefault="00FB2467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1.44 (1.12 – 1.86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D101488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F0726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2DBAD" w14:textId="77777777" w:rsidR="009E3F55" w:rsidRPr="007476BD" w:rsidRDefault="00FB2467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467">
              <w:rPr>
                <w:rFonts w:asciiTheme="minorHAnsi" w:hAnsiTheme="minorHAnsi" w:cstheme="minorHAnsi"/>
                <w:sz w:val="22"/>
                <w:szCs w:val="22"/>
              </w:rPr>
              <w:t>0.004</w:t>
            </w:r>
          </w:p>
        </w:tc>
      </w:tr>
      <w:tr w:rsidR="009E3F55" w:rsidRPr="007476BD" w14:paraId="59B23ABB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B3F3D07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5415181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4849654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EF623" w14:textId="77777777" w:rsidR="009E3F55" w:rsidRPr="007476BD" w:rsidRDefault="00FA522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1.35 (1.03 – 1.75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2F57009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D7E28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97BE1" w14:textId="77777777" w:rsidR="009E3F55" w:rsidRPr="007476BD" w:rsidRDefault="00FA522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522D">
              <w:rPr>
                <w:rFonts w:asciiTheme="minorHAnsi" w:hAnsiTheme="minorHAnsi" w:cstheme="minorHAnsi"/>
                <w:sz w:val="22"/>
                <w:szCs w:val="22"/>
              </w:rPr>
              <w:t>0.028</w:t>
            </w:r>
          </w:p>
        </w:tc>
      </w:tr>
      <w:tr w:rsidR="009E3F55" w:rsidRPr="007476BD" w14:paraId="6F3939B4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25840987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  <w:hideMark/>
          </w:tcPr>
          <w:p w14:paraId="556E419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01D7AEA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4F4BE" w14:textId="77777777" w:rsidR="009E3F55" w:rsidRPr="007476BD" w:rsidRDefault="00FA522D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1.29 (0.98 – 1.69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83E0B52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4521A8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28EDD7" w14:textId="77777777" w:rsidR="009E3F55" w:rsidRPr="007476BD" w:rsidRDefault="00FA522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522D">
              <w:rPr>
                <w:rFonts w:asciiTheme="minorHAnsi" w:hAnsiTheme="minorHAnsi" w:cstheme="minorHAnsi"/>
                <w:sz w:val="22"/>
                <w:szCs w:val="22"/>
              </w:rPr>
              <w:t>0.065</w:t>
            </w:r>
          </w:p>
        </w:tc>
      </w:tr>
      <w:tr w:rsidR="009E3F55" w:rsidRPr="007476BD" w14:paraId="2F06E7FA" w14:textId="77777777" w:rsidTr="00AA5D97">
        <w:trPr>
          <w:trHeight w:val="454"/>
          <w:jc w:val="center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679E1D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All-cause hospitalis</w:t>
            </w: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ation 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296B6A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0ABA24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3ED6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58ECB42A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36FE22C9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4E893F01" w14:textId="77777777" w:rsidR="009E3F55" w:rsidRPr="007476BD" w:rsidRDefault="003748D1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744 (31.8</w:t>
            </w:r>
            <w:r w:rsidRPr="003748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0242D5DF" w14:textId="77777777" w:rsidR="009E3F55" w:rsidRPr="007476BD" w:rsidRDefault="003748D1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154 (39.4</w:t>
            </w:r>
            <w:r w:rsidRPr="003748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59136A95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5D85E6A4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0BC89E88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2A7670C5" w14:textId="77777777" w:rsidR="009E3F55" w:rsidRPr="007476BD" w:rsidRDefault="003748D1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21.8 (20.3 – 23.5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1CD0F33C" w14:textId="77777777" w:rsidR="009E3F55" w:rsidRPr="007476BD" w:rsidRDefault="003748D1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32.1 (27.4 – 37.5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</w:tcPr>
          <w:p w14:paraId="17100B1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410446FB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74EDFC63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68F867D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1CB5538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2AF32" w14:textId="77777777" w:rsidR="009E3F55" w:rsidRPr="007476BD" w:rsidRDefault="003748D1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1.43 (1.20 – 1.70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617F7B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880120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FFEF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9E3F55" w:rsidRPr="007476BD" w14:paraId="64485A16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C23E672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684C8664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5ACCA88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95891" w14:textId="77777777" w:rsidR="009E3F55" w:rsidRPr="007476BD" w:rsidRDefault="003748D1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1.37 (1.14 – 1.65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C77AE9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725AEF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74895" w14:textId="77777777" w:rsidR="009E3F55" w:rsidRPr="007476BD" w:rsidRDefault="003748D1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8D1">
              <w:rPr>
                <w:rFonts w:asciiTheme="minorHAnsi" w:hAnsiTheme="minorHAnsi" w:cstheme="minorHAnsi"/>
                <w:sz w:val="22"/>
                <w:szCs w:val="22"/>
              </w:rPr>
              <w:t>0.001</w:t>
            </w:r>
          </w:p>
        </w:tc>
      </w:tr>
      <w:tr w:rsidR="009E3F55" w:rsidRPr="007476BD" w14:paraId="378FE10B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6B4F5A7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  <w:hideMark/>
          </w:tcPr>
          <w:p w14:paraId="2740E49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7F8DE498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878B77" w14:textId="77777777" w:rsidR="009E3F55" w:rsidRPr="007476BD" w:rsidRDefault="003748D1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  <w:r w:rsidR="009E3F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1.11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  <w:r w:rsidR="009E3F5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7FE0B9A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0FF5B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1C8C5" w14:textId="77777777" w:rsidR="009E3F55" w:rsidRPr="007476BD" w:rsidRDefault="003748D1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8D1">
              <w:rPr>
                <w:rFonts w:asciiTheme="minorHAnsi" w:hAnsiTheme="minorHAnsi" w:cstheme="minorHAnsi"/>
                <w:sz w:val="22"/>
                <w:szCs w:val="22"/>
              </w:rPr>
              <w:t>0.002</w:t>
            </w:r>
          </w:p>
        </w:tc>
      </w:tr>
      <w:tr w:rsidR="009E3F55" w:rsidRPr="007476BD" w14:paraId="374D6030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25B934AB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Non-Cardiovascular hospitalis</w:t>
            </w: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D265D8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3DE38D0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F3675A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34CC0959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2E6FF252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17B00850" w14:textId="77777777" w:rsidR="009E3F55" w:rsidRPr="007476BD" w:rsidRDefault="008A021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146 (6.2</w:t>
            </w:r>
            <w:r w:rsidRPr="008A021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573B9457" w14:textId="77777777" w:rsidR="009E3F55" w:rsidRPr="007476BD" w:rsidRDefault="008A021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 (12.5</w:t>
            </w:r>
            <w:r w:rsidRPr="008A021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23B6BF0D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59787308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128F7AF2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256C40B3" w14:textId="77777777" w:rsidR="009E3F55" w:rsidRPr="007476BD" w:rsidRDefault="008A021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3.6 (3.0 – 4.2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44FAE200" w14:textId="77777777" w:rsidR="009E3F55" w:rsidRPr="007476BD" w:rsidRDefault="008A021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8.2 (6.2 – 10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.8)</w:t>
            </w:r>
          </w:p>
        </w:tc>
        <w:tc>
          <w:tcPr>
            <w:tcW w:w="1701" w:type="dxa"/>
          </w:tcPr>
          <w:p w14:paraId="67BD051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02286ED3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7CE1DE88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0023057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5A94613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37347" w14:textId="77777777" w:rsidR="009E3F55" w:rsidRPr="007476BD" w:rsidRDefault="008A021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2.25 (1.63 – 3.1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474A0DEF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056AE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415E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9E3F55" w:rsidRPr="007476BD" w14:paraId="0BD7653D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64304175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2A4C172D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4421D28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6027E" w14:textId="77777777" w:rsidR="009E3F55" w:rsidRPr="007476BD" w:rsidRDefault="008A021A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2.09 (1.48 – 2.94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5EA953B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6BE32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55C0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9E3F55" w:rsidRPr="007476BD" w14:paraId="342635EE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61538497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  <w:hideMark/>
          </w:tcPr>
          <w:p w14:paraId="5C126DD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4A0DD5C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E53D6" w14:textId="77777777" w:rsidR="009E3F55" w:rsidRPr="007476BD" w:rsidRDefault="00966F7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2.13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1.51 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3.03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97302D8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410AF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E47D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9E3F55" w:rsidRPr="007476BD" w14:paraId="78F15952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38EFC201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Cardiovascular death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0F2725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0191C24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E59752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518C65ED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DFCA97B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40FEB5EA" w14:textId="77777777" w:rsidR="009E3F55" w:rsidRPr="007476BD" w:rsidRDefault="0068033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274 (11.7</w:t>
            </w:r>
            <w:r w:rsidRPr="006803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0695B0DF" w14:textId="77777777" w:rsidR="009E3F55" w:rsidRPr="007476BD" w:rsidRDefault="0068033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 (14.6</w:t>
            </w:r>
            <w:r w:rsidRPr="006803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37AF0CD7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66D97F0D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122F1C6D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34624795" w14:textId="77777777" w:rsidR="009E3F55" w:rsidRPr="007476BD" w:rsidRDefault="0068033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 (5.8 – 7.3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3960EBA2" w14:textId="77777777" w:rsidR="009E3F55" w:rsidRPr="007476BD" w:rsidRDefault="0068033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8.8 (6.8 – 11.4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63C6AC9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27D8A131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0EC145A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3BD5997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0C6E0D4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F3CF8" w14:textId="77777777" w:rsidR="009E3F55" w:rsidRPr="007476BD" w:rsidRDefault="0068033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1.36 (1.03 – 1.81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ED2E56F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B8D08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4B8F6" w14:textId="77777777" w:rsidR="009E3F55" w:rsidRPr="007476BD" w:rsidRDefault="0068033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33E">
              <w:rPr>
                <w:rFonts w:asciiTheme="minorHAnsi" w:hAnsiTheme="minorHAnsi" w:cstheme="minorHAnsi"/>
                <w:sz w:val="22"/>
                <w:szCs w:val="22"/>
              </w:rPr>
              <w:t>0.033</w:t>
            </w:r>
          </w:p>
        </w:tc>
      </w:tr>
      <w:tr w:rsidR="009E3F55" w:rsidRPr="007476BD" w14:paraId="7AEEF2EB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3CAC96F7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4428441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57CA0A30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5C4BA" w14:textId="77777777" w:rsidR="009E3F55" w:rsidRPr="007476BD" w:rsidRDefault="0068033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1.30 (0.96 – 1.75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B8905F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B77C79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F0565" w14:textId="77777777" w:rsidR="009E3F55" w:rsidRPr="007476BD" w:rsidRDefault="0068033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33E">
              <w:rPr>
                <w:rFonts w:asciiTheme="minorHAnsi" w:hAnsiTheme="minorHAnsi" w:cstheme="minorHAnsi"/>
                <w:sz w:val="22"/>
                <w:szCs w:val="22"/>
              </w:rPr>
              <w:t>0.089</w:t>
            </w:r>
          </w:p>
        </w:tc>
      </w:tr>
      <w:tr w:rsidR="009E3F55" w:rsidRPr="007476BD" w14:paraId="5E8670A9" w14:textId="77777777" w:rsidTr="00AA5D97">
        <w:trPr>
          <w:trHeight w:val="567"/>
          <w:jc w:val="center"/>
        </w:trPr>
        <w:tc>
          <w:tcPr>
            <w:tcW w:w="2410" w:type="dxa"/>
            <w:vAlign w:val="center"/>
            <w:hideMark/>
          </w:tcPr>
          <w:p w14:paraId="3BEA0B8C" w14:textId="77777777" w:rsidR="009E3F55" w:rsidRPr="007476BD" w:rsidRDefault="009E3F55" w:rsidP="00AA5D97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  <w:hideMark/>
          </w:tcPr>
          <w:p w14:paraId="1CC9BC2C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0244B450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609C0" w14:textId="77777777" w:rsidR="009E3F55" w:rsidRPr="007476BD" w:rsidRDefault="0068033E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1.26 (0.93 – 1.71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870D66E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DF15F9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ACD65" w14:textId="77777777" w:rsidR="009E3F55" w:rsidRPr="007476BD" w:rsidRDefault="0068033E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33E">
              <w:rPr>
                <w:rFonts w:asciiTheme="minorHAnsi" w:hAnsiTheme="minorHAnsi" w:cstheme="minorHAnsi"/>
                <w:sz w:val="22"/>
                <w:szCs w:val="22"/>
              </w:rPr>
              <w:t>0.132</w:t>
            </w:r>
          </w:p>
        </w:tc>
      </w:tr>
      <w:tr w:rsidR="009E3F55" w:rsidRPr="007476BD" w14:paraId="269FA6FE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669CDC7B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Non-Cardiovascular death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AC359C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3576A14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B8D4BB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56B0D596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5D63890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1644C16F" w14:textId="77777777" w:rsidR="009E3F55" w:rsidRPr="007476BD" w:rsidRDefault="0089633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 (1.7</w:t>
            </w:r>
            <w:r w:rsidRPr="00896336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2694" w:type="dxa"/>
            <w:vAlign w:val="center"/>
            <w:hideMark/>
          </w:tcPr>
          <w:p w14:paraId="66BD7FFC" w14:textId="77777777" w:rsidR="009E3F55" w:rsidRPr="007476BD" w:rsidRDefault="0089633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(2.8</w:t>
            </w:r>
            <w:r w:rsidRPr="008963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0EE3DD63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142EBDC4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8FEC54A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40E39401" w14:textId="77777777" w:rsidR="009E3F55" w:rsidRPr="007476BD" w:rsidRDefault="0089633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 (0.7 – 1.3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75B1C852" w14:textId="77777777" w:rsidR="009E3F55" w:rsidRPr="007476BD" w:rsidRDefault="00896336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 (0.9 – 3.1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05EE97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00A1DF66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6032CBA3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17BB185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7FA1793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3912F" w14:textId="77777777" w:rsidR="009E3F55" w:rsidRPr="007476BD" w:rsidRDefault="000E204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1.77</w:t>
            </w:r>
            <w:r w:rsidR="008629AF">
              <w:rPr>
                <w:rFonts w:asciiTheme="minorHAnsi" w:hAnsiTheme="minorHAnsi" w:cstheme="minorHAnsi"/>
                <w:sz w:val="22"/>
                <w:szCs w:val="22"/>
              </w:rPr>
              <w:t xml:space="preserve"> (0.91 – 3.45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3D5BB6D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84081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7E6E6" w14:textId="77777777" w:rsidR="009E3F55" w:rsidRPr="007476BD" w:rsidRDefault="000E204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044">
              <w:rPr>
                <w:rFonts w:asciiTheme="minorHAnsi" w:hAnsiTheme="minorHAnsi" w:cstheme="minorHAnsi"/>
                <w:sz w:val="22"/>
                <w:szCs w:val="22"/>
              </w:rPr>
              <w:t>0.092</w:t>
            </w:r>
          </w:p>
        </w:tc>
      </w:tr>
      <w:tr w:rsidR="009E3F55" w:rsidRPr="007476BD" w14:paraId="19314F00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D03F75D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7C35842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2C1C8C0A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51F71" w14:textId="77777777" w:rsidR="009E3F55" w:rsidRPr="007476BD" w:rsidRDefault="000E204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1.81 (0.92 – 3.57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7041AA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7F420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4B35A" w14:textId="77777777" w:rsidR="009E3F55" w:rsidRPr="007476BD" w:rsidRDefault="000E2044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044">
              <w:rPr>
                <w:rFonts w:asciiTheme="minorHAnsi" w:hAnsiTheme="minorHAnsi" w:cstheme="minorHAnsi"/>
                <w:sz w:val="22"/>
                <w:szCs w:val="22"/>
              </w:rPr>
              <w:t>0.086</w:t>
            </w:r>
          </w:p>
        </w:tc>
      </w:tr>
    </w:tbl>
    <w:p w14:paraId="13B07B89" w14:textId="77777777" w:rsidR="00CE26A7" w:rsidRDefault="00CE26A7">
      <w:r>
        <w:br w:type="page"/>
      </w:r>
    </w:p>
    <w:tbl>
      <w:tblPr>
        <w:tblStyle w:val="Grilledutableau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1701"/>
      </w:tblGrid>
      <w:tr w:rsidR="009E3F55" w:rsidRPr="00B0137D" w14:paraId="49E7540C" w14:textId="77777777" w:rsidTr="00AA5D97">
        <w:trPr>
          <w:trHeight w:val="567"/>
          <w:jc w:val="center"/>
        </w:trPr>
        <w:tc>
          <w:tcPr>
            <w:tcW w:w="2410" w:type="dxa"/>
            <w:vAlign w:val="center"/>
            <w:hideMark/>
          </w:tcPr>
          <w:p w14:paraId="747FE3A6" w14:textId="77777777" w:rsidR="009E3F55" w:rsidRPr="006A7CF7" w:rsidRDefault="009E3F55" w:rsidP="00AA5D97">
            <w:pPr>
              <w:widowControl w:val="0"/>
              <w:spacing w:after="0"/>
              <w:rPr>
                <w:rFonts w:cs="Calibri"/>
                <w:sz w:val="22"/>
                <w:szCs w:val="22"/>
                <w:vertAlign w:val="superscript"/>
              </w:rPr>
            </w:pPr>
            <w:r w:rsidRPr="00B0137D">
              <w:rPr>
                <w:rFonts w:cs="Calibr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  <w:hideMark/>
          </w:tcPr>
          <w:p w14:paraId="694D4FF0" w14:textId="77777777" w:rsidR="009E3F55" w:rsidRPr="00B0137D" w:rsidRDefault="009E3F55" w:rsidP="00AA5D97">
            <w:pPr>
              <w:widowControl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  <w:r w:rsidRPr="00B0137D">
              <w:rPr>
                <w:rFonts w:cs="Calibr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5600951C" w14:textId="77777777" w:rsidR="009E3F55" w:rsidRPr="00B0137D" w:rsidRDefault="009E3F55" w:rsidP="00AA5D97">
            <w:pPr>
              <w:widowControl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</w:p>
          <w:p w14:paraId="6F6534BA" w14:textId="77777777" w:rsidR="009E3F55" w:rsidRPr="00B0137D" w:rsidRDefault="000E2044" w:rsidP="00AA5D97">
            <w:pPr>
              <w:widowControl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1.82 (0.92 – 3.61</w:t>
            </w:r>
            <w:r w:rsidR="009E3F55" w:rsidRPr="00B0137D">
              <w:rPr>
                <w:rFonts w:cs="Calibri"/>
                <w:sz w:val="22"/>
                <w:szCs w:val="22"/>
              </w:rPr>
              <w:t>)</w:t>
            </w:r>
          </w:p>
          <w:p w14:paraId="18A4B072" w14:textId="77777777" w:rsidR="009E3F55" w:rsidRPr="00B0137D" w:rsidRDefault="009E3F55" w:rsidP="00AA5D97">
            <w:pPr>
              <w:widowControl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11B60C" w14:textId="77777777" w:rsidR="009E3F55" w:rsidRPr="00B0137D" w:rsidRDefault="009E3F55" w:rsidP="00AA5D97">
            <w:pPr>
              <w:widowControl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</w:p>
          <w:p w14:paraId="1F81996B" w14:textId="77777777" w:rsidR="009E3F55" w:rsidRPr="00B0137D" w:rsidRDefault="000E2044" w:rsidP="00AA5D97">
            <w:pPr>
              <w:widowControl w:val="0"/>
              <w:spacing w:after="0"/>
              <w:jc w:val="center"/>
              <w:rPr>
                <w:rFonts w:cs="Calibri"/>
                <w:sz w:val="22"/>
                <w:szCs w:val="22"/>
              </w:rPr>
            </w:pPr>
            <w:r w:rsidRPr="000E2044">
              <w:rPr>
                <w:rFonts w:cs="Calibri"/>
                <w:sz w:val="22"/>
                <w:szCs w:val="22"/>
              </w:rPr>
              <w:t>0.086</w:t>
            </w:r>
          </w:p>
        </w:tc>
      </w:tr>
      <w:tr w:rsidR="009E3F55" w:rsidRPr="007476BD" w14:paraId="71EA0411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4A901BD9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sz w:val="22"/>
                <w:szCs w:val="22"/>
              </w:rPr>
              <w:t>All-cause death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58940E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D8CAFE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945B2D3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61EE0F61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39AB01F4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7076B831" w14:textId="77777777" w:rsidR="009E3F55" w:rsidRPr="007476BD" w:rsidRDefault="0013635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315 (13.4</w:t>
            </w:r>
            <w:r w:rsidRPr="001363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158525BE" w14:textId="77777777" w:rsidR="009E3F55" w:rsidRPr="007476BD" w:rsidRDefault="00136359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 (17.4</w:t>
            </w:r>
            <w:r w:rsidRPr="001363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300599E7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2BF36255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04D0DBA0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5B86455E" w14:textId="77777777" w:rsidR="009E3F55" w:rsidRPr="007476BD" w:rsidRDefault="00447727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7.5 (6.7 – 8.4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4920027C" w14:textId="77777777" w:rsidR="009E3F55" w:rsidRPr="007476BD" w:rsidRDefault="00447727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10.5 (8.3 – 13.3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6C0C38F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07FE7AA8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33102CAC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0E8E9B8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0FF04F40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D043F" w14:textId="77777777" w:rsidR="009E3F55" w:rsidRPr="007476BD" w:rsidRDefault="0058516B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1.42 (1.09 – 1.84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138AEF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9E126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4C1E0" w14:textId="77777777" w:rsidR="009E3F55" w:rsidRPr="007476BD" w:rsidRDefault="0058516B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516B">
              <w:rPr>
                <w:rFonts w:asciiTheme="minorHAnsi" w:hAnsiTheme="minorHAnsi" w:cstheme="minorHAnsi"/>
                <w:sz w:val="22"/>
                <w:szCs w:val="22"/>
              </w:rPr>
              <w:t>0.009</w:t>
            </w:r>
          </w:p>
        </w:tc>
      </w:tr>
      <w:tr w:rsidR="009E3F55" w:rsidRPr="007476BD" w14:paraId="027D5D9C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8B42F0F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437E3CD9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5CF127F9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75ED0" w14:textId="77777777" w:rsidR="009E3F55" w:rsidRPr="007476BD" w:rsidRDefault="00020897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1.37 (1.04 – 1.80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C1D25D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4229A9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50FD5" w14:textId="77777777" w:rsidR="009E3F55" w:rsidRPr="007476BD" w:rsidRDefault="00020897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897">
              <w:rPr>
                <w:rFonts w:asciiTheme="minorHAnsi" w:hAnsiTheme="minorHAnsi" w:cstheme="minorHAnsi"/>
                <w:sz w:val="22"/>
                <w:szCs w:val="22"/>
              </w:rPr>
              <w:t>0.025</w:t>
            </w:r>
          </w:p>
        </w:tc>
      </w:tr>
      <w:tr w:rsidR="009E3F55" w:rsidRPr="007476BD" w14:paraId="496B68E8" w14:textId="77777777" w:rsidTr="00AA5D97">
        <w:trPr>
          <w:trHeight w:val="567"/>
          <w:jc w:val="center"/>
        </w:trPr>
        <w:tc>
          <w:tcPr>
            <w:tcW w:w="2410" w:type="dxa"/>
            <w:vAlign w:val="center"/>
            <w:hideMark/>
          </w:tcPr>
          <w:p w14:paraId="1E7CED7C" w14:textId="77777777" w:rsidR="009E3F55" w:rsidRPr="007476BD" w:rsidRDefault="009E3F55" w:rsidP="00AA5D97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vAlign w:val="center"/>
            <w:hideMark/>
          </w:tcPr>
          <w:p w14:paraId="39AF7049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1A7380E1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401D7" w14:textId="77777777" w:rsidR="009E3F55" w:rsidRPr="007476BD" w:rsidRDefault="00020897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1.34 (1.02 – 1.77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C678798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C9C109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F68FD" w14:textId="77777777" w:rsidR="009E3F55" w:rsidRPr="007476BD" w:rsidRDefault="00020897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897">
              <w:rPr>
                <w:rFonts w:asciiTheme="minorHAnsi" w:hAnsiTheme="minorHAnsi" w:cstheme="minorHAnsi"/>
                <w:sz w:val="22"/>
                <w:szCs w:val="22"/>
              </w:rPr>
              <w:t>0.038</w:t>
            </w:r>
          </w:p>
        </w:tc>
      </w:tr>
      <w:tr w:rsidR="009E3F55" w:rsidRPr="007476BD" w14:paraId="0B4DCE6A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38A4728F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sz w:val="22"/>
                <w:szCs w:val="22"/>
              </w:rPr>
              <w:t>Pump failure death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7CBAF78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C17480F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43473DE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25EEB69F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2F465EA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34F69EB2" w14:textId="77777777" w:rsidR="009E3F55" w:rsidRPr="007476BD" w:rsidRDefault="00BC1F78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 (3.5</w:t>
            </w:r>
            <w:r w:rsidRPr="00BC1F7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7432E096" w14:textId="77777777" w:rsidR="009E3F55" w:rsidRPr="007476BD" w:rsidRDefault="00BC1F78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 (5.9</w:t>
            </w:r>
            <w:r w:rsidRPr="00BC1F7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5EDED719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2C433F1F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51E0B1C0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340FF13C" w14:textId="77777777" w:rsidR="009E3F55" w:rsidRPr="007476BD" w:rsidRDefault="00B61FC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 (1.6 – 2.4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62A66682" w14:textId="77777777" w:rsidR="009E3F55" w:rsidRPr="007476BD" w:rsidRDefault="00B61FC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 (2.4 – 5.3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4B76FA8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64D5D336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2AD95FDB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703F14FF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3F155C92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D101A" w14:textId="77777777" w:rsidR="009E3F55" w:rsidRPr="007476BD" w:rsidRDefault="00B61FC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1.82 (1.15 – 2.8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9)</w:t>
            </w:r>
          </w:p>
          <w:p w14:paraId="0BAF7EB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9D71C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2885B" w14:textId="77777777" w:rsidR="009E3F55" w:rsidRPr="007476BD" w:rsidRDefault="00B61FC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FCD">
              <w:rPr>
                <w:rFonts w:asciiTheme="minorHAnsi" w:hAnsiTheme="minorHAnsi" w:cstheme="minorHAnsi"/>
                <w:sz w:val="22"/>
                <w:szCs w:val="22"/>
              </w:rPr>
              <w:t>0.011</w:t>
            </w:r>
          </w:p>
        </w:tc>
      </w:tr>
      <w:tr w:rsidR="009E3F55" w:rsidRPr="007476BD" w14:paraId="126FF370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7A14BBBF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08737544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50667450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890D43" w14:textId="77777777" w:rsidR="009E3F55" w:rsidRPr="007476BD" w:rsidRDefault="00B61FC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1.74 (1.05 – 2.8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</w:p>
          <w:p w14:paraId="75CE81E7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5A6E7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C5BF1" w14:textId="77777777" w:rsidR="009E3F55" w:rsidRPr="007476BD" w:rsidRDefault="00B61FCD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FCD">
              <w:rPr>
                <w:rFonts w:asciiTheme="minorHAnsi" w:hAnsiTheme="minorHAnsi" w:cstheme="minorHAnsi"/>
                <w:sz w:val="22"/>
                <w:szCs w:val="22"/>
              </w:rPr>
              <w:t>0.031</w:t>
            </w:r>
          </w:p>
        </w:tc>
      </w:tr>
      <w:tr w:rsidR="009E3F55" w:rsidRPr="007476BD" w14:paraId="4CD80E77" w14:textId="77777777" w:rsidTr="00AA5D97">
        <w:trPr>
          <w:trHeight w:val="567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DABCB8" w14:textId="77777777" w:rsidR="009E3F55" w:rsidRPr="007476BD" w:rsidRDefault="009E3F55" w:rsidP="00AA5D97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6BF0D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C3840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6E9FC" w14:textId="77777777" w:rsidR="009E3F55" w:rsidRPr="007476BD" w:rsidRDefault="00B61FCD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1.77 (1.06 – 2.94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2AB3040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700EF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BAA10" w14:textId="77777777" w:rsidR="009E3F55" w:rsidRPr="007476BD" w:rsidRDefault="00B61FCD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FCD">
              <w:rPr>
                <w:rFonts w:asciiTheme="minorHAnsi" w:hAnsiTheme="minorHAnsi" w:cstheme="minorHAnsi"/>
                <w:sz w:val="22"/>
                <w:szCs w:val="22"/>
              </w:rPr>
              <w:t>0.028</w:t>
            </w:r>
          </w:p>
        </w:tc>
      </w:tr>
      <w:tr w:rsidR="009E3F55" w:rsidRPr="007476BD" w14:paraId="129E805A" w14:textId="77777777" w:rsidTr="00AA5D97">
        <w:trPr>
          <w:trHeight w:val="454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17AFBF61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b/>
                <w:sz w:val="22"/>
                <w:szCs w:val="22"/>
              </w:rPr>
              <w:t>Sudden cardiac death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C4D9F0A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8DB2251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9C0558A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3DF98A56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65AEC1C7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Events – no. (%)</w:t>
            </w:r>
          </w:p>
        </w:tc>
        <w:tc>
          <w:tcPr>
            <w:tcW w:w="2693" w:type="dxa"/>
            <w:vAlign w:val="center"/>
            <w:hideMark/>
          </w:tcPr>
          <w:p w14:paraId="7C4CDB43" w14:textId="77777777" w:rsidR="009E3F55" w:rsidRPr="007476BD" w:rsidRDefault="00090F1B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112 (4.8</w:t>
            </w:r>
            <w:r w:rsidRPr="00090F1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2B848FBA" w14:textId="77777777" w:rsidR="009E3F55" w:rsidRPr="007476BD" w:rsidRDefault="001213B1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 (5.9</w:t>
            </w:r>
            <w:r w:rsidRPr="001213B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14:paraId="178AAC1D" w14:textId="77777777" w:rsidR="009E3F55" w:rsidRPr="007476BD" w:rsidRDefault="009E3F55" w:rsidP="00AA5D97">
            <w:pPr>
              <w:widowControl w:val="0"/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76AD2DE1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293CC8C1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Event rate per 100 pt. years</w:t>
            </w:r>
          </w:p>
        </w:tc>
        <w:tc>
          <w:tcPr>
            <w:tcW w:w="2693" w:type="dxa"/>
            <w:vAlign w:val="center"/>
            <w:hideMark/>
          </w:tcPr>
          <w:p w14:paraId="1BEE60D8" w14:textId="77777777" w:rsidR="009E3F55" w:rsidRPr="007476BD" w:rsidRDefault="0060704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2.7 (2.2 – 3.2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14:paraId="2305F1F2" w14:textId="77777777" w:rsidR="009E3F55" w:rsidRPr="007476BD" w:rsidRDefault="0060704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 (2.4 – 5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.3)</w:t>
            </w:r>
          </w:p>
        </w:tc>
        <w:tc>
          <w:tcPr>
            <w:tcW w:w="1701" w:type="dxa"/>
          </w:tcPr>
          <w:p w14:paraId="361FA29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F55" w:rsidRPr="007476BD" w14:paraId="3B18E9E4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6CC60553" w14:textId="77777777" w:rsidR="009E3F55" w:rsidRPr="007476BD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Unadjusted HR</w:t>
            </w:r>
          </w:p>
        </w:tc>
        <w:tc>
          <w:tcPr>
            <w:tcW w:w="2693" w:type="dxa"/>
            <w:vAlign w:val="center"/>
            <w:hideMark/>
          </w:tcPr>
          <w:p w14:paraId="03C7334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0C06AA1F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928BF" w14:textId="77777777" w:rsidR="009E3F55" w:rsidRPr="007476BD" w:rsidRDefault="002C4F3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  <w:r w:rsidR="00352735">
              <w:rPr>
                <w:rFonts w:asciiTheme="minorHAnsi" w:hAnsiTheme="minorHAnsi" w:cstheme="minorHAnsi"/>
                <w:sz w:val="22"/>
                <w:szCs w:val="22"/>
              </w:rPr>
              <w:t>4 (0.85 – 2.09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85D1E26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5A6DE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6DF15" w14:textId="77777777" w:rsidR="009E3F55" w:rsidRPr="007476BD" w:rsidRDefault="002C4F3E" w:rsidP="002C4F3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4F3E">
              <w:rPr>
                <w:rFonts w:asciiTheme="minorHAnsi" w:hAnsiTheme="minorHAnsi" w:cstheme="minorHAnsi"/>
                <w:sz w:val="22"/>
                <w:szCs w:val="22"/>
              </w:rPr>
              <w:t>0.205</w:t>
            </w:r>
          </w:p>
        </w:tc>
      </w:tr>
      <w:tr w:rsidR="009E3F55" w:rsidRPr="007476BD" w14:paraId="62D8747B" w14:textId="77777777" w:rsidTr="00AA5D97">
        <w:trPr>
          <w:trHeight w:val="454"/>
          <w:jc w:val="center"/>
        </w:trPr>
        <w:tc>
          <w:tcPr>
            <w:tcW w:w="2410" w:type="dxa"/>
            <w:vAlign w:val="center"/>
            <w:hideMark/>
          </w:tcPr>
          <w:p w14:paraId="45D1B1AF" w14:textId="77777777" w:rsidR="009E3F55" w:rsidRPr="004F0A49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  <w:hideMark/>
          </w:tcPr>
          <w:p w14:paraId="189A68F5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vAlign w:val="center"/>
          </w:tcPr>
          <w:p w14:paraId="76B9456F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9A9A3" w14:textId="77777777" w:rsidR="009E3F55" w:rsidRPr="007476BD" w:rsidRDefault="002C4F3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1.24 (0.77 – 1.99</w:t>
            </w:r>
            <w:r w:rsidR="009E3F55"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3DDA4DC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0A732B" w14:textId="77777777" w:rsidR="009E3F55" w:rsidRPr="007476BD" w:rsidRDefault="009E3F55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1445D" w14:textId="77777777" w:rsidR="009E3F55" w:rsidRPr="007476BD" w:rsidRDefault="002C4F3E" w:rsidP="00AA5D9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4F3E">
              <w:rPr>
                <w:rFonts w:asciiTheme="minorHAnsi" w:hAnsiTheme="minorHAnsi" w:cstheme="minorHAnsi"/>
                <w:sz w:val="22"/>
                <w:szCs w:val="22"/>
              </w:rPr>
              <w:t>0.373</w:t>
            </w:r>
          </w:p>
        </w:tc>
      </w:tr>
    </w:tbl>
    <w:p w14:paraId="24F98494" w14:textId="77777777" w:rsidR="00CE26A7" w:rsidRDefault="00CE26A7">
      <w:r>
        <w:br w:type="page"/>
      </w:r>
    </w:p>
    <w:tbl>
      <w:tblPr>
        <w:tblStyle w:val="Grilledutableau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1701"/>
      </w:tblGrid>
      <w:tr w:rsidR="009E3F55" w:rsidRPr="007476BD" w14:paraId="238B39E1" w14:textId="77777777" w:rsidTr="00AA5D97">
        <w:trPr>
          <w:trHeight w:val="567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5FD8D7" w14:textId="77777777" w:rsidR="009E3F55" w:rsidRPr="007476BD" w:rsidRDefault="009E3F55" w:rsidP="00AA5D97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Adjusted HR</w:t>
            </w: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E76FC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1.00 (ref.)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79B4E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DDF8B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C4F3E">
              <w:rPr>
                <w:rFonts w:asciiTheme="minorHAnsi" w:hAnsiTheme="minorHAnsi" w:cstheme="minorHAnsi"/>
                <w:sz w:val="22"/>
                <w:szCs w:val="22"/>
              </w:rPr>
              <w:t>.20 (0.74 – 1.93</w:t>
            </w:r>
            <w:r w:rsidRPr="007476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545BA07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E72E9" w14:textId="77777777" w:rsidR="009E3F55" w:rsidRPr="007476BD" w:rsidRDefault="009E3F55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B42B7" w14:textId="77777777" w:rsidR="009E3F55" w:rsidRPr="007476BD" w:rsidRDefault="002C4F3E" w:rsidP="00AA5D9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4F3E">
              <w:rPr>
                <w:rFonts w:asciiTheme="minorHAnsi" w:hAnsiTheme="minorHAnsi" w:cstheme="minorHAnsi"/>
                <w:sz w:val="22"/>
                <w:szCs w:val="22"/>
              </w:rPr>
              <w:t>0.462</w:t>
            </w:r>
          </w:p>
        </w:tc>
      </w:tr>
      <w:tr w:rsidR="009E3F55" w14:paraId="551C75E9" w14:textId="77777777" w:rsidTr="00AA5D9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382696" w14:textId="77777777" w:rsidR="009E3F55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*</w:t>
            </w:r>
            <w:r w:rsidRPr="004C53F0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 xml:space="preserve"> </w:t>
            </w:r>
            <w:r w:rsidRPr="004C53F0">
              <w:rPr>
                <w:rFonts w:asciiTheme="minorHAnsi" w:hAnsiTheme="minorHAnsi" w:cs="Calibri"/>
                <w:sz w:val="18"/>
                <w:szCs w:val="18"/>
              </w:rPr>
              <w:t>Model adjusted for age, sex, race, heart rate, systolic blood pressure, New York Heart Association classification, left ventricular ejection fraction, estimated glomerular filtration rate, history of myocardial infarction, di</w:t>
            </w:r>
            <w:r>
              <w:rPr>
                <w:rFonts w:asciiTheme="minorHAnsi" w:hAnsiTheme="minorHAnsi" w:cs="Calibri"/>
                <w:sz w:val="18"/>
                <w:szCs w:val="18"/>
              </w:rPr>
              <w:t>abetes and atrial fibrillation.</w:t>
            </w:r>
          </w:p>
          <w:p w14:paraId="182D04AA" w14:textId="77777777" w:rsidR="009E3F55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F0A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Adjusted as for *</w:t>
            </w:r>
            <w:r w:rsidRPr="00C201E6">
              <w:rPr>
                <w:rFonts w:asciiTheme="minorHAnsi" w:hAnsiTheme="minorHAnsi" w:cs="Calibri"/>
                <w:sz w:val="18"/>
                <w:szCs w:val="18"/>
              </w:rPr>
              <w:t xml:space="preserve"> with additional adjustment for beta blocker prescription at baseline. </w:t>
            </w:r>
          </w:p>
          <w:p w14:paraId="12189BC4" w14:textId="77777777" w:rsidR="009E3F55" w:rsidRPr="004C53F0" w:rsidRDefault="009E3F55" w:rsidP="00AA5D97">
            <w:pPr>
              <w:widowControl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FD5107">
              <w:rPr>
                <w:rFonts w:asciiTheme="minorHAnsi" w:hAnsiTheme="minorHAnsi" w:cs="Calibri"/>
                <w:sz w:val="18"/>
                <w:szCs w:val="18"/>
              </w:rPr>
              <w:t>Chronic obstructive pulmonary disease (COPD);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heart failure (HF); hazard ratio (HR).</w:t>
            </w:r>
            <w:r w:rsidRPr="00C201E6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</w:p>
        </w:tc>
      </w:tr>
    </w:tbl>
    <w:p w14:paraId="3FE43EF7" w14:textId="77777777" w:rsidR="009E3F55" w:rsidRDefault="009E3F55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  <w:r>
        <w:rPr>
          <w:rFonts w:cstheme="minorBidi"/>
          <w:kern w:val="2"/>
          <w:sz w:val="24"/>
          <w:szCs w:val="24"/>
          <w:lang w:eastAsia="ja-JP"/>
        </w:rPr>
        <w:t xml:space="preserve">  </w:t>
      </w:r>
    </w:p>
    <w:p w14:paraId="325062F9" w14:textId="77777777" w:rsidR="009E3F55" w:rsidRDefault="009E3F55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50F1AABF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62303561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6E7CBBD4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423E9BF1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76F143FD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20CA4024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0A0B690B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72C974CE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3592EA50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6033D30E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3F34B1AD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639121C5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51C9804C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3A4BB582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057F0429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74CF5AC1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51D9915A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22AA119F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7172D820" w14:textId="77777777" w:rsidR="0000019A" w:rsidRDefault="0000019A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5DDA3BE2" w14:textId="77777777" w:rsidR="009E3F55" w:rsidRDefault="009E3F55" w:rsidP="009E3F55">
      <w:pPr>
        <w:spacing w:after="160" w:line="259" w:lineRule="auto"/>
        <w:rPr>
          <w:rFonts w:cstheme="minorBidi"/>
          <w:kern w:val="2"/>
          <w:sz w:val="24"/>
          <w:szCs w:val="24"/>
          <w:lang w:eastAsia="ja-JP"/>
        </w:rPr>
      </w:pPr>
    </w:p>
    <w:p w14:paraId="18383B79" w14:textId="77777777" w:rsidR="009E3F55" w:rsidRDefault="009E3F55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404E59CA" w14:textId="77777777" w:rsidR="00102471" w:rsidRDefault="00102471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p w14:paraId="18D76324" w14:textId="77777777" w:rsidR="00A67C87" w:rsidRDefault="00A67C87" w:rsidP="009E3F55">
      <w:pPr>
        <w:widowControl w:val="0"/>
        <w:spacing w:after="0" w:line="240" w:lineRule="auto"/>
        <w:jc w:val="both"/>
        <w:rPr>
          <w:rFonts w:cstheme="minorBidi"/>
          <w:kern w:val="2"/>
          <w:sz w:val="24"/>
          <w:szCs w:val="24"/>
          <w:lang w:eastAsia="ja-JP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794"/>
        <w:gridCol w:w="49"/>
        <w:gridCol w:w="1842"/>
        <w:gridCol w:w="1817"/>
        <w:gridCol w:w="26"/>
        <w:gridCol w:w="1843"/>
        <w:gridCol w:w="1276"/>
      </w:tblGrid>
      <w:tr w:rsidR="009E3F55" w14:paraId="049D938F" w14:textId="77777777" w:rsidTr="00AA5D97">
        <w:trPr>
          <w:trHeight w:val="114"/>
        </w:trPr>
        <w:tc>
          <w:tcPr>
            <w:tcW w:w="107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031DDE" w14:textId="77777777" w:rsidR="009E3F55" w:rsidRDefault="00AA5D97" w:rsidP="00AA5D97">
            <w:pPr>
              <w:widowControl w:val="0"/>
              <w:spacing w:after="0"/>
              <w:jc w:val="center"/>
              <w:rPr>
                <w:rFonts w:cs="Calibri"/>
                <w:b/>
                <w:iCs/>
                <w:kern w:val="2"/>
                <w:sz w:val="24"/>
                <w:szCs w:val="24"/>
                <w:lang w:eastAsia="ja-JP"/>
              </w:rPr>
            </w:pPr>
            <w:r>
              <w:rPr>
                <w:rFonts w:cs="Calibri"/>
                <w:b/>
                <w:iCs/>
                <w:kern w:val="2"/>
                <w:sz w:val="24"/>
                <w:szCs w:val="24"/>
                <w:lang w:eastAsia="ja-JP"/>
              </w:rPr>
              <w:t>Supplemental Table IV</w:t>
            </w:r>
            <w:r w:rsidR="009E3F55">
              <w:rPr>
                <w:rFonts w:cs="Calibri"/>
                <w:b/>
                <w:iCs/>
                <w:kern w:val="2"/>
                <w:sz w:val="24"/>
                <w:szCs w:val="24"/>
                <w:lang w:eastAsia="ja-JP"/>
              </w:rPr>
              <w:t>: Clinical outcomes and treatment effect according to COPD status (MRA vs placebo event rates and hazard ratios with 95% confidence interval)</w:t>
            </w:r>
            <w:r w:rsidR="00315A62">
              <w:rPr>
                <w:rFonts w:cs="Calibri"/>
                <w:b/>
                <w:iCs/>
                <w:kern w:val="2"/>
                <w:sz w:val="24"/>
                <w:szCs w:val="24"/>
                <w:lang w:eastAsia="ja-JP"/>
              </w:rPr>
              <w:t xml:space="preserve"> – RALES only</w:t>
            </w:r>
          </w:p>
        </w:tc>
      </w:tr>
      <w:tr w:rsidR="009E3F55" w14:paraId="44044A9D" w14:textId="77777777" w:rsidTr="00AA5D97">
        <w:trPr>
          <w:trHeight w:val="114"/>
        </w:trPr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29A7C" w14:textId="77777777" w:rsidR="009E3F55" w:rsidRDefault="009E3F55" w:rsidP="00AA5D97">
            <w:pPr>
              <w:widowControl w:val="0"/>
              <w:spacing w:after="0"/>
              <w:jc w:val="both"/>
              <w:rPr>
                <w:rFonts w:cs="Calibri"/>
                <w:b/>
                <w:i/>
                <w:kern w:val="2"/>
                <w:lang w:eastAsia="ja-JP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C5D501A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Without COPD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2D6D31C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With COPD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566D8E98" w14:textId="77777777" w:rsidR="009E3F55" w:rsidRDefault="009E3F55" w:rsidP="00AA5D97">
            <w:pPr>
              <w:widowControl w:val="0"/>
              <w:spacing w:after="0"/>
              <w:jc w:val="both"/>
              <w:rPr>
                <w:rFonts w:cs="Calibri"/>
                <w:b/>
                <w:kern w:val="2"/>
                <w:lang w:eastAsia="ja-JP"/>
              </w:rPr>
            </w:pPr>
          </w:p>
        </w:tc>
      </w:tr>
      <w:tr w:rsidR="009E3F55" w14:paraId="4A2F2BE7" w14:textId="77777777" w:rsidTr="00AA5D97">
        <w:trPr>
          <w:trHeight w:val="119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F4A5D" w14:textId="77777777" w:rsidR="009E3F55" w:rsidRDefault="009E3F55" w:rsidP="00AA5D97">
            <w:pPr>
              <w:widowControl w:val="0"/>
              <w:spacing w:after="0"/>
              <w:jc w:val="both"/>
              <w:rPr>
                <w:rFonts w:cs="Calibri"/>
                <w:b/>
                <w:i/>
                <w:kern w:val="2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C4D01E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Placebo</w:t>
            </w:r>
          </w:p>
          <w:p w14:paraId="6770CBF7" w14:textId="77777777" w:rsidR="009E3F55" w:rsidRDefault="005E2929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(N=725</w:t>
            </w:r>
            <w:r w:rsidR="009E3F55">
              <w:rPr>
                <w:rFonts w:cs="Calibri"/>
                <w:b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D4D9DFE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MRA</w:t>
            </w:r>
          </w:p>
          <w:p w14:paraId="55B2FC41" w14:textId="77777777" w:rsidR="009E3F55" w:rsidRDefault="005E2929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(N=704</w:t>
            </w:r>
            <w:r w:rsidR="009E3F55">
              <w:rPr>
                <w:rFonts w:cs="Calibri"/>
                <w:b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842181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Placebo</w:t>
            </w:r>
          </w:p>
          <w:p w14:paraId="3E062E2D" w14:textId="77777777" w:rsidR="009E3F55" w:rsidRDefault="005E2929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(N=116</w:t>
            </w:r>
            <w:r w:rsidR="009E3F55">
              <w:rPr>
                <w:rFonts w:cs="Calibri"/>
                <w:b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2645CC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MRA</w:t>
            </w:r>
          </w:p>
          <w:p w14:paraId="6D506797" w14:textId="77777777" w:rsidR="009E3F55" w:rsidRDefault="005E2929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(N=118</w:t>
            </w:r>
            <w:r w:rsidR="009E3F55">
              <w:rPr>
                <w:rFonts w:cs="Calibri"/>
                <w:b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A30CCF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i/>
                <w:kern w:val="2"/>
                <w:lang w:eastAsia="ja-JP"/>
              </w:rPr>
              <w:t>P</w:t>
            </w:r>
            <w:r>
              <w:rPr>
                <w:rFonts w:cs="Calibri"/>
                <w:b/>
                <w:kern w:val="2"/>
                <w:lang w:eastAsia="ja-JP"/>
              </w:rPr>
              <w:t>-value for interaction</w:t>
            </w:r>
          </w:p>
        </w:tc>
      </w:tr>
      <w:tr w:rsidR="009E3F55" w14:paraId="67A9A8C2" w14:textId="77777777" w:rsidTr="00AA5D97">
        <w:trPr>
          <w:trHeight w:val="119"/>
        </w:trPr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B41A6F" w14:textId="77777777" w:rsidR="009E3F55" w:rsidRDefault="009E3F55" w:rsidP="00AA5D97">
            <w:pPr>
              <w:widowControl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HF hospitalisation or cardiovascular death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66BBD0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3FE9D6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FA9753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8C2A29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3A4D05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</w:p>
        </w:tc>
      </w:tr>
      <w:tr w:rsidR="009E3F55" w14:paraId="6A2B5180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C028D" w14:textId="77777777" w:rsidR="009E3F55" w:rsidRDefault="009E3F55" w:rsidP="00AA5D97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AC087" w14:textId="77777777" w:rsidR="009E3F55" w:rsidRDefault="005E2929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405 (55.9</w:t>
            </w:r>
            <w:r w:rsidRPr="005E2929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478C4B2" w14:textId="77777777" w:rsidR="009E3F55" w:rsidRDefault="005E2929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290 (41.2</w:t>
            </w:r>
            <w:r w:rsidRPr="005E2929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081ECFB6" w14:textId="77777777" w:rsidR="009E3F55" w:rsidRDefault="005E2929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67 (57.8</w:t>
            </w:r>
            <w:r w:rsidRPr="005E2929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11333F0" w14:textId="77777777" w:rsidR="009E3F55" w:rsidRDefault="005E2929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56 (47.5</w:t>
            </w:r>
            <w:r w:rsidRPr="005E2929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8BC4837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3FF04FCB" w14:textId="77777777" w:rsidTr="00AA5D97">
        <w:trPr>
          <w:trHeight w:val="301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28E84" w14:textId="77777777" w:rsidR="009E3F55" w:rsidRDefault="009E3F55" w:rsidP="00AA5D97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230D4" w14:textId="77777777" w:rsidR="009E3F55" w:rsidRDefault="004522A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41.7 (37.9 – 46.0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1D97E473" w14:textId="77777777" w:rsidR="009E3F55" w:rsidRDefault="004522A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25.7 (22.9 – 28.8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6723C26E" w14:textId="77777777" w:rsidR="009E3F55" w:rsidRDefault="004522A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46.2 (36.4 – 58.8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1E6D335" w14:textId="77777777" w:rsidR="009E3F55" w:rsidRDefault="004522A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32.4 (24.9 – 42.1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F41874C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34B17BA0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1E8DB" w14:textId="77777777" w:rsidR="009E3F55" w:rsidRDefault="009E3F55" w:rsidP="00AA5D97">
            <w:pPr>
              <w:widowControl w:val="0"/>
              <w:spacing w:after="0"/>
              <w:rPr>
                <w:rFonts w:cs="Calibri"/>
                <w:bCs/>
                <w:iCs/>
                <w:kern w:val="2"/>
                <w:vertAlign w:val="superscript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2BEBF52" w14:textId="77777777" w:rsidR="009E3F55" w:rsidRDefault="002E1854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0.64 (0.55 – 0.75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ABE9B9D" w14:textId="77777777" w:rsidR="009E3F55" w:rsidRDefault="002E1854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0.74 (0.52 – 1.0</w:t>
            </w:r>
            <w:r w:rsidR="009E3F55">
              <w:rPr>
                <w:rFonts w:cs="Calibri"/>
                <w:kern w:val="2"/>
                <w:lang w:eastAsia="ja-JP"/>
              </w:rPr>
              <w:t>5)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1D648791" w14:textId="77777777" w:rsidR="009E3F55" w:rsidRDefault="002E1854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0.50</w:t>
            </w:r>
          </w:p>
        </w:tc>
      </w:tr>
      <w:tr w:rsidR="009E3F55" w14:paraId="0F526207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E07A93" w14:textId="77777777" w:rsidR="009E3F55" w:rsidRDefault="009E3F55" w:rsidP="00AA5D97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HF hospitalisation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CB1DE4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46680E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12ABB7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6D451283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75226" w14:textId="77777777" w:rsidR="009E3F55" w:rsidRDefault="009E3F55" w:rsidP="00AA5D97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77111" w14:textId="77777777" w:rsidR="009E3F55" w:rsidRDefault="00E17868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257 (35.4</w:t>
            </w:r>
            <w:r w:rsidRPr="00E17868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B697D48" w14:textId="77777777" w:rsidR="009E3F55" w:rsidRDefault="00E17868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183 (26.0)</w:t>
            </w:r>
            <w:r w:rsidRPr="00E17868">
              <w:rPr>
                <w:rFonts w:cs="Calibri"/>
                <w:kern w:val="2"/>
                <w:lang w:eastAsia="ja-JP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28F80069" w14:textId="77777777" w:rsidR="009E3F55" w:rsidRDefault="000209C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43 (37.1</w:t>
            </w:r>
            <w:r w:rsidRPr="000209C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D347A09" w14:textId="77777777" w:rsidR="009E3F55" w:rsidRDefault="000209C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33 (28.0</w:t>
            </w:r>
            <w:r w:rsidRPr="000209C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13A8674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2DD2864D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42DE5" w14:textId="77777777" w:rsidR="009E3F55" w:rsidRDefault="009E3F55" w:rsidP="00AA5D97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158E0" w14:textId="77777777" w:rsidR="009E3F55" w:rsidRDefault="000209C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26.6 (23.5 – 30.0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57B4311" w14:textId="77777777" w:rsidR="009E3F55" w:rsidRDefault="000209C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16.3 (14.1 – 18.8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44C8DE22" w14:textId="77777777" w:rsidR="009E3F55" w:rsidRDefault="000209C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29.7 (22.0 – 40.0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8FE9AF6" w14:textId="77777777" w:rsidR="009E3F55" w:rsidRDefault="000209C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19.1 (13.6 – 26.9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A8BBCB1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544B5289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71410" w14:textId="77777777" w:rsidR="009E3F55" w:rsidRDefault="009E3F55" w:rsidP="00AA5D97">
            <w:pPr>
              <w:widowControl w:val="0"/>
              <w:spacing w:after="0"/>
              <w:rPr>
                <w:rFonts w:cs="Calibri"/>
                <w:bCs/>
                <w:iCs/>
                <w:kern w:val="2"/>
                <w:vertAlign w:val="superscript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349665A" w14:textId="77777777" w:rsidR="009E3F55" w:rsidRDefault="000209C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0.65 (0.53 – 0.78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1E881E8" w14:textId="77777777" w:rsidR="009E3F55" w:rsidRDefault="000209C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0.68 (0.43 – 1.07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2FCC865C" w14:textId="77777777" w:rsidR="009E3F55" w:rsidRDefault="008B003D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0.84</w:t>
            </w:r>
          </w:p>
        </w:tc>
      </w:tr>
      <w:tr w:rsidR="009E3F55" w14:paraId="4417D571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8AA26D0" w14:textId="77777777" w:rsidR="009E3F55" w:rsidRDefault="009E3F55" w:rsidP="00AA5D97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All-cause hospitalisation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9FD99E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6C7D5C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11E8AC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4FF00A7B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42A6A" w14:textId="77777777" w:rsidR="009E3F55" w:rsidRDefault="009E3F55" w:rsidP="00AA5D97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C0098" w14:textId="77777777" w:rsidR="009E3F55" w:rsidRDefault="00ED221F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407 (56.1</w:t>
            </w:r>
            <w:r w:rsidRPr="00ED221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96FAA1F" w14:textId="77777777" w:rsidR="009E3F55" w:rsidRDefault="00ED221F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359 (51.0</w:t>
            </w:r>
            <w:r w:rsidRPr="00ED221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4BDE5E79" w14:textId="77777777" w:rsidR="009E3F55" w:rsidRDefault="00ED221F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75 (64.7</w:t>
            </w:r>
            <w:r w:rsidRPr="00ED221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CDB217F" w14:textId="77777777" w:rsidR="009E3F55" w:rsidRDefault="00ED221F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65 (55.1</w:t>
            </w:r>
            <w:r w:rsidRPr="00ED221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DA0E14C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55988389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F03D9" w14:textId="77777777" w:rsidR="009E3F55" w:rsidRDefault="009E3F55" w:rsidP="00AA5D97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37CA5" w14:textId="77777777" w:rsidR="009E3F55" w:rsidRDefault="00ED221F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49.0 (44.4 – 54.0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2616D21" w14:textId="77777777" w:rsidR="009E3F55" w:rsidRDefault="00ED221F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38.5 (34.7 – 42.7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4EA464C0" w14:textId="77777777" w:rsidR="009E3F55" w:rsidRDefault="0088510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 w:rsidRPr="0088510A">
              <w:rPr>
                <w:rFonts w:cs="Calibri"/>
                <w:kern w:val="2"/>
                <w:lang w:eastAsia="ja-JP"/>
              </w:rPr>
              <w:t>68.4</w:t>
            </w:r>
            <w:r>
              <w:rPr>
                <w:rFonts w:cs="Calibri"/>
                <w:kern w:val="2"/>
                <w:lang w:eastAsia="ja-JP"/>
              </w:rPr>
              <w:t xml:space="preserve"> (54.6 – 85</w:t>
            </w:r>
            <w:r w:rsidR="009E3F55">
              <w:rPr>
                <w:rFonts w:cs="Calibri"/>
                <w:kern w:val="2"/>
                <w:lang w:eastAsia="ja-JP"/>
              </w:rPr>
              <w:t>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13BA0AD2" w14:textId="77777777" w:rsidR="009E3F55" w:rsidRDefault="0088510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44.4 (34.8 – 56.7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33DD16F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39D827F5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B1468" w14:textId="77777777" w:rsidR="009E3F55" w:rsidRDefault="009E3F55" w:rsidP="00AA5D97">
            <w:pPr>
              <w:widowControl w:val="0"/>
              <w:spacing w:after="0"/>
              <w:rPr>
                <w:rFonts w:cs="Calibri"/>
                <w:bCs/>
                <w:iCs/>
                <w:kern w:val="2"/>
                <w:vertAlign w:val="superscript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94ABA5C" w14:textId="77777777" w:rsidR="009E3F55" w:rsidRDefault="0088510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0.81 (0.70 – 0.93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42DC60CB" w14:textId="77777777" w:rsidR="009E3F55" w:rsidRDefault="0088510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0.70 (0.50 – 0.98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1B7A31E0" w14:textId="77777777" w:rsidR="009E3F55" w:rsidRDefault="0088510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0.34</w:t>
            </w:r>
          </w:p>
        </w:tc>
      </w:tr>
      <w:tr w:rsidR="009E3F55" w14:paraId="01868D1A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81A3B8" w14:textId="77777777" w:rsidR="009E3F55" w:rsidRDefault="009E3F55" w:rsidP="00AA5D97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Non-Cardiovascular hospitalisation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7288C8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F650AE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81C59B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05CF5A59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FC97D" w14:textId="77777777" w:rsidR="009E3F55" w:rsidRDefault="009E3F55" w:rsidP="00AA5D97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18CF8" w14:textId="77777777" w:rsidR="009E3F55" w:rsidRDefault="00E86088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116 (16.0</w:t>
            </w:r>
            <w:r w:rsidRPr="00E86088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AC9B75B" w14:textId="77777777" w:rsidR="009E3F55" w:rsidRDefault="00E86088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132 (18.8</w:t>
            </w:r>
            <w:r w:rsidRPr="00E86088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578C1B86" w14:textId="77777777" w:rsidR="009E3F55" w:rsidRDefault="00E86088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31 (26.7</w:t>
            </w:r>
            <w:r w:rsidRPr="00E86088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508D6D8" w14:textId="77777777" w:rsidR="009E3F55" w:rsidRDefault="00E86088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25 (21.2</w:t>
            </w:r>
            <w:r w:rsidRPr="00E86088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26FD47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0835A6D4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9BBBB" w14:textId="77777777" w:rsidR="009E3F55" w:rsidRDefault="009E3F55" w:rsidP="00AA5D97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3E601" w14:textId="77777777" w:rsidR="009E3F55" w:rsidRDefault="004379E2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14.0 (11.6 – 16.7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E0B6B97" w14:textId="77777777" w:rsidR="009E3F55" w:rsidRDefault="004379E2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14.2 (11.9 – 16.8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672B2E4F" w14:textId="77777777" w:rsidR="009E3F55" w:rsidRDefault="004379E2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28.3 (19.9 – 40</w:t>
            </w:r>
            <w:r w:rsidR="009E3F55">
              <w:rPr>
                <w:rFonts w:cs="Calibri"/>
                <w:kern w:val="2"/>
                <w:lang w:eastAsia="ja-JP"/>
              </w:rPr>
              <w:t>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E9C7E36" w14:textId="77777777" w:rsidR="009E3F55" w:rsidRDefault="004379E2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16.6 (11.2 – 24.8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4A2E4F0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178F263E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DCC1D" w14:textId="77777777" w:rsidR="009E3F55" w:rsidRDefault="009E3F55" w:rsidP="00AA5D97">
            <w:pPr>
              <w:widowControl w:val="0"/>
              <w:spacing w:after="0"/>
              <w:rPr>
                <w:rFonts w:cs="Calibri"/>
                <w:bCs/>
                <w:iCs/>
                <w:kern w:val="2"/>
                <w:vertAlign w:val="superscript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C9C37BE" w14:textId="77777777" w:rsidR="009E3F55" w:rsidRDefault="00721DA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1.03 (0.80 – 1.33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013719B" w14:textId="77777777" w:rsidR="009E3F55" w:rsidRDefault="00721DA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0.61 (0.35 – 1.0</w:t>
            </w:r>
            <w:r w:rsidR="009E3F55">
              <w:rPr>
                <w:rFonts w:cs="Calibri"/>
                <w:kern w:val="2"/>
                <w:lang w:eastAsia="ja-JP"/>
              </w:rPr>
              <w:t>4)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54FA0B45" w14:textId="77777777" w:rsidR="009E3F55" w:rsidRDefault="00721DA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0.08</w:t>
            </w:r>
          </w:p>
        </w:tc>
      </w:tr>
      <w:tr w:rsidR="00F94FA7" w14:paraId="5041F7DB" w14:textId="77777777" w:rsidTr="002E4F6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BAD9A2" w14:textId="77777777" w:rsidR="00F94FA7" w:rsidRDefault="00F94FA7" w:rsidP="00AA5D97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Cardiovascular death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3C1623" w14:textId="77777777" w:rsidR="00F94FA7" w:rsidRDefault="00F94FA7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2A00F9" w14:textId="77777777" w:rsidR="00F94FA7" w:rsidRDefault="00F94FA7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743C81" w14:textId="77777777" w:rsidR="00F94FA7" w:rsidRDefault="00F94FA7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55639F2B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E61FB" w14:textId="77777777" w:rsidR="009E3F55" w:rsidRDefault="009E3F55" w:rsidP="00AA5D97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1905B" w14:textId="77777777" w:rsidR="009E3F55" w:rsidRDefault="004C686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267 (36.8</w:t>
            </w:r>
            <w:r w:rsidRPr="004C686A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85BD96A" w14:textId="77777777" w:rsidR="009E3F55" w:rsidRDefault="004C686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188 (26.7</w:t>
            </w:r>
            <w:r w:rsidRPr="004C686A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46B06FA1" w14:textId="77777777" w:rsidR="009E3F55" w:rsidRDefault="004C686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47 (40.5</w:t>
            </w:r>
            <w:r w:rsidRPr="004C686A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9B74F33" w14:textId="77777777" w:rsidR="009E3F55" w:rsidRDefault="004C686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38 (32.2</w:t>
            </w:r>
            <w:r w:rsidRPr="004C686A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8663DF5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43AB9B80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E132E" w14:textId="77777777" w:rsidR="009E3F55" w:rsidRDefault="009E3F55" w:rsidP="00AA5D97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2AE65" w14:textId="77777777" w:rsidR="009E3F55" w:rsidRDefault="004C686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21.3 (18.9 – 24.0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13914A3" w14:textId="77777777" w:rsidR="009E3F55" w:rsidRDefault="004C686A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14.3 (12.4 – 16.5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25D970AE" w14:textId="77777777" w:rsidR="009E3F55" w:rsidRDefault="001A40F3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23.8 (17.9 – 31.7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1C49748" w14:textId="77777777" w:rsidR="009E3F55" w:rsidRDefault="001A40F3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18.0 (13.1 – 24.8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DEC775B" w14:textId="77777777" w:rsidR="009E3F55" w:rsidRDefault="009E3F55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3F55" w14:paraId="53510F64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9553E" w14:textId="77777777" w:rsidR="009E3F55" w:rsidRDefault="009E3F55" w:rsidP="00AA5D97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EC7F9E6" w14:textId="77777777" w:rsidR="009E3F55" w:rsidRDefault="001A40F3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0.68 (0.56 – 0.82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48CAC63E" w14:textId="77777777" w:rsidR="009E3F55" w:rsidRDefault="001A40F3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0.77 (0.50 – 1.17</w:t>
            </w:r>
            <w:r w:rsidR="009E3F5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262422A0" w14:textId="77777777" w:rsidR="009E3F55" w:rsidRDefault="00102471" w:rsidP="00AA5D97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0.63</w:t>
            </w:r>
          </w:p>
        </w:tc>
      </w:tr>
      <w:tr w:rsidR="00510938" w14:paraId="2F2C44D9" w14:textId="77777777" w:rsidTr="00561F3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C8632A" w14:textId="77777777" w:rsidR="00510938" w:rsidRDefault="00555FCF" w:rsidP="0025146B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All-cause death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913B6C" w14:textId="77777777" w:rsidR="00510938" w:rsidRDefault="00510938" w:rsidP="0025146B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A146B3" w14:textId="77777777" w:rsidR="00510938" w:rsidRDefault="00510938" w:rsidP="0025146B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21F7CD" w14:textId="77777777" w:rsidR="00510938" w:rsidRDefault="00510938" w:rsidP="0025146B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EC722F" w14:paraId="3A82E0A9" w14:textId="77777777" w:rsidTr="00313E2B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59F659" w14:textId="77777777" w:rsidR="00EC722F" w:rsidRDefault="00EC722F" w:rsidP="00EC722F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dashSmallGap" w:sz="4" w:space="0" w:color="A5A5A5" w:themeColor="accent3"/>
            </w:tcBorders>
            <w:shd w:val="clear" w:color="auto" w:fill="FFFFFF" w:themeFill="background1"/>
            <w:vAlign w:val="center"/>
          </w:tcPr>
          <w:p w14:paraId="264C930B" w14:textId="77777777" w:rsidR="00EC722F" w:rsidRDefault="00643988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323 (44.6</w:t>
            </w:r>
            <w:r w:rsidRPr="00643988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91" w:type="dxa"/>
            <w:gridSpan w:val="2"/>
            <w:tcBorders>
              <w:top w:val="nil"/>
              <w:left w:val="dashSmallGap" w:sz="4" w:space="0" w:color="A5A5A5" w:themeColor="accent3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B1D740" w14:textId="77777777" w:rsidR="00EC722F" w:rsidRDefault="00643988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233 (33.1</w:t>
            </w:r>
            <w:r w:rsidRPr="00643988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17" w:type="dxa"/>
            <w:tcBorders>
              <w:top w:val="nil"/>
              <w:left w:val="dotted" w:sz="4" w:space="0" w:color="auto"/>
              <w:bottom w:val="nil"/>
              <w:right w:val="dashSmallGap" w:sz="4" w:space="0" w:color="A5A5A5" w:themeColor="accent3"/>
            </w:tcBorders>
            <w:shd w:val="clear" w:color="auto" w:fill="FFFFFF" w:themeFill="background1"/>
            <w:vAlign w:val="center"/>
          </w:tcPr>
          <w:p w14:paraId="5B9B8C50" w14:textId="77777777" w:rsidR="00EC722F" w:rsidRDefault="00643988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63 (54.3</w:t>
            </w:r>
            <w:r w:rsidRPr="00643988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69" w:type="dxa"/>
            <w:gridSpan w:val="2"/>
            <w:tcBorders>
              <w:top w:val="nil"/>
              <w:left w:val="dashSmallGap" w:sz="4" w:space="0" w:color="A5A5A5" w:themeColor="accent3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62BFA3" w14:textId="77777777" w:rsidR="00EC722F" w:rsidRDefault="00643988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51 (43.2</w:t>
            </w:r>
            <w:r w:rsidRPr="00643988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5EC39A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EC722F" w14:paraId="29B16008" w14:textId="77777777" w:rsidTr="00313E2B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F17495" w14:textId="77777777" w:rsidR="00EC722F" w:rsidRDefault="00EC722F" w:rsidP="00EC722F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dashSmallGap" w:sz="4" w:space="0" w:color="A5A5A5" w:themeColor="accent3"/>
            </w:tcBorders>
            <w:shd w:val="clear" w:color="auto" w:fill="FFFFFF" w:themeFill="background1"/>
            <w:vAlign w:val="center"/>
          </w:tcPr>
          <w:p w14:paraId="4F125304" w14:textId="77777777" w:rsidR="00EC722F" w:rsidRDefault="00081760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25.8 (23.1 – 28.7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91" w:type="dxa"/>
            <w:gridSpan w:val="2"/>
            <w:tcBorders>
              <w:top w:val="nil"/>
              <w:left w:val="dashSmallGap" w:sz="4" w:space="0" w:color="A5A5A5" w:themeColor="accent3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07A6F5" w14:textId="77777777" w:rsidR="00EC722F" w:rsidRDefault="00081760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17.7 (15.5 – 20.1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17" w:type="dxa"/>
            <w:tcBorders>
              <w:top w:val="nil"/>
              <w:left w:val="dotted" w:sz="4" w:space="0" w:color="auto"/>
              <w:bottom w:val="nil"/>
              <w:right w:val="dashSmallGap" w:sz="4" w:space="0" w:color="A5A5A5" w:themeColor="accent3"/>
            </w:tcBorders>
            <w:shd w:val="clear" w:color="auto" w:fill="FFFFFF" w:themeFill="background1"/>
            <w:vAlign w:val="center"/>
          </w:tcPr>
          <w:p w14:paraId="799CCB0F" w14:textId="77777777" w:rsidR="00EC722F" w:rsidRDefault="00081760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31.9 (25.0 – 40.9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69" w:type="dxa"/>
            <w:gridSpan w:val="2"/>
            <w:tcBorders>
              <w:top w:val="nil"/>
              <w:left w:val="dashSmallGap" w:sz="4" w:space="0" w:color="A5A5A5" w:themeColor="accent3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26F849" w14:textId="77777777" w:rsidR="00EC722F" w:rsidRDefault="00081760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24.2 (18.4 – 31.8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0FC97B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EC722F" w14:paraId="3D2DAFF3" w14:textId="77777777" w:rsidTr="00555FCF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BDDF69" w14:textId="77777777" w:rsidR="00EC722F" w:rsidRDefault="00EC722F" w:rsidP="00EC722F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308414" w14:textId="77777777" w:rsidR="00EC722F" w:rsidRDefault="00081760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0.69 (0.58 – 0.82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47D14E" w14:textId="77777777" w:rsidR="00EC722F" w:rsidRDefault="00201676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0.76 (0.53 – 1.1</w:t>
            </w:r>
            <w:r w:rsidR="00EC722F">
              <w:rPr>
                <w:rFonts w:cs="Calibri"/>
                <w:kern w:val="2"/>
                <w:lang w:eastAsia="ja-JP"/>
              </w:rPr>
              <w:t>1)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354F3C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0.64</w:t>
            </w:r>
          </w:p>
        </w:tc>
      </w:tr>
      <w:tr w:rsidR="00EC722F" w14:paraId="670D2963" w14:textId="77777777" w:rsidTr="00561F3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C3E07C" w14:textId="77777777" w:rsidR="00EC722F" w:rsidRDefault="00EC722F" w:rsidP="00EC722F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Pump failure death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87BB68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2D4DC2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0D0888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EC722F" w14:paraId="240ABDA4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9AEF3" w14:textId="77777777" w:rsidR="00EC722F" w:rsidRDefault="00EC722F" w:rsidP="00EC722F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9A75F" w14:textId="77777777" w:rsidR="00EC722F" w:rsidRDefault="00F621CC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164 (22.6</w:t>
            </w:r>
            <w:r w:rsidRPr="00F621CC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C56D489" w14:textId="77777777" w:rsidR="00EC722F" w:rsidRDefault="00F621CC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111 (15.8</w:t>
            </w:r>
            <w:r w:rsidRPr="00F621CC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1A244A43" w14:textId="77777777" w:rsidR="00EC722F" w:rsidRDefault="00F621CC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25 (21.6</w:t>
            </w:r>
            <w:r w:rsidRPr="00F621CC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D41B28B" w14:textId="77777777" w:rsidR="00EC722F" w:rsidRDefault="00F621CC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16 (13.6</w:t>
            </w:r>
            <w:r w:rsidRPr="00F621CC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C6B8644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EC722F" w14:paraId="1673E453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9F560" w14:textId="77777777" w:rsidR="00EC722F" w:rsidRDefault="00EC722F" w:rsidP="00EC722F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73193" w14:textId="77777777" w:rsidR="00EC722F" w:rsidRDefault="00E90162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13.0 (11.2 – 15</w:t>
            </w:r>
            <w:r w:rsidR="00EC722F">
              <w:rPr>
                <w:rFonts w:cs="Calibri"/>
                <w:kern w:val="2"/>
                <w:lang w:eastAsia="ja-JP"/>
              </w:rPr>
              <w:t>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965BC1A" w14:textId="77777777" w:rsidR="00EC722F" w:rsidRDefault="00E90162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8.5 (7.0 – 10.2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7EEE1A44" w14:textId="77777777" w:rsidR="00EC722F" w:rsidRDefault="00E90162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12.7 (8.6 – 18.8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F72A754" w14:textId="77777777" w:rsidR="00EC722F" w:rsidRDefault="00D6045D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7.6 (4.6 – 12.4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C8A0879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EC722F" w14:paraId="5D665D14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0AF9DF" w14:textId="77777777" w:rsidR="00EC722F" w:rsidRDefault="00EC722F" w:rsidP="00EC722F">
            <w:pPr>
              <w:widowControl w:val="0"/>
              <w:spacing w:after="0"/>
              <w:rPr>
                <w:rFonts w:cs="Calibri"/>
                <w:bCs/>
                <w:iCs/>
                <w:kern w:val="2"/>
                <w:vertAlign w:val="superscript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B20E947" w14:textId="77777777" w:rsidR="00EC722F" w:rsidRDefault="00D6045D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0.66 (0.52 – 0.84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8A24001" w14:textId="77777777" w:rsidR="00EC722F" w:rsidRDefault="00717558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0.60 (0.32 – 1.13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7E3FE7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0.80</w:t>
            </w:r>
          </w:p>
        </w:tc>
      </w:tr>
      <w:tr w:rsidR="00EC722F" w14:paraId="36028CDB" w14:textId="77777777" w:rsidTr="00E06212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0DB224" w14:textId="77777777" w:rsidR="00EC722F" w:rsidRDefault="00EC722F" w:rsidP="00EC722F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Sudden cardiac death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77DBCF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3847AC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228985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EC722F" w14:paraId="617665FE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289B9" w14:textId="77777777" w:rsidR="00EC722F" w:rsidRDefault="00EC722F" w:rsidP="00EC722F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A41B7" w14:textId="77777777" w:rsidR="00EC722F" w:rsidRDefault="004318F2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92 (12.7</w:t>
            </w:r>
            <w:r w:rsidRPr="004318F2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D47FC93" w14:textId="77777777" w:rsidR="00EC722F" w:rsidRDefault="004318F2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63 (8.9</w:t>
            </w:r>
            <w:r w:rsidRPr="004318F2">
              <w:rPr>
                <w:rFonts w:cs="Calibri"/>
                <w:kern w:val="2"/>
                <w:lang w:eastAsia="ja-JP"/>
              </w:rPr>
              <w:t xml:space="preserve">)  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1DB146E1" w14:textId="77777777" w:rsidR="00EC722F" w:rsidRDefault="00F3748A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18 (15.5</w:t>
            </w:r>
            <w:r w:rsidRPr="00F3748A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4F8F769" w14:textId="77777777" w:rsidR="00EC722F" w:rsidRDefault="00F3748A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19 (16.1</w:t>
            </w:r>
            <w:r w:rsidRPr="00F3748A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385089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EC722F" w14:paraId="3D3BCFFE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3B364" w14:textId="77777777" w:rsidR="00EC722F" w:rsidRDefault="00EC722F" w:rsidP="00EC722F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5CF4E" w14:textId="77777777" w:rsidR="00EC722F" w:rsidRDefault="00F3748A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7.3 (6.0 – 9.0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A9EC438" w14:textId="77777777" w:rsidR="00EC722F" w:rsidRDefault="00F3748A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4.8 (3.7 – 6.1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77DA6CDC" w14:textId="77777777" w:rsidR="00EC722F" w:rsidRDefault="00B45B91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9.1 (5.8 –14.5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118F2FEE" w14:textId="77777777" w:rsidR="00EC722F" w:rsidRDefault="00B45B91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9.0 (5.7 – 14.1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D2E889D" w14:textId="77777777" w:rsidR="00EC722F" w:rsidRDefault="00EC722F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EC722F" w14:paraId="3B6C407E" w14:textId="77777777" w:rsidTr="00AA5D97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A71EC3" w14:textId="77777777" w:rsidR="00EC722F" w:rsidRDefault="00EC722F" w:rsidP="00EC722F">
            <w:pPr>
              <w:widowControl w:val="0"/>
              <w:spacing w:after="0"/>
              <w:rPr>
                <w:rFonts w:cs="Calibri"/>
                <w:bCs/>
                <w:iCs/>
                <w:kern w:val="2"/>
                <w:vertAlign w:val="superscript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853F05D" w14:textId="77777777" w:rsidR="00EC722F" w:rsidRDefault="00D27C68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0.66 (0.48</w:t>
            </w:r>
            <w:r w:rsidR="00EC722F">
              <w:rPr>
                <w:rFonts w:cs="Calibri"/>
                <w:kern w:val="2"/>
                <w:lang w:eastAsia="ja-JP"/>
              </w:rPr>
              <w:t xml:space="preserve"> – 0.91)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38EB3E" w14:textId="77777777" w:rsidR="00EC722F" w:rsidRDefault="00D27C68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1.01 (0.53 – 1.92</w:t>
            </w:r>
            <w:r w:rsidR="00EC722F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A559A1" w14:textId="77777777" w:rsidR="00EC722F" w:rsidRDefault="00D27C68" w:rsidP="00EC722F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0.26</w:t>
            </w:r>
          </w:p>
        </w:tc>
      </w:tr>
      <w:tr w:rsidR="00EC722F" w14:paraId="7DA5F379" w14:textId="77777777" w:rsidTr="00AA5D9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9" w:type="dxa"/>
            <w:gridSpan w:val="8"/>
          </w:tcPr>
          <w:p w14:paraId="42F2F4CB" w14:textId="77777777" w:rsidR="00EC722F" w:rsidRPr="00AD1CA5" w:rsidRDefault="00EC722F" w:rsidP="00EC722F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FD5107">
              <w:rPr>
                <w:rFonts w:asciiTheme="minorHAnsi" w:hAnsiTheme="minorHAnsi" w:cs="Calibri"/>
                <w:kern w:val="2"/>
                <w:sz w:val="18"/>
                <w:szCs w:val="18"/>
                <w:lang w:eastAsia="ja-JP"/>
              </w:rPr>
              <w:t>Chronic obstructive pulmonary disease (COPD);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mineralocorticoid receptor antagonist (MRA); heart failure (HF); hazard ratio (HR).</w:t>
            </w:r>
          </w:p>
        </w:tc>
      </w:tr>
    </w:tbl>
    <w:p w14:paraId="627A6017" w14:textId="77777777" w:rsidR="009E3F55" w:rsidRDefault="009E3F55" w:rsidP="009E3F55">
      <w:pPr>
        <w:spacing w:after="0" w:line="240" w:lineRule="auto"/>
        <w:rPr>
          <w:b/>
          <w:sz w:val="24"/>
          <w:szCs w:val="24"/>
        </w:rPr>
      </w:pPr>
    </w:p>
    <w:p w14:paraId="0BC54B5E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2AE9160A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4AFF3CA6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3CC67CEE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25B37B06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7183505F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55AF3962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3E393B98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34B00BA3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60BB48C0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0BE2D41B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17EFC7EF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64D5D12C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79C66B68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4C138099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23394553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67254F86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1D68C7BC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57C33B08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77BC8389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160F129D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5B49BD9E" w14:textId="77777777" w:rsidR="00A67C87" w:rsidRDefault="00A67C87" w:rsidP="009E3F55">
      <w:pPr>
        <w:spacing w:after="0" w:line="240" w:lineRule="auto"/>
        <w:rPr>
          <w:b/>
          <w:sz w:val="24"/>
          <w:szCs w:val="24"/>
        </w:rPr>
      </w:pPr>
    </w:p>
    <w:p w14:paraId="36FC3329" w14:textId="77777777" w:rsidR="00A67C87" w:rsidRDefault="00A67C87" w:rsidP="009E3F55">
      <w:pPr>
        <w:spacing w:after="0" w:line="240" w:lineRule="auto"/>
        <w:rPr>
          <w:b/>
          <w:sz w:val="24"/>
          <w:szCs w:val="24"/>
        </w:rPr>
      </w:pPr>
    </w:p>
    <w:p w14:paraId="044380CB" w14:textId="77777777" w:rsidR="00A67C87" w:rsidRDefault="00A67C87" w:rsidP="009E3F55">
      <w:pPr>
        <w:spacing w:after="0" w:line="240" w:lineRule="auto"/>
        <w:rPr>
          <w:b/>
          <w:sz w:val="24"/>
          <w:szCs w:val="24"/>
        </w:rPr>
      </w:pPr>
    </w:p>
    <w:p w14:paraId="2CB09781" w14:textId="77777777" w:rsidR="00A67C87" w:rsidRDefault="00A67C87" w:rsidP="009E3F55">
      <w:pPr>
        <w:spacing w:after="0" w:line="240" w:lineRule="auto"/>
        <w:rPr>
          <w:b/>
          <w:sz w:val="24"/>
          <w:szCs w:val="24"/>
        </w:rPr>
      </w:pPr>
    </w:p>
    <w:p w14:paraId="0DB10CB4" w14:textId="77777777" w:rsidR="00A67C87" w:rsidRDefault="00A67C87" w:rsidP="009E3F55">
      <w:pPr>
        <w:spacing w:after="0" w:line="240" w:lineRule="auto"/>
        <w:rPr>
          <w:b/>
          <w:sz w:val="24"/>
          <w:szCs w:val="24"/>
        </w:rPr>
      </w:pPr>
    </w:p>
    <w:p w14:paraId="5C410AE3" w14:textId="77777777" w:rsidR="00A67C87" w:rsidRDefault="00A67C87" w:rsidP="009E3F55">
      <w:pPr>
        <w:spacing w:after="0" w:line="240" w:lineRule="auto"/>
        <w:rPr>
          <w:b/>
          <w:sz w:val="24"/>
          <w:szCs w:val="24"/>
        </w:rPr>
      </w:pPr>
    </w:p>
    <w:p w14:paraId="464B9AD4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5D7F943A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02664D6A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29B494E8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0FC14102" w14:textId="77777777" w:rsidR="00EF694C" w:rsidRDefault="00EF694C" w:rsidP="009E3F55">
      <w:pPr>
        <w:spacing w:after="0" w:line="240" w:lineRule="auto"/>
        <w:rPr>
          <w:b/>
          <w:sz w:val="24"/>
          <w:szCs w:val="24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794"/>
        <w:gridCol w:w="49"/>
        <w:gridCol w:w="1842"/>
        <w:gridCol w:w="1817"/>
        <w:gridCol w:w="26"/>
        <w:gridCol w:w="1843"/>
        <w:gridCol w:w="1276"/>
      </w:tblGrid>
      <w:tr w:rsidR="009E42EB" w14:paraId="681C1ED6" w14:textId="77777777" w:rsidTr="00830160">
        <w:trPr>
          <w:trHeight w:val="114"/>
        </w:trPr>
        <w:tc>
          <w:tcPr>
            <w:tcW w:w="107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E7A11A" w14:textId="77777777" w:rsidR="009E42EB" w:rsidRDefault="009E42EB" w:rsidP="009E42EB">
            <w:pPr>
              <w:widowControl w:val="0"/>
              <w:spacing w:after="0"/>
              <w:jc w:val="center"/>
              <w:rPr>
                <w:rFonts w:cs="Calibri"/>
                <w:b/>
                <w:iCs/>
                <w:kern w:val="2"/>
                <w:sz w:val="24"/>
                <w:szCs w:val="24"/>
                <w:lang w:eastAsia="ja-JP"/>
              </w:rPr>
            </w:pPr>
            <w:r>
              <w:rPr>
                <w:rFonts w:cs="Calibri"/>
                <w:b/>
                <w:iCs/>
                <w:kern w:val="2"/>
                <w:sz w:val="24"/>
                <w:szCs w:val="24"/>
                <w:lang w:eastAsia="ja-JP"/>
              </w:rPr>
              <w:t>Supplemental Table V: Clinical outcomes and treatment effect according to COPD status (MRA vs placebo event rates and hazard ratios with 95% confidence interval) – EMPHASIS-HF only</w:t>
            </w:r>
          </w:p>
        </w:tc>
      </w:tr>
      <w:tr w:rsidR="009E42EB" w14:paraId="5966AA81" w14:textId="77777777" w:rsidTr="00830160">
        <w:trPr>
          <w:trHeight w:val="114"/>
        </w:trPr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7E105" w14:textId="77777777" w:rsidR="009E42EB" w:rsidRDefault="009E42EB" w:rsidP="00830160">
            <w:pPr>
              <w:widowControl w:val="0"/>
              <w:spacing w:after="0"/>
              <w:jc w:val="both"/>
              <w:rPr>
                <w:rFonts w:cs="Calibri"/>
                <w:b/>
                <w:i/>
                <w:kern w:val="2"/>
                <w:lang w:eastAsia="ja-JP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9E0382A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Without COPD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9D75156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With COPD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54584547" w14:textId="77777777" w:rsidR="009E42EB" w:rsidRDefault="009E42EB" w:rsidP="00830160">
            <w:pPr>
              <w:widowControl w:val="0"/>
              <w:spacing w:after="0"/>
              <w:jc w:val="both"/>
              <w:rPr>
                <w:rFonts w:cs="Calibri"/>
                <w:b/>
                <w:kern w:val="2"/>
                <w:lang w:eastAsia="ja-JP"/>
              </w:rPr>
            </w:pPr>
          </w:p>
        </w:tc>
      </w:tr>
      <w:tr w:rsidR="009E42EB" w14:paraId="499480CA" w14:textId="77777777" w:rsidTr="00830160">
        <w:trPr>
          <w:trHeight w:val="119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7FE6A" w14:textId="77777777" w:rsidR="009E42EB" w:rsidRDefault="009E42EB" w:rsidP="00830160">
            <w:pPr>
              <w:widowControl w:val="0"/>
              <w:spacing w:after="0"/>
              <w:jc w:val="both"/>
              <w:rPr>
                <w:rFonts w:cs="Calibri"/>
                <w:b/>
                <w:i/>
                <w:kern w:val="2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D80366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Placebo</w:t>
            </w:r>
          </w:p>
          <w:p w14:paraId="27072032" w14:textId="77777777" w:rsidR="009E42EB" w:rsidRDefault="00C134DE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(N=1183</w:t>
            </w:r>
            <w:r w:rsidR="009E42EB">
              <w:rPr>
                <w:rFonts w:cs="Calibri"/>
                <w:b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6AE439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MRA</w:t>
            </w:r>
          </w:p>
          <w:p w14:paraId="3AC2322E" w14:textId="77777777" w:rsidR="009E42EB" w:rsidRDefault="00C134DE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(N=1160</w:t>
            </w:r>
            <w:r w:rsidR="009E42EB">
              <w:rPr>
                <w:rFonts w:cs="Calibri"/>
                <w:b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0BCF86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Placebo</w:t>
            </w:r>
          </w:p>
          <w:p w14:paraId="2B252617" w14:textId="77777777" w:rsidR="009E42EB" w:rsidRDefault="00C134DE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(N=</w:t>
            </w:r>
            <w:r w:rsidRPr="00C134DE">
              <w:rPr>
                <w:rFonts w:cs="Calibri"/>
                <w:b/>
                <w:kern w:val="2"/>
                <w:lang w:eastAsia="ja-JP"/>
              </w:rPr>
              <w:t>188</w:t>
            </w:r>
            <w:r w:rsidR="009E42EB">
              <w:rPr>
                <w:rFonts w:cs="Calibri"/>
                <w:b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B331519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MRA</w:t>
            </w:r>
          </w:p>
          <w:p w14:paraId="01BD4AA2" w14:textId="77777777" w:rsidR="009E42EB" w:rsidRDefault="00C134DE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kern w:val="2"/>
                <w:lang w:eastAsia="ja-JP"/>
              </w:rPr>
              <w:t>(N=203</w:t>
            </w:r>
            <w:r w:rsidR="009E42EB">
              <w:rPr>
                <w:rFonts w:cs="Calibri"/>
                <w:b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E4E791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  <w:r>
              <w:rPr>
                <w:rFonts w:cs="Calibri"/>
                <w:b/>
                <w:i/>
                <w:kern w:val="2"/>
                <w:lang w:eastAsia="ja-JP"/>
              </w:rPr>
              <w:t>P</w:t>
            </w:r>
            <w:r>
              <w:rPr>
                <w:rFonts w:cs="Calibri"/>
                <w:b/>
                <w:kern w:val="2"/>
                <w:lang w:eastAsia="ja-JP"/>
              </w:rPr>
              <w:t>-value for interaction</w:t>
            </w:r>
          </w:p>
        </w:tc>
      </w:tr>
      <w:tr w:rsidR="009E42EB" w14:paraId="32654A6C" w14:textId="77777777" w:rsidTr="00830160">
        <w:trPr>
          <w:trHeight w:val="119"/>
        </w:trPr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1DB16D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HF hospitalisation or cardiovascular death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2C9FF4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012910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9100FC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DFA9E5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5BB09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b/>
                <w:kern w:val="2"/>
                <w:lang w:eastAsia="ja-JP"/>
              </w:rPr>
            </w:pPr>
          </w:p>
        </w:tc>
      </w:tr>
      <w:tr w:rsidR="009E42EB" w14:paraId="75C8C67C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4D857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C69E8" w14:textId="77777777" w:rsidR="009E42EB" w:rsidRDefault="00EF0895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295 (24.9</w:t>
            </w:r>
            <w:r w:rsidRPr="00EF089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1E87BD21" w14:textId="77777777" w:rsidR="009E42EB" w:rsidRDefault="00EF0895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205 (17.7</w:t>
            </w:r>
            <w:r w:rsidRPr="00EF089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586F5847" w14:textId="77777777" w:rsidR="009E42EB" w:rsidRDefault="00C134DE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61 (32.4</w:t>
            </w:r>
            <w:r w:rsidRPr="00C134DE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29A8BF6" w14:textId="77777777" w:rsidR="009E42EB" w:rsidRDefault="00C134DE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43 (21.2</w:t>
            </w:r>
            <w:r w:rsidRPr="00C134DE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DF832FC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11808044" w14:textId="77777777" w:rsidTr="00830160">
        <w:trPr>
          <w:trHeight w:val="301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37431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D3A12" w14:textId="77777777" w:rsidR="009E42EB" w:rsidRDefault="00652188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15.5 (13.8 – 17.4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1E975D7" w14:textId="77777777" w:rsidR="009E42EB" w:rsidRDefault="00652188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10.3 (9.0 – 11</w:t>
            </w:r>
            <w:r w:rsidR="009E42EB">
              <w:rPr>
                <w:rFonts w:cs="Calibri"/>
                <w:kern w:val="2"/>
                <w:lang w:eastAsia="ja-JP"/>
              </w:rPr>
              <w:t>.8)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045AA6E1" w14:textId="77777777" w:rsidR="009E42EB" w:rsidRDefault="00652188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23.4 (18.2 – 30.0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4C0BD30" w14:textId="77777777" w:rsidR="009E42EB" w:rsidRDefault="00652188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13.3 (9.9 – 18.0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1269DCD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4BA904B6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56C6D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vertAlign w:val="superscript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5DD3C27" w14:textId="77777777" w:rsidR="009E42EB" w:rsidRDefault="00652188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0.67 (0.56 – 0.80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4359AAF7" w14:textId="77777777" w:rsidR="009E42EB" w:rsidRDefault="00652188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0.57 (0.38 – 0.84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620096E0" w14:textId="77777777" w:rsidR="009E42EB" w:rsidRDefault="00652188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0.54</w:t>
            </w:r>
          </w:p>
        </w:tc>
      </w:tr>
      <w:tr w:rsidR="009E42EB" w14:paraId="38FC2B96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26A531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HF hospitalisation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9C11EF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68BC17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049606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0C34A3BC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0F74E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C2EB3" w14:textId="77777777" w:rsidR="009E42EB" w:rsidRDefault="00667A1A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 xml:space="preserve">  208 (17.6</w:t>
            </w:r>
            <w:r w:rsidRPr="00667A1A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25847D2" w14:textId="77777777" w:rsidR="009E42EB" w:rsidRDefault="00667A1A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135 (11.6</w:t>
            </w:r>
            <w:r w:rsidRPr="00667A1A">
              <w:rPr>
                <w:rFonts w:cs="Calibri"/>
                <w:kern w:val="2"/>
                <w:lang w:eastAsia="ja-JP"/>
              </w:rPr>
              <w:t xml:space="preserve">)  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7FC7FF01" w14:textId="77777777" w:rsidR="009E42EB" w:rsidRDefault="00667A1A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45 (23.9</w:t>
            </w:r>
            <w:r w:rsidRPr="00667A1A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68EC0A6" w14:textId="77777777" w:rsidR="009E42EB" w:rsidRDefault="00667A1A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29 (14.3</w:t>
            </w:r>
            <w:r w:rsidRPr="00667A1A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D8180BD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0D53CBE8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A2B4D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C182B" w14:textId="77777777" w:rsidR="009E42EB" w:rsidRDefault="004163D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10.9 (9.5 – 12.5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597F260" w14:textId="77777777" w:rsidR="009E42EB" w:rsidRDefault="004163D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6.8 (5.7 – 8.0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113A3507" w14:textId="77777777" w:rsidR="009E42EB" w:rsidRDefault="004163D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17.2 (12.9 – 23.1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1111375" w14:textId="77777777" w:rsidR="009E42EB" w:rsidRDefault="004163D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9.0 (6.3 – 12</w:t>
            </w:r>
            <w:r w:rsidR="009E42EB">
              <w:rPr>
                <w:rFonts w:cs="Calibri"/>
                <w:kern w:val="2"/>
                <w:lang w:eastAsia="ja-JP"/>
              </w:rPr>
              <w:t>.9)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7240EAE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50CA510F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24614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vertAlign w:val="superscript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20757B3" w14:textId="77777777" w:rsidR="009E42EB" w:rsidRDefault="004163D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0.62 (0.50 – 0.77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EBC5BDE" w14:textId="77777777" w:rsidR="009E42EB" w:rsidRDefault="004163D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0.51 (0.32 – 0.83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1B1D5ECB" w14:textId="77777777" w:rsidR="009E42EB" w:rsidRDefault="004163D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0.56</w:t>
            </w:r>
          </w:p>
        </w:tc>
      </w:tr>
      <w:tr w:rsidR="009E42EB" w14:paraId="56987BC1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9498F1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All-cause hospitalisation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BC565A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499DD4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388D7B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11C96D98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06D50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E5382" w14:textId="77777777" w:rsidR="009E42EB" w:rsidRDefault="00794E5A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407 (34.4</w:t>
            </w:r>
            <w:r w:rsidRPr="00794E5A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7D6539B" w14:textId="77777777" w:rsidR="009E42EB" w:rsidRDefault="00794E5A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337 (29.1</w:t>
            </w:r>
            <w:r w:rsidRPr="00794E5A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34522FB0" w14:textId="77777777" w:rsidR="009E42EB" w:rsidRDefault="00794E5A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83 (44.1</w:t>
            </w:r>
            <w:r w:rsidRPr="00794E5A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FFC31BA" w14:textId="77777777" w:rsidR="009E42EB" w:rsidRDefault="00794E5A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71 (35.0</w:t>
            </w:r>
            <w:r w:rsidRPr="00794E5A">
              <w:rPr>
                <w:rFonts w:cs="Calibri"/>
                <w:kern w:val="2"/>
                <w:lang w:eastAsia="ja-JP"/>
              </w:rPr>
              <w:t xml:space="preserve">)  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90C8EA7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370150F6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E1A49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359F5" w14:textId="77777777" w:rsidR="009E42EB" w:rsidRDefault="003A04D1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24.6 (22.4 – 27.1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05ED429" w14:textId="77777777" w:rsidR="009E42EB" w:rsidRDefault="003A04D1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19.2 (17.3 – 21.4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60FDFFA9" w14:textId="77777777" w:rsidR="009E42EB" w:rsidRDefault="003A04D1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38.5 (31.0 – 47.7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B45DD46" w14:textId="77777777" w:rsidR="009E42EB" w:rsidRDefault="003A04D1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26.8 (21.2 – 33.8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24688F8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10944EF3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BB00E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vertAlign w:val="superscript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1EDD5E3" w14:textId="77777777" w:rsidR="009E42EB" w:rsidRDefault="002C1EED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0.79 (0.69 – 0.91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C334647" w14:textId="77777777" w:rsidR="009E42EB" w:rsidRDefault="00292C81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0.73 (0.53 – 1.00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261BB8FB" w14:textId="77777777" w:rsidR="009E42EB" w:rsidRDefault="00292C81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0.58</w:t>
            </w:r>
          </w:p>
        </w:tc>
      </w:tr>
      <w:tr w:rsidR="009E42EB" w14:paraId="1462229A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A58AFC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Non-Cardiovascular hospitalisation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D19CB1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752683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53654D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75AC6AB4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62971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09012" w14:textId="77777777" w:rsidR="009E42EB" w:rsidRDefault="00172D3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69 (5.8</w:t>
            </w:r>
            <w:r w:rsidRPr="00172D32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2A3C8F9" w14:textId="77777777" w:rsidR="009E42EB" w:rsidRDefault="00172D3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77 (6.6</w:t>
            </w:r>
            <w:r w:rsidRPr="00172D32">
              <w:rPr>
                <w:rFonts w:cs="Calibri"/>
                <w:kern w:val="2"/>
                <w:lang w:eastAsia="ja-JP"/>
              </w:rPr>
              <w:t xml:space="preserve">)  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0061C869" w14:textId="77777777" w:rsidR="009E42EB" w:rsidRDefault="00172D3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22 (11.7</w:t>
            </w:r>
            <w:r w:rsidRPr="00172D32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252105A" w14:textId="77777777" w:rsidR="009E42EB" w:rsidRDefault="00172D3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27 (13.3</w:t>
            </w:r>
            <w:r w:rsidRPr="00172D32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14A2CFA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74CF96B5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66D34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860CC" w14:textId="77777777" w:rsidR="009E42EB" w:rsidRDefault="00172D3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3.4 (2.7 – 4.3)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4464429" w14:textId="77777777" w:rsidR="009E42EB" w:rsidRDefault="00172D3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3.8 (3.0 – 4.7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16B18867" w14:textId="77777777" w:rsidR="009E42EB" w:rsidRDefault="00172D3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8.1 (5.3 – 12.3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3CA910A" w14:textId="77777777" w:rsidR="009E42EB" w:rsidRDefault="00172D3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8.2 (5.6 – 12.0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D2AFA41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4EDCC875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58AC6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vertAlign w:val="superscript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D39B2DC" w14:textId="77777777" w:rsidR="009E42EB" w:rsidRDefault="00DE484A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1.11 (0.81 – 1.54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98F6F19" w14:textId="77777777" w:rsidR="009E42EB" w:rsidRDefault="008277D0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1.02 (0.58 – 1.80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4EA5EF5E" w14:textId="77777777" w:rsidR="009E42EB" w:rsidRDefault="008277D0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0.80</w:t>
            </w:r>
          </w:p>
        </w:tc>
      </w:tr>
      <w:tr w:rsidR="009E42EB" w14:paraId="690D5965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030C25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Cardiovascular death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F5A08A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1C9158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00B42F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0205B96E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B6E3A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08E8B" w14:textId="77777777" w:rsidR="009E42EB" w:rsidRDefault="0095057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153 (12.9</w:t>
            </w:r>
            <w:r w:rsidRPr="00950573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AD964C8" w14:textId="77777777" w:rsidR="009E42EB" w:rsidRDefault="0095057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 w:rsidRPr="00950573">
              <w:rPr>
                <w:rFonts w:cs="Calibri"/>
                <w:kern w:val="2"/>
                <w:lang w:eastAsia="ja-JP"/>
              </w:rPr>
              <w:t>1</w:t>
            </w:r>
            <w:r>
              <w:rPr>
                <w:rFonts w:cs="Calibri"/>
                <w:kern w:val="2"/>
                <w:lang w:eastAsia="ja-JP"/>
              </w:rPr>
              <w:t>21 (10.4</w:t>
            </w:r>
            <w:r w:rsidRPr="00950573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70FC10EA" w14:textId="77777777" w:rsidR="009E42EB" w:rsidRDefault="0095057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32 (17.0</w:t>
            </w:r>
            <w:r w:rsidRPr="00950573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1121CD0F" w14:textId="77777777" w:rsidR="009E42EB" w:rsidRDefault="0095057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25 (12.3</w:t>
            </w:r>
            <w:r w:rsidRPr="00950573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8C4693A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3AD99209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75EE5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037EF" w14:textId="77777777" w:rsidR="009E42EB" w:rsidRDefault="009075F5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7.3 (6.2 – 8.5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D9E93E7" w14:textId="77777777" w:rsidR="009E42EB" w:rsidRDefault="009075F5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5.7 (4.8 – 6.8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279CFB15" w14:textId="77777777" w:rsidR="009E42EB" w:rsidRDefault="009075F5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10.9 (7.7 – 15.4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C591943" w14:textId="77777777" w:rsidR="009E42EB" w:rsidRDefault="009075F5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7.0 (4.8 – 10.4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12B07DE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1C43DC04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43A90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E07713E" w14:textId="77777777" w:rsidR="009E42EB" w:rsidRDefault="009075F5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0.78 (0.62 – 0.99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E902394" w14:textId="77777777" w:rsidR="009E42EB" w:rsidRDefault="009075F5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0.65 (0.39 – 1.10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4AB1A641" w14:textId="77777777" w:rsidR="009E42EB" w:rsidRDefault="009075F5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0.52</w:t>
            </w:r>
          </w:p>
        </w:tc>
      </w:tr>
      <w:tr w:rsidR="009E42EB" w14:paraId="19820D14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C351B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All-cause death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6E3ABA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CFDD64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6D2DC8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671EAD7A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3C6D51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dashSmallGap" w:sz="4" w:space="0" w:color="A5A5A5" w:themeColor="accent3"/>
            </w:tcBorders>
            <w:shd w:val="clear" w:color="auto" w:fill="FFFFFF" w:themeFill="background1"/>
            <w:vAlign w:val="center"/>
          </w:tcPr>
          <w:p w14:paraId="023A86FC" w14:textId="77777777" w:rsidR="009E42EB" w:rsidRDefault="008F416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178 (15.0</w:t>
            </w:r>
            <w:r w:rsidRPr="008F416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91" w:type="dxa"/>
            <w:gridSpan w:val="2"/>
            <w:tcBorders>
              <w:top w:val="nil"/>
              <w:left w:val="dashSmallGap" w:sz="4" w:space="0" w:color="A5A5A5" w:themeColor="accent3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591AC3" w14:textId="77777777" w:rsidR="009E42EB" w:rsidRDefault="008F416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137 (11.8</w:t>
            </w:r>
            <w:r w:rsidRPr="008F416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17" w:type="dxa"/>
            <w:tcBorders>
              <w:top w:val="nil"/>
              <w:left w:val="dotted" w:sz="4" w:space="0" w:color="auto"/>
              <w:bottom w:val="nil"/>
              <w:right w:val="dashSmallGap" w:sz="4" w:space="0" w:color="A5A5A5" w:themeColor="accent3"/>
            </w:tcBorders>
            <w:shd w:val="clear" w:color="auto" w:fill="FFFFFF" w:themeFill="background1"/>
            <w:vAlign w:val="center"/>
          </w:tcPr>
          <w:p w14:paraId="67645A92" w14:textId="77777777" w:rsidR="009E42EB" w:rsidRDefault="008F416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35 (18.6</w:t>
            </w:r>
            <w:r w:rsidRPr="008F416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69" w:type="dxa"/>
            <w:gridSpan w:val="2"/>
            <w:tcBorders>
              <w:top w:val="nil"/>
              <w:left w:val="dashSmallGap" w:sz="4" w:space="0" w:color="A5A5A5" w:themeColor="accent3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F37892" w14:textId="77777777" w:rsidR="009E42EB" w:rsidRDefault="008F416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33 (16.3</w:t>
            </w:r>
            <w:r w:rsidRPr="008F416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5313D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49FBB0C7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F203A1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dashSmallGap" w:sz="4" w:space="0" w:color="A5A5A5" w:themeColor="accent3"/>
            </w:tcBorders>
            <w:shd w:val="clear" w:color="auto" w:fill="FFFFFF" w:themeFill="background1"/>
            <w:vAlign w:val="center"/>
          </w:tcPr>
          <w:p w14:paraId="4581F6F4" w14:textId="77777777" w:rsidR="009E42EB" w:rsidRDefault="00BA4EEE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8.5 (7.3 – 9.8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91" w:type="dxa"/>
            <w:gridSpan w:val="2"/>
            <w:tcBorders>
              <w:top w:val="nil"/>
              <w:left w:val="dashSmallGap" w:sz="4" w:space="0" w:color="A5A5A5" w:themeColor="accent3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EBC2B6" w14:textId="77777777" w:rsidR="009E42EB" w:rsidRDefault="00C36A46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6.5 (5.5 – 7.7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17" w:type="dxa"/>
            <w:tcBorders>
              <w:top w:val="nil"/>
              <w:left w:val="dotted" w:sz="4" w:space="0" w:color="auto"/>
              <w:bottom w:val="nil"/>
              <w:right w:val="dashSmallGap" w:sz="4" w:space="0" w:color="A5A5A5" w:themeColor="accent3"/>
            </w:tcBorders>
            <w:shd w:val="clear" w:color="auto" w:fill="FFFFFF" w:themeFill="background1"/>
            <w:vAlign w:val="center"/>
          </w:tcPr>
          <w:p w14:paraId="60999250" w14:textId="77777777" w:rsidR="009E42EB" w:rsidRDefault="00BA4EEE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</w:t>
            </w:r>
            <w:r w:rsidR="009E42EB">
              <w:rPr>
                <w:rFonts w:cs="Calibri"/>
                <w:kern w:val="2"/>
                <w:lang w:eastAsia="ja-JP"/>
              </w:rPr>
              <w:t>1.9</w:t>
            </w:r>
            <w:r>
              <w:rPr>
                <w:rFonts w:cs="Calibri"/>
                <w:kern w:val="2"/>
                <w:lang w:eastAsia="ja-JP"/>
              </w:rPr>
              <w:t xml:space="preserve"> (8.6 – 16.6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69" w:type="dxa"/>
            <w:gridSpan w:val="2"/>
            <w:tcBorders>
              <w:top w:val="nil"/>
              <w:left w:val="dashSmallGap" w:sz="4" w:space="0" w:color="A5A5A5" w:themeColor="accent3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8EEADD" w14:textId="77777777" w:rsidR="009E42EB" w:rsidRDefault="00BA4EEE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9.3 (6.6 – 13.1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51E64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0D1B030A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B9A2F3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AD2A42" w14:textId="77777777" w:rsidR="009E42EB" w:rsidRDefault="00BA4EEE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0.76 (0.61 – 0.95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3AE19F" w14:textId="77777777" w:rsidR="009E42EB" w:rsidRDefault="00BA4EEE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0.79 (0.49 – 1.27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EE5AB8" w14:textId="77777777" w:rsidR="009E42EB" w:rsidRDefault="00BA4EEE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0.92</w:t>
            </w:r>
          </w:p>
        </w:tc>
      </w:tr>
      <w:tr w:rsidR="009E42EB" w14:paraId="534BC40C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5040F8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Pump failure death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D94C9F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5D0E7C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0170A8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6166E3A5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CE7FD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C9068" w14:textId="77777777" w:rsidR="009E42EB" w:rsidRDefault="00887C85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48 (4.1</w:t>
            </w:r>
            <w:r w:rsidRPr="00887C8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44CA1CE" w14:textId="77777777" w:rsidR="009E42EB" w:rsidRDefault="00887C85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35 (3.0</w:t>
            </w:r>
            <w:r w:rsidRPr="00887C8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0AE7FBE9" w14:textId="77777777" w:rsidR="009E42EB" w:rsidRDefault="00887C85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13 (6.9</w:t>
            </w:r>
            <w:r w:rsidRPr="00887C8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0B7C33C" w14:textId="77777777" w:rsidR="009E42EB" w:rsidRDefault="00887C85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10 (4.9</w:t>
            </w:r>
            <w:r w:rsidRPr="00887C85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4C98102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63A58C50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825F1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46D69" w14:textId="77777777" w:rsidR="009E42EB" w:rsidRDefault="00F41B8F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2.3 (1.7 – 3.0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16B62D57" w14:textId="77777777" w:rsidR="009E42EB" w:rsidRDefault="00F41B8F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1.7 (1.2 – 2.3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65F60E10" w14:textId="77777777" w:rsidR="009E42EB" w:rsidRDefault="00E75DB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4.4 (2.6 – 7.6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B866324" w14:textId="77777777" w:rsidR="009E42EB" w:rsidRDefault="00E75DB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2.8 (1.5 – 5.2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D96220F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39E95344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04C45C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vertAlign w:val="superscript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EDDB76" w14:textId="77777777" w:rsidR="009E42EB" w:rsidRDefault="005939B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0.72 (0.46 – 1.11)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608EFC5" w14:textId="77777777" w:rsidR="009E42EB" w:rsidRDefault="005939B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0.64 (0.28 – 1.46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E3315C" w14:textId="77777777" w:rsidR="009E42EB" w:rsidRDefault="005939B3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0.81</w:t>
            </w:r>
          </w:p>
        </w:tc>
      </w:tr>
      <w:tr w:rsidR="009E42EB" w14:paraId="46DD093C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2C1E10" w14:textId="77777777" w:rsidR="009E42EB" w:rsidRDefault="009E42EB" w:rsidP="00830160">
            <w:pPr>
              <w:widowControl w:val="0"/>
              <w:spacing w:after="0"/>
              <w:rPr>
                <w:rFonts w:cs="Calibri"/>
                <w:b/>
                <w:iCs/>
                <w:kern w:val="2"/>
                <w:lang w:eastAsia="ja-JP"/>
              </w:rPr>
            </w:pPr>
            <w:r>
              <w:rPr>
                <w:rFonts w:cs="Calibri"/>
                <w:b/>
                <w:iCs/>
                <w:kern w:val="2"/>
                <w:lang w:eastAsia="ja-JP"/>
              </w:rPr>
              <w:t>Sudden cardiac death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8A14CC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4C8671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CE5699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6D56888A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80F4D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Events – no.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FC1E8" w14:textId="77777777" w:rsidR="009E42EB" w:rsidRDefault="00A82620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62 (5.2</w:t>
            </w:r>
            <w:r w:rsidRPr="00A82620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1B2EBF52" w14:textId="77777777" w:rsidR="009E42EB" w:rsidRDefault="00A82620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50 (4.3</w:t>
            </w:r>
            <w:r w:rsidRPr="00A82620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6B6E5EB0" w14:textId="77777777" w:rsidR="009E42EB" w:rsidRDefault="00A82620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14 (7.4</w:t>
            </w:r>
            <w:r w:rsidRPr="00A82620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4338518" w14:textId="77777777" w:rsidR="009E42EB" w:rsidRDefault="00A82620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9 (4.4</w:t>
            </w:r>
            <w:r w:rsidRPr="00A82620">
              <w:rPr>
                <w:rFonts w:cs="Calibri"/>
                <w:kern w:val="2"/>
                <w:lang w:eastAsia="ja-JP"/>
              </w:rPr>
              <w:t xml:space="preserve">)  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785A6A3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0E7C9832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1015B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Event rate per 100 pt. yrs.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DD734" w14:textId="77777777" w:rsidR="009E42EB" w:rsidRDefault="00A50AC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3.0 (2.3 – 3.8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915A2E1" w14:textId="77777777" w:rsidR="009E42EB" w:rsidRDefault="00A50AC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2.4 (1.8 – 3</w:t>
            </w:r>
            <w:r w:rsidR="009E42EB">
              <w:rPr>
                <w:rFonts w:cs="Calibri"/>
                <w:kern w:val="2"/>
                <w:lang w:eastAsia="ja-JP"/>
              </w:rPr>
              <w:t>.1)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4E168C65" w14:textId="77777777" w:rsidR="009E42EB" w:rsidRDefault="00A50AC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4.8 (2.8 –8.0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214E5DE" w14:textId="77777777" w:rsidR="009E42EB" w:rsidRDefault="00A50AC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2.5 (1.3 – 4.9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6C35410" w14:textId="77777777" w:rsidR="009E42EB" w:rsidRDefault="009E42EB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</w:p>
        </w:tc>
      </w:tr>
      <w:tr w:rsidR="009E42EB" w14:paraId="415E24E0" w14:textId="77777777" w:rsidTr="00830160">
        <w:trPr>
          <w:trHeight w:val="114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E77A59" w14:textId="77777777" w:rsidR="009E42EB" w:rsidRDefault="009E42EB" w:rsidP="00830160">
            <w:pPr>
              <w:widowControl w:val="0"/>
              <w:spacing w:after="0"/>
              <w:rPr>
                <w:rFonts w:cs="Calibri"/>
                <w:bCs/>
                <w:iCs/>
                <w:kern w:val="2"/>
                <w:vertAlign w:val="superscript"/>
                <w:lang w:eastAsia="ja-JP"/>
              </w:rPr>
            </w:pPr>
            <w:r>
              <w:rPr>
                <w:rFonts w:cs="Calibri"/>
                <w:bCs/>
                <w:iCs/>
                <w:kern w:val="2"/>
                <w:lang w:eastAsia="ja-JP"/>
              </w:rPr>
              <w:t>Unadjusted HR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74D8D69" w14:textId="77777777" w:rsidR="009E42EB" w:rsidRDefault="00A50AC2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0.80 (0.55 – 1.16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3686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536D042" w14:textId="77777777" w:rsidR="009E42EB" w:rsidRDefault="000F5DD4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0.55 (0.24 – 1.28</w:t>
            </w:r>
            <w:r w:rsidR="009E42EB">
              <w:rPr>
                <w:rFonts w:cs="Calibri"/>
                <w:kern w:val="2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04906" w14:textId="77777777" w:rsidR="009E42EB" w:rsidRDefault="000F5DD4" w:rsidP="00830160">
            <w:pPr>
              <w:widowControl w:val="0"/>
              <w:spacing w:after="0"/>
              <w:jc w:val="center"/>
              <w:rPr>
                <w:rFonts w:cs="Calibri"/>
                <w:kern w:val="2"/>
                <w:lang w:eastAsia="ja-JP"/>
              </w:rPr>
            </w:pPr>
            <w:r>
              <w:rPr>
                <w:rFonts w:cs="Calibri"/>
                <w:kern w:val="2"/>
                <w:lang w:eastAsia="ja-JP"/>
              </w:rPr>
              <w:t>0.41</w:t>
            </w:r>
          </w:p>
        </w:tc>
      </w:tr>
      <w:tr w:rsidR="009E42EB" w14:paraId="0D88FBB5" w14:textId="77777777" w:rsidTr="0083016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9" w:type="dxa"/>
            <w:gridSpan w:val="8"/>
          </w:tcPr>
          <w:p w14:paraId="53B979F8" w14:textId="77777777" w:rsidR="009E42EB" w:rsidRPr="00AD1CA5" w:rsidRDefault="009E42EB" w:rsidP="00830160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FD5107">
              <w:rPr>
                <w:rFonts w:asciiTheme="minorHAnsi" w:hAnsiTheme="minorHAnsi" w:cs="Calibri"/>
                <w:kern w:val="2"/>
                <w:sz w:val="18"/>
                <w:szCs w:val="18"/>
                <w:lang w:eastAsia="ja-JP"/>
              </w:rPr>
              <w:t>Chronic obstructive pulmonary disease (COPD);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mineralocorticoid receptor antagonist (MRA); heart failure (HF); hazard ratio (HR).</w:t>
            </w:r>
          </w:p>
        </w:tc>
      </w:tr>
    </w:tbl>
    <w:p w14:paraId="5B2D15B6" w14:textId="77777777" w:rsidR="009E42EB" w:rsidRDefault="009E42EB" w:rsidP="009E3F55">
      <w:pPr>
        <w:spacing w:after="0" w:line="240" w:lineRule="auto"/>
        <w:rPr>
          <w:b/>
          <w:sz w:val="24"/>
          <w:szCs w:val="24"/>
        </w:rPr>
      </w:pPr>
    </w:p>
    <w:p w14:paraId="4532D590" w14:textId="77777777" w:rsidR="00EC2C11" w:rsidRDefault="00EC2C11" w:rsidP="009E3F55">
      <w:pPr>
        <w:spacing w:after="0" w:line="240" w:lineRule="auto"/>
        <w:rPr>
          <w:b/>
          <w:sz w:val="24"/>
          <w:szCs w:val="24"/>
        </w:rPr>
      </w:pPr>
    </w:p>
    <w:p w14:paraId="57809A74" w14:textId="77777777" w:rsidR="00EC2C11" w:rsidRDefault="00EC2C11" w:rsidP="009E3F55">
      <w:pPr>
        <w:spacing w:after="0" w:line="240" w:lineRule="auto"/>
        <w:rPr>
          <w:b/>
          <w:sz w:val="24"/>
          <w:szCs w:val="24"/>
        </w:rPr>
      </w:pPr>
    </w:p>
    <w:p w14:paraId="4BDFE05D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670825E0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6566FAAC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61BA6461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792BDD10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1F497650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747530C2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7B660C33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30497444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0B24A083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6D4DB356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0415AF22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5BFEE832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7E14D3B1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205E2CC0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66B1240E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71D962B7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77A41C38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1828E082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02C559D3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54DCF037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6132FD1B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2F70F5EE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1B891330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63E8A1AE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0ED8C6EA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015FF4CA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50D843D2" w14:textId="77777777" w:rsidR="00895CF0" w:rsidRDefault="00895CF0" w:rsidP="009E3F55">
      <w:pPr>
        <w:spacing w:after="0" w:line="240" w:lineRule="auto"/>
        <w:rPr>
          <w:b/>
          <w:sz w:val="24"/>
          <w:szCs w:val="24"/>
        </w:rPr>
      </w:pPr>
    </w:p>
    <w:p w14:paraId="543679C0" w14:textId="593E949D" w:rsidR="009C18E1" w:rsidRDefault="00EC2C11" w:rsidP="009E3F55">
      <w:pPr>
        <w:spacing w:after="0" w:line="240" w:lineRule="auto"/>
        <w:rPr>
          <w:b/>
          <w:sz w:val="24"/>
          <w:szCs w:val="24"/>
        </w:rPr>
      </w:pPr>
      <w:r w:rsidRPr="00EC2C11">
        <w:rPr>
          <w:b/>
          <w:sz w:val="24"/>
          <w:szCs w:val="24"/>
        </w:rPr>
        <w:t xml:space="preserve">Supplemental </w:t>
      </w:r>
      <w:r>
        <w:rPr>
          <w:b/>
          <w:sz w:val="24"/>
          <w:szCs w:val="24"/>
        </w:rPr>
        <w:t>Figure</w:t>
      </w:r>
      <w:r w:rsidRPr="00EC2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Pr="00EC2C1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Causes of non-cardiovascular death in patients with and without COPD</w:t>
      </w:r>
      <w:r w:rsidRPr="00EC2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(RALES and </w:t>
      </w:r>
      <w:r w:rsidRPr="00EC2C11">
        <w:rPr>
          <w:b/>
          <w:sz w:val="24"/>
          <w:szCs w:val="24"/>
        </w:rPr>
        <w:t xml:space="preserve">EMPHASIS-HF </w:t>
      </w:r>
      <w:r>
        <w:rPr>
          <w:b/>
          <w:sz w:val="24"/>
          <w:szCs w:val="24"/>
        </w:rPr>
        <w:t>combined)</w:t>
      </w:r>
    </w:p>
    <w:p w14:paraId="60F53727" w14:textId="3A51B0F1" w:rsidR="00EC2C11" w:rsidRDefault="00EC2C11" w:rsidP="009E3F55">
      <w:pPr>
        <w:spacing w:after="0" w:line="240" w:lineRule="auto"/>
        <w:rPr>
          <w:b/>
          <w:sz w:val="24"/>
          <w:szCs w:val="24"/>
        </w:rPr>
      </w:pPr>
    </w:p>
    <w:p w14:paraId="6AFDE092" w14:textId="1E39FD5B" w:rsidR="00EC2C11" w:rsidRPr="00EC2C11" w:rsidRDefault="00EC2C11" w:rsidP="009E3F55">
      <w:pPr>
        <w:spacing w:after="0" w:line="240" w:lineRule="auto"/>
        <w:rPr>
          <w:bCs/>
          <w:sz w:val="24"/>
          <w:szCs w:val="24"/>
        </w:rPr>
      </w:pPr>
      <w:r w:rsidRPr="00EC2C11">
        <w:rPr>
          <w:bCs/>
          <w:sz w:val="24"/>
          <w:szCs w:val="24"/>
        </w:rPr>
        <w:t>GI/HPB = gastrointestinal/hepatobiliary</w:t>
      </w:r>
    </w:p>
    <w:p w14:paraId="48E99710" w14:textId="77777777" w:rsidR="009C18E1" w:rsidRDefault="009C18E1" w:rsidP="009E3F55">
      <w:pPr>
        <w:spacing w:after="0" w:line="240" w:lineRule="auto"/>
        <w:rPr>
          <w:b/>
          <w:sz w:val="24"/>
          <w:szCs w:val="24"/>
        </w:rPr>
      </w:pPr>
    </w:p>
    <w:p w14:paraId="2522154E" w14:textId="5DC75433" w:rsidR="009C18E1" w:rsidRDefault="009C18E1" w:rsidP="009E3F55">
      <w:pPr>
        <w:spacing w:after="0" w:line="240" w:lineRule="auto"/>
        <w:rPr>
          <w:b/>
          <w:sz w:val="24"/>
          <w:szCs w:val="24"/>
        </w:rPr>
      </w:pPr>
    </w:p>
    <w:p w14:paraId="27982974" w14:textId="77777777" w:rsidR="009C18E1" w:rsidRDefault="009C18E1" w:rsidP="009E3F55">
      <w:pPr>
        <w:spacing w:after="0" w:line="240" w:lineRule="auto"/>
        <w:rPr>
          <w:b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568DF5FA" wp14:editId="62E1F2F7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37B11FF" w14:textId="77777777" w:rsidR="009C18E1" w:rsidRDefault="009C18E1" w:rsidP="009E3F55">
      <w:pPr>
        <w:spacing w:after="0" w:line="240" w:lineRule="auto"/>
        <w:rPr>
          <w:b/>
          <w:sz w:val="24"/>
          <w:szCs w:val="24"/>
        </w:rPr>
      </w:pPr>
    </w:p>
    <w:p w14:paraId="736E28B8" w14:textId="77777777" w:rsidR="009C18E1" w:rsidRDefault="009C18E1" w:rsidP="009E3F55">
      <w:pPr>
        <w:spacing w:after="0" w:line="240" w:lineRule="auto"/>
        <w:rPr>
          <w:b/>
          <w:sz w:val="24"/>
          <w:szCs w:val="24"/>
        </w:rPr>
      </w:pPr>
    </w:p>
    <w:p w14:paraId="641D06D0" w14:textId="77777777" w:rsidR="009C18E1" w:rsidRDefault="009C18E1" w:rsidP="009E3F55">
      <w:pPr>
        <w:spacing w:after="0" w:line="240" w:lineRule="auto"/>
        <w:rPr>
          <w:b/>
          <w:sz w:val="24"/>
          <w:szCs w:val="24"/>
        </w:rPr>
      </w:pPr>
    </w:p>
    <w:p w14:paraId="489B5006" w14:textId="77777777" w:rsidR="009C18E1" w:rsidRDefault="009C18E1" w:rsidP="009E3F55">
      <w:pPr>
        <w:spacing w:after="0" w:line="240" w:lineRule="auto"/>
        <w:rPr>
          <w:b/>
          <w:sz w:val="24"/>
          <w:szCs w:val="24"/>
        </w:rPr>
      </w:pPr>
    </w:p>
    <w:p w14:paraId="0959D6B1" w14:textId="77777777" w:rsidR="009C18E1" w:rsidRDefault="009C18E1" w:rsidP="009E3F55">
      <w:pPr>
        <w:spacing w:after="0" w:line="240" w:lineRule="auto"/>
        <w:rPr>
          <w:b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051915BF" wp14:editId="42F6203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C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1446"/>
    <w:multiLevelType w:val="hybridMultilevel"/>
    <w:tmpl w:val="66EE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EE"/>
    <w:rsid w:val="0000019A"/>
    <w:rsid w:val="00020897"/>
    <w:rsid w:val="000209C5"/>
    <w:rsid w:val="00027D66"/>
    <w:rsid w:val="00032E7C"/>
    <w:rsid w:val="000670B4"/>
    <w:rsid w:val="00071D47"/>
    <w:rsid w:val="00081760"/>
    <w:rsid w:val="00090F1B"/>
    <w:rsid w:val="000943EE"/>
    <w:rsid w:val="000C24B7"/>
    <w:rsid w:val="000C3691"/>
    <w:rsid w:val="000E2044"/>
    <w:rsid w:val="000F5DD4"/>
    <w:rsid w:val="00102471"/>
    <w:rsid w:val="001213B1"/>
    <w:rsid w:val="0012502F"/>
    <w:rsid w:val="00136359"/>
    <w:rsid w:val="00172D32"/>
    <w:rsid w:val="00173E0A"/>
    <w:rsid w:val="00190F54"/>
    <w:rsid w:val="001A40F3"/>
    <w:rsid w:val="001E690E"/>
    <w:rsid w:val="00201676"/>
    <w:rsid w:val="0025146B"/>
    <w:rsid w:val="00292C81"/>
    <w:rsid w:val="002C1EED"/>
    <w:rsid w:val="002C4F3E"/>
    <w:rsid w:val="002D4C09"/>
    <w:rsid w:val="002E1854"/>
    <w:rsid w:val="00313E2B"/>
    <w:rsid w:val="00315A62"/>
    <w:rsid w:val="00321FCA"/>
    <w:rsid w:val="00352735"/>
    <w:rsid w:val="003748D1"/>
    <w:rsid w:val="0037737B"/>
    <w:rsid w:val="00381ECF"/>
    <w:rsid w:val="003A04D1"/>
    <w:rsid w:val="003A6C22"/>
    <w:rsid w:val="003B2839"/>
    <w:rsid w:val="003D2D12"/>
    <w:rsid w:val="004072A4"/>
    <w:rsid w:val="004163D3"/>
    <w:rsid w:val="004318F2"/>
    <w:rsid w:val="004379E2"/>
    <w:rsid w:val="00447727"/>
    <w:rsid w:val="004522A5"/>
    <w:rsid w:val="00460D40"/>
    <w:rsid w:val="004C686A"/>
    <w:rsid w:val="004D0621"/>
    <w:rsid w:val="004D6630"/>
    <w:rsid w:val="0050088A"/>
    <w:rsid w:val="00510938"/>
    <w:rsid w:val="00555FCF"/>
    <w:rsid w:val="0058516B"/>
    <w:rsid w:val="005939B3"/>
    <w:rsid w:val="005D2B6B"/>
    <w:rsid w:val="005E2929"/>
    <w:rsid w:val="0060704E"/>
    <w:rsid w:val="0061671A"/>
    <w:rsid w:val="00616D74"/>
    <w:rsid w:val="00643988"/>
    <w:rsid w:val="00652188"/>
    <w:rsid w:val="00667A1A"/>
    <w:rsid w:val="0068033E"/>
    <w:rsid w:val="006D03FA"/>
    <w:rsid w:val="006F4C7A"/>
    <w:rsid w:val="00713EEB"/>
    <w:rsid w:val="00716DD9"/>
    <w:rsid w:val="00717558"/>
    <w:rsid w:val="00721DAA"/>
    <w:rsid w:val="00794E5A"/>
    <w:rsid w:val="007A444B"/>
    <w:rsid w:val="007C7BD2"/>
    <w:rsid w:val="007D2AA0"/>
    <w:rsid w:val="007D5C01"/>
    <w:rsid w:val="008277D0"/>
    <w:rsid w:val="008629AF"/>
    <w:rsid w:val="0088107E"/>
    <w:rsid w:val="0088510A"/>
    <w:rsid w:val="00887C85"/>
    <w:rsid w:val="00895CF0"/>
    <w:rsid w:val="00896336"/>
    <w:rsid w:val="008A021A"/>
    <w:rsid w:val="008B003D"/>
    <w:rsid w:val="008C6A96"/>
    <w:rsid w:val="008E7EE3"/>
    <w:rsid w:val="008F012F"/>
    <w:rsid w:val="008F0292"/>
    <w:rsid w:val="008F416B"/>
    <w:rsid w:val="008F7392"/>
    <w:rsid w:val="009075F5"/>
    <w:rsid w:val="00925A52"/>
    <w:rsid w:val="00950573"/>
    <w:rsid w:val="009657CD"/>
    <w:rsid w:val="00966F7E"/>
    <w:rsid w:val="009C18E1"/>
    <w:rsid w:val="009E0E13"/>
    <w:rsid w:val="009E3F55"/>
    <w:rsid w:val="009E42EB"/>
    <w:rsid w:val="00A12739"/>
    <w:rsid w:val="00A25C7A"/>
    <w:rsid w:val="00A27514"/>
    <w:rsid w:val="00A50AC2"/>
    <w:rsid w:val="00A67C87"/>
    <w:rsid w:val="00A82620"/>
    <w:rsid w:val="00A878EE"/>
    <w:rsid w:val="00A9212F"/>
    <w:rsid w:val="00AA5D97"/>
    <w:rsid w:val="00AE5469"/>
    <w:rsid w:val="00B056D7"/>
    <w:rsid w:val="00B45B91"/>
    <w:rsid w:val="00B51DF6"/>
    <w:rsid w:val="00B61FCD"/>
    <w:rsid w:val="00B76E00"/>
    <w:rsid w:val="00B82733"/>
    <w:rsid w:val="00BA4EEE"/>
    <w:rsid w:val="00BA6626"/>
    <w:rsid w:val="00BC1F78"/>
    <w:rsid w:val="00BD1AA6"/>
    <w:rsid w:val="00C134DE"/>
    <w:rsid w:val="00C14B22"/>
    <w:rsid w:val="00C36A46"/>
    <w:rsid w:val="00C704C2"/>
    <w:rsid w:val="00CE26A7"/>
    <w:rsid w:val="00D27C68"/>
    <w:rsid w:val="00D33295"/>
    <w:rsid w:val="00D6045D"/>
    <w:rsid w:val="00D759EB"/>
    <w:rsid w:val="00DE484A"/>
    <w:rsid w:val="00E17868"/>
    <w:rsid w:val="00E24FE2"/>
    <w:rsid w:val="00E35B15"/>
    <w:rsid w:val="00E54DBB"/>
    <w:rsid w:val="00E75DB2"/>
    <w:rsid w:val="00E86088"/>
    <w:rsid w:val="00E872BD"/>
    <w:rsid w:val="00E90162"/>
    <w:rsid w:val="00E90789"/>
    <w:rsid w:val="00EA2116"/>
    <w:rsid w:val="00EC2C11"/>
    <w:rsid w:val="00EC48EC"/>
    <w:rsid w:val="00EC722F"/>
    <w:rsid w:val="00ED221F"/>
    <w:rsid w:val="00EF0895"/>
    <w:rsid w:val="00EF1826"/>
    <w:rsid w:val="00EF2BBD"/>
    <w:rsid w:val="00EF694C"/>
    <w:rsid w:val="00F11174"/>
    <w:rsid w:val="00F25EF1"/>
    <w:rsid w:val="00F3444C"/>
    <w:rsid w:val="00F3748A"/>
    <w:rsid w:val="00F41B8F"/>
    <w:rsid w:val="00F621CC"/>
    <w:rsid w:val="00F72ED4"/>
    <w:rsid w:val="00F85C0E"/>
    <w:rsid w:val="00F94FA7"/>
    <w:rsid w:val="00F96B05"/>
    <w:rsid w:val="00FA522D"/>
    <w:rsid w:val="00FB2467"/>
    <w:rsid w:val="00FD04AC"/>
    <w:rsid w:val="00FE3E01"/>
    <w:rsid w:val="00FE5654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4AD8"/>
  <w15:chartTrackingRefBased/>
  <w15:docId w15:val="{81BEB9AD-6793-40DA-A3B3-8950165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EE"/>
    <w:pPr>
      <w:spacing w:after="200" w:line="276" w:lineRule="auto"/>
    </w:pPr>
    <w:rPr>
      <w:rFonts w:ascii="Calibri" w:eastAsiaTheme="minorEastAsia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8EE"/>
    <w:pPr>
      <w:ind w:left="720"/>
      <w:contextualSpacing/>
    </w:pPr>
  </w:style>
  <w:style w:type="table" w:styleId="Tableausimple4">
    <w:name w:val="Plain Table 4"/>
    <w:basedOn w:val="TableauNormal"/>
    <w:uiPriority w:val="44"/>
    <w:rsid w:val="00A8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uiPriority w:val="1"/>
    <w:qFormat/>
    <w:rsid w:val="00A878EE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Grilledutableau">
    <w:name w:val="Table Grid"/>
    <w:basedOn w:val="TableauNormal"/>
    <w:uiPriority w:val="59"/>
    <w:rsid w:val="009E3F55"/>
    <w:pPr>
      <w:spacing w:after="0" w:line="240" w:lineRule="auto"/>
    </w:pPr>
    <w:rPr>
      <w:rFonts w:eastAsiaTheme="minorEastAsia"/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B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PhD\Stata\MRA%20-%20EMPHASIS%20and%20RALES\Pie%20charts%20noncvdeat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PhD\Stata\MRA%20-%20EMPHASIS%20and%20RALES\Pie%20charts%20noncvdeat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Non-Cardiovascular Deaths - pATIENTS WITH COPD</a:t>
            </a:r>
          </a:p>
        </c:rich>
      </c:tx>
      <c:layout>
        <c:manualLayout>
          <c:xMode val="edge"/>
          <c:yMode val="edge"/>
          <c:x val="0.123097112860892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2C4-4571-8C56-35D3159D58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2C4-4571-8C56-35D3159D58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2C4-4571-8C56-35D3159D58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2C4-4571-8C56-35D3159D58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2C4-4571-8C56-35D3159D587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2C4-4571-8C56-35D3159D587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2C4-4571-8C56-35D3159D587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2C4-4571-8C56-35D3159D587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42C4-4571-8C56-35D3159D587D}"/>
                </c:ext>
              </c:extLst>
            </c:dLbl>
            <c:dLbl>
              <c:idx val="3"/>
              <c:layout>
                <c:manualLayout>
                  <c:x val="4.9999999999999989E-2"/>
                  <c:y val="-2.314814814814804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49999999999998"/>
                      <c:h val="0.188032589676290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2C4-4571-8C56-35D3159D587D}"/>
                </c:ext>
              </c:extLst>
            </c:dLbl>
            <c:dLbl>
              <c:idx val="4"/>
              <c:layout>
                <c:manualLayout>
                  <c:x val="2.7777777777777776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2C4-4571-8C56-35D3159D587D}"/>
                </c:ext>
              </c:extLst>
            </c:dLbl>
            <c:dLbl>
              <c:idx val="5"/>
              <c:layout>
                <c:manualLayout>
                  <c:x val="6.6666666666666569E-2"/>
                  <c:y val="-1.38888888888889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2C4-4571-8C56-35D3159D587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Sheet1!$B$2:$B$7</c:f>
              <c:strCache>
                <c:ptCount val="6"/>
                <c:pt idx="0">
                  <c:v>Cancer</c:v>
                </c:pt>
                <c:pt idx="1">
                  <c:v>Respiratory</c:v>
                </c:pt>
                <c:pt idx="2">
                  <c:v>GI/HPB</c:v>
                </c:pt>
                <c:pt idx="3">
                  <c:v>Infection/Sepsis</c:v>
                </c:pt>
                <c:pt idx="4">
                  <c:v>Trauma</c:v>
                </c:pt>
                <c:pt idx="5">
                  <c:v>Other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25.8</c:v>
                </c:pt>
                <c:pt idx="1">
                  <c:v>6.5</c:v>
                </c:pt>
                <c:pt idx="2">
                  <c:v>6.5</c:v>
                </c:pt>
                <c:pt idx="3">
                  <c:v>51.6</c:v>
                </c:pt>
                <c:pt idx="4">
                  <c:v>0</c:v>
                </c:pt>
                <c:pt idx="5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2C4-4571-8C56-35D3159D587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NON-CARDIOVASCULAR</a:t>
            </a:r>
            <a:r>
              <a:rPr lang="en-US" sz="1100" baseline="0"/>
              <a:t> DEATHS - PATIENTS WITHOUT copd</a:t>
            </a:r>
            <a:endParaRPr lang="en-US" sz="1100"/>
          </a:p>
        </c:rich>
      </c:tx>
      <c:layout>
        <c:manualLayout>
          <c:xMode val="edge"/>
          <c:yMode val="edge"/>
          <c:x val="0.10489566929133859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4B9-4D1B-9D8E-0A4107A1FF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4B9-4D1B-9D8E-0A4107A1FF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4B9-4D1B-9D8E-0A4107A1FF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4B9-4D1B-9D8E-0A4107A1FF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4B9-4D1B-9D8E-0A4107A1FF7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4B9-4D1B-9D8E-0A4107A1FF7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4B9-4D1B-9D8E-0A4107A1FF7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4B9-4D1B-9D8E-0A4107A1FF7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84B9-4D1B-9D8E-0A4107A1FF7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84B9-4D1B-9D8E-0A4107A1FF75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84B9-4D1B-9D8E-0A4107A1FF75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84B9-4D1B-9D8E-0A4107A1FF7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Sheet1!$B$11:$B$16</c:f>
              <c:strCache>
                <c:ptCount val="6"/>
                <c:pt idx="0">
                  <c:v>Cancer</c:v>
                </c:pt>
                <c:pt idx="1">
                  <c:v>Respiratory</c:v>
                </c:pt>
                <c:pt idx="2">
                  <c:v>GI/HPB</c:v>
                </c:pt>
                <c:pt idx="3">
                  <c:v>Infection/Sepsis</c:v>
                </c:pt>
                <c:pt idx="4">
                  <c:v>Trauma</c:v>
                </c:pt>
                <c:pt idx="5">
                  <c:v>Other</c:v>
                </c:pt>
              </c:strCache>
            </c:strRef>
          </c:cat>
          <c:val>
            <c:numRef>
              <c:f>Sheet1!$C$11:$C$16</c:f>
              <c:numCache>
                <c:formatCode>General</c:formatCode>
                <c:ptCount val="6"/>
                <c:pt idx="0">
                  <c:v>27.9</c:v>
                </c:pt>
                <c:pt idx="1">
                  <c:v>3.8</c:v>
                </c:pt>
                <c:pt idx="2">
                  <c:v>9.6</c:v>
                </c:pt>
                <c:pt idx="3">
                  <c:v>34.6</c:v>
                </c:pt>
                <c:pt idx="4">
                  <c:v>9.6</c:v>
                </c:pt>
                <c:pt idx="5">
                  <c:v>14.4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4B9-4D1B-9D8E-0A4107A1FF7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2157</Words>
  <Characters>11869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Yeoh</dc:creator>
  <cp:keywords/>
  <dc:description/>
  <cp:lastModifiedBy>Erwan BOZEC</cp:lastModifiedBy>
  <cp:revision>2</cp:revision>
  <dcterms:created xsi:type="dcterms:W3CDTF">2022-07-21T12:14:00Z</dcterms:created>
  <dcterms:modified xsi:type="dcterms:W3CDTF">2022-07-21T12:14:00Z</dcterms:modified>
</cp:coreProperties>
</file>