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3175" w14:textId="40E0E595" w:rsidR="0006522B" w:rsidRDefault="00C0201C" w:rsidP="003709D7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SUPPLEMENTARY</w:t>
      </w:r>
      <w:r w:rsidR="0006522B" w:rsidRPr="00A165C8">
        <w:rPr>
          <w:rFonts w:ascii="Times New Roman" w:hAnsi="Times New Roman" w:cs="Times New Roman"/>
          <w:b/>
          <w:sz w:val="32"/>
          <w:lang w:val="en-US"/>
        </w:rPr>
        <w:t xml:space="preserve"> </w:t>
      </w:r>
      <w:r w:rsidR="009C1E60">
        <w:rPr>
          <w:rFonts w:ascii="Times New Roman" w:hAnsi="Times New Roman" w:cs="Times New Roman"/>
          <w:b/>
          <w:sz w:val="32"/>
          <w:lang w:val="en-US"/>
        </w:rPr>
        <w:t>APPENDIX</w:t>
      </w:r>
    </w:p>
    <w:p w14:paraId="44F38B79" w14:textId="77777777" w:rsidR="00F461A1" w:rsidRDefault="00F461A1" w:rsidP="00F461A1">
      <w:pPr>
        <w:spacing w:line="480" w:lineRule="auto"/>
        <w:rPr>
          <w:rFonts w:ascii="Times New Roman" w:hAnsi="Times New Roman" w:cs="Times New Roman"/>
          <w:bCs/>
          <w:sz w:val="24"/>
          <w:szCs w:val="20"/>
        </w:rPr>
      </w:pPr>
      <w:bookmarkStart w:id="0" w:name="_Hlk42590650"/>
    </w:p>
    <w:p w14:paraId="7637204C" w14:textId="7091F69C" w:rsidR="009C1E60" w:rsidRPr="003C0636" w:rsidRDefault="009C1E60" w:rsidP="00177CF3">
      <w:pPr>
        <w:spacing w:line="480" w:lineRule="auto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Ravera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A,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Santema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BT, Sama IE, et al. </w:t>
      </w:r>
      <w:r w:rsidR="003C0636">
        <w:rPr>
          <w:rFonts w:ascii="Times New Roman" w:hAnsi="Times New Roman" w:cs="Times New Roman"/>
          <w:bCs/>
          <w:sz w:val="24"/>
          <w:szCs w:val="20"/>
        </w:rPr>
        <w:t xml:space="preserve">–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Quality</w:t>
      </w:r>
      <w:proofErr w:type="spellEnd"/>
      <w:r w:rsidR="003C0636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bookmarkStart w:id="1" w:name="_GoBack"/>
      <w:bookmarkEnd w:id="1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of life in men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and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women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with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heart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failure: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association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with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outcome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,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and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comparison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of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the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Kansas City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Cardiomyopathy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gram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Questionnaire 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and</w:t>
      </w:r>
      <w:proofErr w:type="spellEnd"/>
      <w:proofErr w:type="gram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the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EuroQol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5 </w:t>
      </w:r>
      <w:proofErr w:type="spellStart"/>
      <w:r w:rsidR="00177CF3" w:rsidRPr="003C0636">
        <w:rPr>
          <w:rFonts w:ascii="Times New Roman" w:hAnsi="Times New Roman" w:cs="Times New Roman"/>
          <w:b/>
          <w:sz w:val="24"/>
          <w:szCs w:val="20"/>
        </w:rPr>
        <w:t>dimensions</w:t>
      </w:r>
      <w:proofErr w:type="spellEnd"/>
      <w:r w:rsidR="00177CF3" w:rsidRPr="003C0636">
        <w:rPr>
          <w:rFonts w:ascii="Times New Roman" w:hAnsi="Times New Roman" w:cs="Times New Roman"/>
          <w:b/>
          <w:sz w:val="24"/>
          <w:szCs w:val="20"/>
        </w:rPr>
        <w:t xml:space="preserve"> questionnaire</w:t>
      </w:r>
      <w:r w:rsidR="003C0636">
        <w:rPr>
          <w:rFonts w:ascii="Times New Roman" w:hAnsi="Times New Roman" w:cs="Times New Roman"/>
          <w:b/>
          <w:sz w:val="24"/>
          <w:szCs w:val="20"/>
        </w:rPr>
        <w:t>.</w:t>
      </w:r>
    </w:p>
    <w:bookmarkEnd w:id="0"/>
    <w:p w14:paraId="65C5F439" w14:textId="77777777" w:rsidR="009C1E60" w:rsidRPr="00F461A1" w:rsidRDefault="009C1E60" w:rsidP="003709D7">
      <w:pPr>
        <w:jc w:val="center"/>
        <w:rPr>
          <w:rFonts w:ascii="Times New Roman" w:hAnsi="Times New Roman" w:cs="Times New Roman"/>
          <w:b/>
          <w:sz w:val="32"/>
        </w:rPr>
      </w:pPr>
    </w:p>
    <w:p w14:paraId="745CDD52" w14:textId="77777777" w:rsidR="000A2258" w:rsidRDefault="000A2258">
      <w:pPr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br w:type="page"/>
      </w:r>
    </w:p>
    <w:p w14:paraId="1830C8F9" w14:textId="0B4D5864" w:rsidR="00CF4E97" w:rsidRPr="00CF4E97" w:rsidRDefault="00CF4E97" w:rsidP="00B32E2D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CF4E97">
        <w:rPr>
          <w:rFonts w:ascii="Times New Roman" w:hAnsi="Times New Roman" w:cs="Times New Roman"/>
          <w:b/>
          <w:sz w:val="28"/>
          <w:lang w:val="en-US"/>
        </w:rPr>
        <w:lastRenderedPageBreak/>
        <w:t>TABLE OF CONTENTS</w:t>
      </w:r>
    </w:p>
    <w:p w14:paraId="24B12B41" w14:textId="77777777" w:rsidR="00CF4E97" w:rsidRDefault="00CF4E97" w:rsidP="00B32E2D">
      <w:pPr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14:paraId="67D4C0F2" w14:textId="50C7703C" w:rsidR="00907D96" w:rsidRPr="00961CCD" w:rsidRDefault="00CF4E97" w:rsidP="00CF4E97">
      <w:pPr>
        <w:ind w:firstLine="720"/>
        <w:rPr>
          <w:rFonts w:ascii="Times New Roman" w:hAnsi="Times New Roman" w:cs="Times New Roman"/>
          <w:bCs/>
          <w:lang w:val="en-US"/>
        </w:rPr>
      </w:pPr>
      <w:r w:rsidRPr="00CF4E97">
        <w:rPr>
          <w:rFonts w:ascii="Times New Roman" w:hAnsi="Times New Roman" w:cs="Times New Roman"/>
          <w:b/>
          <w:sz w:val="24"/>
          <w:szCs w:val="20"/>
          <w:lang w:val="en-US"/>
        </w:rPr>
        <w:t>1.</w:t>
      </w:r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r w:rsidR="00907D96" w:rsidRPr="00CF4E97">
        <w:rPr>
          <w:rFonts w:ascii="Times New Roman" w:hAnsi="Times New Roman" w:cs="Times New Roman"/>
          <w:b/>
          <w:sz w:val="24"/>
          <w:szCs w:val="20"/>
          <w:lang w:val="en-US"/>
        </w:rPr>
        <w:t>SUPPLEMENTARY METHODS</w:t>
      </w:r>
      <w:r w:rsidR="00961CCD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r w:rsidR="00961CCD" w:rsidRPr="00961CCD">
        <w:rPr>
          <w:rFonts w:ascii="Times New Roman" w:hAnsi="Times New Roman" w:cs="Times New Roman"/>
          <w:bCs/>
          <w:lang w:val="en-US"/>
        </w:rPr>
        <w:t>......................................................</w:t>
      </w:r>
      <w:r w:rsidR="00961CCD">
        <w:rPr>
          <w:rFonts w:ascii="Times New Roman" w:hAnsi="Times New Roman" w:cs="Times New Roman"/>
          <w:bCs/>
          <w:lang w:val="en-US"/>
        </w:rPr>
        <w:t>.........</w:t>
      </w:r>
      <w:r w:rsidR="00961CCD" w:rsidRPr="00961CCD">
        <w:rPr>
          <w:rFonts w:ascii="Times New Roman" w:hAnsi="Times New Roman" w:cs="Times New Roman"/>
          <w:bCs/>
          <w:lang w:val="en-US"/>
        </w:rPr>
        <w:t>......................... p.</w:t>
      </w:r>
      <w:r w:rsidR="004B388D">
        <w:rPr>
          <w:rFonts w:ascii="Times New Roman" w:hAnsi="Times New Roman" w:cs="Times New Roman"/>
          <w:bCs/>
          <w:lang w:val="en-US"/>
        </w:rPr>
        <w:t>4</w:t>
      </w:r>
    </w:p>
    <w:p w14:paraId="4E7B78C3" w14:textId="77777777" w:rsidR="00907D96" w:rsidRDefault="00907D96" w:rsidP="00CF4E97">
      <w:pPr>
        <w:rPr>
          <w:rFonts w:ascii="Times New Roman" w:hAnsi="Times New Roman" w:cs="Times New Roman"/>
          <w:b/>
          <w:sz w:val="24"/>
          <w:szCs w:val="20"/>
          <w:lang w:val="en-US"/>
        </w:rPr>
      </w:pPr>
    </w:p>
    <w:p w14:paraId="7D32E32F" w14:textId="2FF23203" w:rsidR="0006522B" w:rsidRPr="00AA5247" w:rsidRDefault="00907D96" w:rsidP="00CF4E97">
      <w:pPr>
        <w:ind w:firstLine="720"/>
        <w:rPr>
          <w:rFonts w:ascii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0"/>
          <w:lang w:val="en-US"/>
        </w:rPr>
        <w:t>2.</w:t>
      </w:r>
      <w:r w:rsidR="00CF4E97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r w:rsidR="00AA5247" w:rsidRPr="00AA5247">
        <w:rPr>
          <w:rFonts w:ascii="Times New Roman" w:hAnsi="Times New Roman" w:cs="Times New Roman"/>
          <w:b/>
          <w:sz w:val="24"/>
          <w:szCs w:val="20"/>
          <w:lang w:val="en-US"/>
        </w:rPr>
        <w:t>TABLES</w:t>
      </w:r>
    </w:p>
    <w:p w14:paraId="186BCD87" w14:textId="0E2996C6" w:rsidR="00833277" w:rsidRDefault="00833277" w:rsidP="00833277">
      <w:pPr>
        <w:rPr>
          <w:rFonts w:ascii="Times New Roman" w:hAnsi="Times New Roman" w:cs="Times New Roman"/>
          <w:lang w:val="en-US"/>
        </w:rPr>
      </w:pPr>
      <w:r w:rsidRPr="00833277">
        <w:rPr>
          <w:rFonts w:ascii="Times New Roman" w:hAnsi="Times New Roman" w:cs="Times New Roman"/>
          <w:b/>
          <w:lang w:val="en-US"/>
        </w:rPr>
        <w:t xml:space="preserve">Table S1. </w:t>
      </w:r>
      <w:r w:rsidR="004A6ED3" w:rsidRPr="00323B9C">
        <w:rPr>
          <w:rFonts w:ascii="Times New Roman" w:hAnsi="Times New Roman" w:cs="Times New Roman"/>
          <w:bCs/>
          <w:lang w:val="en-US"/>
        </w:rPr>
        <w:t xml:space="preserve">Recommended doses of </w:t>
      </w:r>
      <w:r w:rsidR="004A6ED3" w:rsidRPr="004A6ED3">
        <w:rPr>
          <w:rFonts w:ascii="Times New Roman" w:hAnsi="Times New Roman" w:cs="Times New Roman"/>
          <w:bCs/>
          <w:lang w:val="en-US"/>
        </w:rPr>
        <w:t>angiotensin-converting enzyme inhibitors (</w:t>
      </w:r>
      <w:proofErr w:type="spellStart"/>
      <w:r w:rsidR="004A6ED3" w:rsidRPr="004A6ED3">
        <w:rPr>
          <w:rFonts w:ascii="Times New Roman" w:hAnsi="Times New Roman" w:cs="Times New Roman"/>
          <w:bCs/>
          <w:lang w:val="en-US"/>
        </w:rPr>
        <w:t>ACEi</w:t>
      </w:r>
      <w:proofErr w:type="spellEnd"/>
      <w:r w:rsidR="004A6ED3" w:rsidRPr="004A6ED3">
        <w:rPr>
          <w:rFonts w:ascii="Times New Roman" w:hAnsi="Times New Roman" w:cs="Times New Roman"/>
          <w:bCs/>
          <w:lang w:val="en-US"/>
        </w:rPr>
        <w:t>)</w:t>
      </w:r>
      <w:r w:rsidR="00BF61AF">
        <w:rPr>
          <w:rFonts w:ascii="Times New Roman" w:hAnsi="Times New Roman" w:cs="Times New Roman"/>
          <w:bCs/>
          <w:lang w:val="en-US"/>
        </w:rPr>
        <w:t>,</w:t>
      </w:r>
      <w:r w:rsidR="004A6ED3" w:rsidRPr="004A6ED3">
        <w:rPr>
          <w:rFonts w:ascii="Times New Roman" w:hAnsi="Times New Roman" w:cs="Times New Roman"/>
          <w:bCs/>
          <w:lang w:val="en-US"/>
        </w:rPr>
        <w:t xml:space="preserve"> angiotensin receptor blockers (ARB)</w:t>
      </w:r>
      <w:r w:rsidR="004A6ED3">
        <w:rPr>
          <w:rFonts w:ascii="Times New Roman" w:hAnsi="Times New Roman" w:cs="Times New Roman"/>
          <w:bCs/>
          <w:lang w:val="en-US"/>
        </w:rPr>
        <w:t xml:space="preserve"> </w:t>
      </w:r>
      <w:r w:rsidR="004A6ED3" w:rsidRPr="00323B9C">
        <w:rPr>
          <w:rFonts w:ascii="Times New Roman" w:hAnsi="Times New Roman" w:cs="Times New Roman"/>
          <w:bCs/>
          <w:lang w:val="en-US"/>
        </w:rPr>
        <w:t xml:space="preserve">and beta-blockers in </w:t>
      </w:r>
      <w:r w:rsidR="004A6ED3">
        <w:rPr>
          <w:rFonts w:ascii="Times New Roman" w:hAnsi="Times New Roman" w:cs="Times New Roman"/>
          <w:bCs/>
          <w:lang w:val="en-US"/>
        </w:rPr>
        <w:t>European Society of Cardiology (ESC)</w:t>
      </w:r>
      <w:r w:rsidR="004A6ED3" w:rsidRPr="00323B9C">
        <w:rPr>
          <w:rFonts w:ascii="Times New Roman" w:hAnsi="Times New Roman" w:cs="Times New Roman"/>
          <w:bCs/>
          <w:lang w:val="en-US"/>
        </w:rPr>
        <w:t xml:space="preserve"> guidelines</w:t>
      </w:r>
      <w:r w:rsidR="004A6ED3" w:rsidRPr="008D2E78">
        <w:rPr>
          <w:rFonts w:ascii="Times New Roman" w:hAnsi="Times New Roman" w:cs="Times New Roman"/>
          <w:bCs/>
          <w:vertAlign w:val="superscript"/>
          <w:lang w:val="en-US"/>
        </w:rPr>
        <w:t>†</w:t>
      </w:r>
      <w:r w:rsidR="004A6ED3" w:rsidRPr="00323B9C">
        <w:rPr>
          <w:rFonts w:ascii="Times New Roman" w:hAnsi="Times New Roman" w:cs="Times New Roman"/>
          <w:bCs/>
          <w:lang w:val="en-US"/>
        </w:rPr>
        <w:t xml:space="preserve"> for</w:t>
      </w:r>
      <w:r w:rsidR="004A6ED3">
        <w:rPr>
          <w:rFonts w:ascii="Times New Roman" w:hAnsi="Times New Roman" w:cs="Times New Roman"/>
          <w:bCs/>
          <w:lang w:val="en-US"/>
        </w:rPr>
        <w:t xml:space="preserve"> </w:t>
      </w:r>
      <w:r w:rsidR="004A6ED3" w:rsidRPr="00323B9C">
        <w:rPr>
          <w:rFonts w:ascii="Times New Roman" w:hAnsi="Times New Roman" w:cs="Times New Roman"/>
          <w:bCs/>
          <w:lang w:val="en-US"/>
        </w:rPr>
        <w:t xml:space="preserve">patients with </w:t>
      </w:r>
      <w:r w:rsidR="004A6ED3">
        <w:rPr>
          <w:rFonts w:ascii="Times New Roman" w:hAnsi="Times New Roman" w:cs="Times New Roman"/>
          <w:bCs/>
          <w:lang w:val="en-US"/>
        </w:rPr>
        <w:t>left ventricular ejection fraction (LVEF)</w:t>
      </w:r>
      <w:r w:rsidR="004A6ED3" w:rsidRPr="00323B9C">
        <w:rPr>
          <w:rFonts w:ascii="Times New Roman" w:hAnsi="Times New Roman" w:cs="Times New Roman"/>
          <w:bCs/>
          <w:lang w:val="en-US"/>
        </w:rPr>
        <w:t xml:space="preserve"> &lt;40%</w:t>
      </w:r>
      <w:r w:rsidR="004A6ED3">
        <w:rPr>
          <w:rFonts w:ascii="Times New Roman" w:hAnsi="Times New Roman" w:cs="Times New Roman"/>
          <w:bCs/>
          <w:lang w:val="en-US"/>
        </w:rPr>
        <w:t>.</w:t>
      </w:r>
      <w:r w:rsidR="004A6ED3">
        <w:rPr>
          <w:rFonts w:ascii="Times New Roman" w:hAnsi="Times New Roman" w:cs="Times New Roman"/>
          <w:lang w:val="en-US"/>
        </w:rPr>
        <w:t xml:space="preserve"> 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 p.</w:t>
      </w:r>
      <w:r w:rsidR="004B388D">
        <w:rPr>
          <w:rFonts w:ascii="Times New Roman" w:hAnsi="Times New Roman" w:cs="Times New Roman"/>
          <w:lang w:val="en-US"/>
        </w:rPr>
        <w:t>6</w:t>
      </w:r>
    </w:p>
    <w:p w14:paraId="4547A4EA" w14:textId="2E9B702F" w:rsidR="007F7C23" w:rsidRPr="00CE0421" w:rsidRDefault="00CE0421" w:rsidP="008902BF">
      <w:pPr>
        <w:rPr>
          <w:rFonts w:ascii="Times New Roman" w:hAnsi="Times New Roman" w:cs="Times New Roman"/>
          <w:bCs/>
          <w:lang w:val="en-US"/>
        </w:rPr>
      </w:pPr>
      <w:r w:rsidRPr="00CE0421">
        <w:rPr>
          <w:rFonts w:ascii="Times New Roman" w:hAnsi="Times New Roman" w:cs="Times New Roman"/>
          <w:b/>
          <w:lang w:val="en-US"/>
        </w:rPr>
        <w:t>Table S2.</w:t>
      </w:r>
      <w:r w:rsidRPr="00CE0421">
        <w:rPr>
          <w:rFonts w:ascii="Times New Roman" w:hAnsi="Times New Roman" w:cs="Times New Roman"/>
          <w:bCs/>
          <w:lang w:val="en-US"/>
        </w:rPr>
        <w:t xml:space="preserve"> Baseline characteristics stratified by sex. 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...................................................................................... p.</w:t>
      </w:r>
      <w:r w:rsidR="004B388D">
        <w:rPr>
          <w:rFonts w:ascii="Times New Roman" w:hAnsi="Times New Roman" w:cs="Times New Roman"/>
          <w:lang w:val="en-US"/>
        </w:rPr>
        <w:t>7</w:t>
      </w:r>
    </w:p>
    <w:p w14:paraId="47748A10" w14:textId="71C270D5" w:rsidR="003D3009" w:rsidRDefault="003D3009" w:rsidP="008902BF">
      <w:pPr>
        <w:rPr>
          <w:rFonts w:ascii="Times New Roman" w:hAnsi="Times New Roman" w:cs="Times New Roman"/>
          <w:lang w:val="en-US"/>
        </w:rPr>
      </w:pPr>
      <w:r w:rsidRPr="003D3009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CF7ED1">
        <w:rPr>
          <w:rFonts w:ascii="Times New Roman" w:hAnsi="Times New Roman" w:cs="Times New Roman"/>
          <w:b/>
          <w:bCs/>
          <w:lang w:val="en-US"/>
        </w:rPr>
        <w:t>S</w:t>
      </w:r>
      <w:r w:rsidR="00FB7465">
        <w:rPr>
          <w:rFonts w:ascii="Times New Roman" w:hAnsi="Times New Roman" w:cs="Times New Roman"/>
          <w:b/>
          <w:bCs/>
          <w:lang w:val="en-US"/>
        </w:rPr>
        <w:t>3</w:t>
      </w:r>
      <w:r w:rsidRPr="003D3009">
        <w:rPr>
          <w:rFonts w:ascii="Times New Roman" w:hAnsi="Times New Roman" w:cs="Times New Roman"/>
          <w:b/>
          <w:bCs/>
          <w:lang w:val="en-US"/>
        </w:rPr>
        <w:t>.</w:t>
      </w:r>
      <w:r w:rsidRPr="003D3009">
        <w:rPr>
          <w:rFonts w:ascii="Times New Roman" w:hAnsi="Times New Roman" w:cs="Times New Roman"/>
          <w:lang w:val="en-US"/>
        </w:rPr>
        <w:t xml:space="preserve"> </w:t>
      </w:r>
      <w:r w:rsidR="004A6ED3" w:rsidRPr="003D3009">
        <w:rPr>
          <w:rFonts w:ascii="Times New Roman" w:hAnsi="Times New Roman" w:cs="Times New Roman"/>
          <w:lang w:val="en-US"/>
        </w:rPr>
        <w:t xml:space="preserve">Variation in </w:t>
      </w:r>
      <w:r w:rsidR="004A6ED3">
        <w:rPr>
          <w:rFonts w:ascii="Times New Roman" w:hAnsi="Times New Roman" w:cs="Times New Roman"/>
          <w:lang w:val="en-US"/>
        </w:rPr>
        <w:t>quality of life</w:t>
      </w:r>
      <w:r w:rsidR="004A6ED3" w:rsidRPr="003D3009">
        <w:rPr>
          <w:rFonts w:ascii="Times New Roman" w:hAnsi="Times New Roman" w:cs="Times New Roman"/>
          <w:lang w:val="en-US"/>
        </w:rPr>
        <w:t xml:space="preserve"> summary scores between baseline and </w:t>
      </w:r>
      <w:r w:rsidR="004A6ED3">
        <w:rPr>
          <w:rFonts w:ascii="Times New Roman" w:hAnsi="Times New Roman" w:cs="Times New Roman"/>
          <w:lang w:val="en-US"/>
        </w:rPr>
        <w:t>nine</w:t>
      </w:r>
      <w:r w:rsidR="004A6ED3" w:rsidRPr="003D3009">
        <w:rPr>
          <w:rFonts w:ascii="Times New Roman" w:hAnsi="Times New Roman" w:cs="Times New Roman"/>
          <w:lang w:val="en-US"/>
        </w:rPr>
        <w:t xml:space="preserve"> months in the </w:t>
      </w:r>
      <w:r w:rsidR="004A6ED3">
        <w:rPr>
          <w:rFonts w:ascii="Times New Roman" w:hAnsi="Times New Roman" w:cs="Times New Roman"/>
          <w:lang w:val="en-US"/>
        </w:rPr>
        <w:t>total</w:t>
      </w:r>
      <w:r w:rsidR="004A6ED3" w:rsidRPr="003D3009">
        <w:rPr>
          <w:rFonts w:ascii="Times New Roman" w:hAnsi="Times New Roman" w:cs="Times New Roman"/>
          <w:lang w:val="en-US"/>
        </w:rPr>
        <w:t xml:space="preserve"> </w:t>
      </w:r>
      <w:r w:rsidR="007F7C23">
        <w:rPr>
          <w:rFonts w:ascii="Times New Roman" w:hAnsi="Times New Roman" w:cs="Times New Roman"/>
          <w:lang w:val="en-US"/>
        </w:rPr>
        <w:t>p</w:t>
      </w:r>
      <w:r w:rsidR="004A6ED3" w:rsidRPr="003D3009">
        <w:rPr>
          <w:rFonts w:ascii="Times New Roman" w:hAnsi="Times New Roman" w:cs="Times New Roman"/>
          <w:lang w:val="en-US"/>
        </w:rPr>
        <w:t>opulation (a), and in men (b) and women (c) separately, who received 0, 1–49%, 50–99%, or 100% or more of guideline-recommended β blocker dose</w:t>
      </w:r>
      <w:r w:rsidRPr="003D3009">
        <w:rPr>
          <w:rFonts w:ascii="Times New Roman" w:hAnsi="Times New Roman" w:cs="Times New Roman"/>
          <w:lang w:val="en-US"/>
        </w:rPr>
        <w:t>.</w:t>
      </w:r>
      <w:r w:rsidR="00AA5247">
        <w:rPr>
          <w:rFonts w:ascii="Times New Roman" w:hAnsi="Times New Roman" w:cs="Times New Roman"/>
          <w:lang w:val="en-US"/>
        </w:rPr>
        <w:t xml:space="preserve"> </w:t>
      </w:r>
      <w:r w:rsidR="009B7AC0">
        <w:rPr>
          <w:rFonts w:ascii="Times New Roman" w:hAnsi="Times New Roman" w:cs="Times New Roman"/>
          <w:lang w:val="en-US"/>
        </w:rPr>
        <w:t>..............</w:t>
      </w:r>
      <w:r w:rsidR="00AA5247">
        <w:rPr>
          <w:rFonts w:ascii="Times New Roman" w:hAnsi="Times New Roman" w:cs="Times New Roman"/>
          <w:lang w:val="en-US"/>
        </w:rPr>
        <w:t>.................................................................</w:t>
      </w:r>
      <w:r w:rsidR="00CF7ED1">
        <w:rPr>
          <w:rFonts w:ascii="Times New Roman" w:hAnsi="Times New Roman" w:cs="Times New Roman"/>
          <w:lang w:val="en-US"/>
        </w:rPr>
        <w:t>........</w:t>
      </w:r>
      <w:r w:rsidR="00AA5247">
        <w:rPr>
          <w:rFonts w:ascii="Times New Roman" w:hAnsi="Times New Roman" w:cs="Times New Roman"/>
          <w:lang w:val="en-US"/>
        </w:rPr>
        <w:t>.........</w:t>
      </w:r>
      <w:r w:rsidR="00FB7465">
        <w:rPr>
          <w:rFonts w:ascii="Times New Roman" w:hAnsi="Times New Roman" w:cs="Times New Roman"/>
          <w:lang w:val="en-US"/>
        </w:rPr>
        <w:t>.</w:t>
      </w:r>
      <w:r w:rsidR="00AA5247">
        <w:rPr>
          <w:rFonts w:ascii="Times New Roman" w:hAnsi="Times New Roman" w:cs="Times New Roman"/>
          <w:lang w:val="en-US"/>
        </w:rPr>
        <w:t>. p.</w:t>
      </w:r>
      <w:r w:rsidR="004B388D">
        <w:rPr>
          <w:rFonts w:ascii="Times New Roman" w:hAnsi="Times New Roman" w:cs="Times New Roman"/>
          <w:lang w:val="en-US"/>
        </w:rPr>
        <w:t>8</w:t>
      </w:r>
    </w:p>
    <w:p w14:paraId="1DE667D1" w14:textId="5EC4A444" w:rsidR="003D3009" w:rsidRDefault="003D3009" w:rsidP="003D300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</w:t>
      </w:r>
      <w:r w:rsidRPr="003D3009">
        <w:rPr>
          <w:rFonts w:ascii="Times New Roman" w:hAnsi="Times New Roman" w:cs="Times New Roman"/>
          <w:b/>
          <w:lang w:val="en-US"/>
        </w:rPr>
        <w:t xml:space="preserve"> </w:t>
      </w:r>
      <w:r w:rsidR="00CF7ED1">
        <w:rPr>
          <w:rFonts w:ascii="Times New Roman" w:hAnsi="Times New Roman" w:cs="Times New Roman"/>
          <w:b/>
          <w:lang w:val="en-US"/>
        </w:rPr>
        <w:t>S</w:t>
      </w:r>
      <w:r w:rsidR="00FB7465">
        <w:rPr>
          <w:rFonts w:ascii="Times New Roman" w:hAnsi="Times New Roman" w:cs="Times New Roman"/>
          <w:b/>
          <w:lang w:val="en-US"/>
        </w:rPr>
        <w:t>4</w:t>
      </w:r>
      <w:r w:rsidRPr="003D3009">
        <w:rPr>
          <w:rFonts w:ascii="Times New Roman" w:hAnsi="Times New Roman" w:cs="Times New Roman"/>
          <w:b/>
          <w:lang w:val="en-US"/>
        </w:rPr>
        <w:t>.</w:t>
      </w:r>
      <w:r w:rsidRPr="003D3009">
        <w:rPr>
          <w:rFonts w:ascii="Times New Roman" w:hAnsi="Times New Roman" w:cs="Times New Roman"/>
          <w:lang w:val="en-US"/>
        </w:rPr>
        <w:t xml:space="preserve"> Variation in </w:t>
      </w:r>
      <w:r w:rsidR="004A6ED3">
        <w:rPr>
          <w:rFonts w:ascii="Times New Roman" w:hAnsi="Times New Roman" w:cs="Times New Roman"/>
          <w:lang w:val="en-US"/>
        </w:rPr>
        <w:t>quality of life</w:t>
      </w:r>
      <w:r w:rsidRPr="003D3009">
        <w:rPr>
          <w:rFonts w:ascii="Times New Roman" w:hAnsi="Times New Roman" w:cs="Times New Roman"/>
          <w:lang w:val="en-US"/>
        </w:rPr>
        <w:t xml:space="preserve"> summary scores between baseline and </w:t>
      </w:r>
      <w:r w:rsidR="00AA5247">
        <w:rPr>
          <w:rFonts w:ascii="Times New Roman" w:hAnsi="Times New Roman" w:cs="Times New Roman"/>
          <w:lang w:val="en-US"/>
        </w:rPr>
        <w:t>nine</w:t>
      </w:r>
      <w:r w:rsidRPr="003D3009">
        <w:rPr>
          <w:rFonts w:ascii="Times New Roman" w:hAnsi="Times New Roman" w:cs="Times New Roman"/>
          <w:lang w:val="en-US"/>
        </w:rPr>
        <w:t xml:space="preserve"> months in the </w:t>
      </w:r>
      <w:r w:rsidR="009B7AC0">
        <w:rPr>
          <w:rFonts w:ascii="Times New Roman" w:hAnsi="Times New Roman" w:cs="Times New Roman"/>
          <w:lang w:val="en-US"/>
        </w:rPr>
        <w:t>total</w:t>
      </w:r>
      <w:r w:rsidRPr="003D3009">
        <w:rPr>
          <w:rFonts w:ascii="Times New Roman" w:hAnsi="Times New Roman" w:cs="Times New Roman"/>
          <w:lang w:val="en-US"/>
        </w:rPr>
        <w:t xml:space="preserve"> population (a), and in men (b) and women (c) separately, who received 0, 1–49%, 50–99%, or 100% or more of guideline-recommended </w:t>
      </w:r>
      <w:r w:rsidR="00961CCD" w:rsidRPr="004A6ED3">
        <w:rPr>
          <w:rFonts w:ascii="Times New Roman" w:hAnsi="Times New Roman" w:cs="Times New Roman"/>
          <w:bCs/>
          <w:lang w:val="en-US"/>
        </w:rPr>
        <w:t>angiotensin-converting enzyme inhibitors (</w:t>
      </w:r>
      <w:proofErr w:type="spellStart"/>
      <w:r w:rsidR="00961CCD" w:rsidRPr="004A6ED3">
        <w:rPr>
          <w:rFonts w:ascii="Times New Roman" w:hAnsi="Times New Roman" w:cs="Times New Roman"/>
          <w:bCs/>
          <w:lang w:val="en-US"/>
        </w:rPr>
        <w:t>ACEi</w:t>
      </w:r>
      <w:proofErr w:type="spellEnd"/>
      <w:r w:rsidR="00961CCD" w:rsidRPr="004A6ED3">
        <w:rPr>
          <w:rFonts w:ascii="Times New Roman" w:hAnsi="Times New Roman" w:cs="Times New Roman"/>
          <w:bCs/>
          <w:lang w:val="en-US"/>
        </w:rPr>
        <w:t>) or angiotensin receptor blockers (ARB)</w:t>
      </w:r>
      <w:r w:rsidR="00961CCD">
        <w:rPr>
          <w:rFonts w:ascii="Times New Roman" w:hAnsi="Times New Roman" w:cs="Times New Roman"/>
          <w:bCs/>
          <w:lang w:val="en-US"/>
        </w:rPr>
        <w:t xml:space="preserve"> </w:t>
      </w:r>
      <w:r w:rsidRPr="003D3009">
        <w:rPr>
          <w:rFonts w:ascii="Times New Roman" w:hAnsi="Times New Roman" w:cs="Times New Roman"/>
          <w:lang w:val="en-US"/>
        </w:rPr>
        <w:t>dose.</w:t>
      </w:r>
      <w:r w:rsidR="00AA5247">
        <w:rPr>
          <w:rFonts w:ascii="Times New Roman" w:hAnsi="Times New Roman" w:cs="Times New Roman"/>
          <w:lang w:val="en-US"/>
        </w:rPr>
        <w:t xml:space="preserve"> .</w:t>
      </w:r>
      <w:r w:rsidR="00961CCD">
        <w:rPr>
          <w:rFonts w:ascii="Times New Roman" w:hAnsi="Times New Roman" w:cs="Times New Roman"/>
          <w:lang w:val="en-US"/>
        </w:rPr>
        <w:t>.....................................</w:t>
      </w:r>
      <w:r w:rsidR="00AA5247">
        <w:rPr>
          <w:rFonts w:ascii="Times New Roman" w:hAnsi="Times New Roman" w:cs="Times New Roman"/>
          <w:lang w:val="en-US"/>
        </w:rPr>
        <w:t>...........</w:t>
      </w:r>
      <w:r w:rsidR="009B7AC0">
        <w:rPr>
          <w:rFonts w:ascii="Times New Roman" w:hAnsi="Times New Roman" w:cs="Times New Roman"/>
          <w:lang w:val="en-US"/>
        </w:rPr>
        <w:t>...............</w:t>
      </w:r>
      <w:r w:rsidR="00AA5247">
        <w:rPr>
          <w:rFonts w:ascii="Times New Roman" w:hAnsi="Times New Roman" w:cs="Times New Roman"/>
          <w:lang w:val="en-US"/>
        </w:rPr>
        <w:t>.......................................................</w:t>
      </w:r>
      <w:r w:rsidR="00CF7ED1">
        <w:rPr>
          <w:rFonts w:ascii="Times New Roman" w:hAnsi="Times New Roman" w:cs="Times New Roman"/>
          <w:lang w:val="en-US"/>
        </w:rPr>
        <w:t>............</w:t>
      </w:r>
      <w:r w:rsidR="006F6E09">
        <w:rPr>
          <w:rFonts w:ascii="Times New Roman" w:hAnsi="Times New Roman" w:cs="Times New Roman"/>
          <w:lang w:val="en-US"/>
        </w:rPr>
        <w:t xml:space="preserve"> </w:t>
      </w:r>
      <w:r w:rsidR="00AA5247">
        <w:rPr>
          <w:rFonts w:ascii="Times New Roman" w:hAnsi="Times New Roman" w:cs="Times New Roman"/>
          <w:lang w:val="en-US"/>
        </w:rPr>
        <w:t>p.</w:t>
      </w:r>
      <w:r w:rsidR="004B388D">
        <w:rPr>
          <w:rFonts w:ascii="Times New Roman" w:hAnsi="Times New Roman" w:cs="Times New Roman"/>
          <w:lang w:val="en-US"/>
        </w:rPr>
        <w:t>10</w:t>
      </w:r>
    </w:p>
    <w:p w14:paraId="79C815C3" w14:textId="750FA26E" w:rsidR="004B388D" w:rsidRDefault="004B388D" w:rsidP="004B388D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</w:t>
      </w:r>
      <w:r w:rsidRPr="003D300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S5</w:t>
      </w:r>
      <w:r w:rsidRPr="00FB35A4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Cs/>
          <w:lang w:val="en-US"/>
        </w:rPr>
        <w:t>Variation of parameters of functional capacity between baseline and 9 months in the total study population and in men and women separately, median (interquartile range).</w:t>
      </w:r>
      <w:r w:rsidRPr="004B388D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............................................. p.12</w:t>
      </w:r>
    </w:p>
    <w:p w14:paraId="6753B305" w14:textId="3650E0C3" w:rsidR="009F501C" w:rsidRPr="00E80E79" w:rsidRDefault="009F501C" w:rsidP="003D3009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</w:t>
      </w:r>
      <w:r w:rsidRPr="003D300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</w:t>
      </w:r>
      <w:r w:rsidR="004B388D">
        <w:rPr>
          <w:rFonts w:ascii="Times New Roman" w:hAnsi="Times New Roman" w:cs="Times New Roman"/>
          <w:b/>
          <w:lang w:val="en-US"/>
        </w:rPr>
        <w:t>6</w:t>
      </w:r>
      <w:r w:rsidRPr="00FB35A4">
        <w:rPr>
          <w:rFonts w:ascii="Times New Roman" w:hAnsi="Times New Roman" w:cs="Times New Roman"/>
          <w:b/>
          <w:lang w:val="en-US"/>
        </w:rPr>
        <w:t xml:space="preserve">. </w:t>
      </w:r>
      <w:r w:rsidRPr="00FB35A4">
        <w:rPr>
          <w:rFonts w:ascii="Times New Roman" w:hAnsi="Times New Roman" w:cs="Times New Roman"/>
          <w:bCs/>
          <w:lang w:val="en-US"/>
        </w:rPr>
        <w:t>Unadjusted and adjusted association of 6MWT distance at baseline with outcome</w:t>
      </w:r>
      <w:r>
        <w:rPr>
          <w:rFonts w:ascii="Times New Roman" w:hAnsi="Times New Roman" w:cs="Times New Roman"/>
          <w:bCs/>
          <w:lang w:val="en-US"/>
        </w:rPr>
        <w:t>................... p.</w:t>
      </w:r>
      <w:r w:rsidR="004B388D">
        <w:rPr>
          <w:rFonts w:ascii="Times New Roman" w:hAnsi="Times New Roman" w:cs="Times New Roman"/>
          <w:bCs/>
          <w:lang w:val="en-US"/>
        </w:rPr>
        <w:t>13</w:t>
      </w:r>
    </w:p>
    <w:p w14:paraId="7AA7250E" w14:textId="2B7601FB" w:rsidR="007750AD" w:rsidRPr="003D3009" w:rsidRDefault="00DD5182" w:rsidP="0075438D">
      <w:pPr>
        <w:rPr>
          <w:rFonts w:ascii="Times New Roman" w:hAnsi="Times New Roman" w:cs="Times New Roman"/>
          <w:lang w:val="en-US"/>
        </w:rPr>
      </w:pPr>
      <w:r w:rsidRPr="00DD5182">
        <w:rPr>
          <w:rFonts w:ascii="Times New Roman" w:hAnsi="Times New Roman" w:cs="Times New Roman"/>
          <w:b/>
          <w:bCs/>
          <w:lang w:val="en-US"/>
        </w:rPr>
        <w:t>Table S</w:t>
      </w:r>
      <w:r w:rsidR="00E80E79">
        <w:rPr>
          <w:rFonts w:ascii="Times New Roman" w:hAnsi="Times New Roman" w:cs="Times New Roman"/>
          <w:b/>
          <w:bCs/>
          <w:lang w:val="en-US"/>
        </w:rPr>
        <w:t>7</w:t>
      </w:r>
      <w:r w:rsidRPr="00DD5182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961CCD" w:rsidRPr="0075438D">
        <w:rPr>
          <w:rFonts w:ascii="Times New Roman" w:hAnsi="Times New Roman" w:cs="Times New Roman"/>
          <w:lang w:val="en-US"/>
        </w:rPr>
        <w:t>Comparison between time-dependent</w:t>
      </w:r>
      <w:r w:rsidR="00961CCD">
        <w:rPr>
          <w:rFonts w:ascii="Times New Roman" w:hAnsi="Times New Roman" w:cs="Times New Roman"/>
          <w:lang w:val="en-US"/>
        </w:rPr>
        <w:t xml:space="preserve"> receiver operating characteristic (ROC) curves’ area under the curve</w:t>
      </w:r>
      <w:r w:rsidR="00961CCD" w:rsidRPr="0075438D">
        <w:rPr>
          <w:rFonts w:ascii="Times New Roman" w:hAnsi="Times New Roman" w:cs="Times New Roman"/>
          <w:lang w:val="en-US"/>
        </w:rPr>
        <w:t xml:space="preserve"> </w:t>
      </w:r>
      <w:r w:rsidR="00961CCD">
        <w:rPr>
          <w:rFonts w:ascii="Times New Roman" w:hAnsi="Times New Roman" w:cs="Times New Roman"/>
          <w:lang w:val="en-US"/>
        </w:rPr>
        <w:t>(</w:t>
      </w:r>
      <w:r w:rsidR="00961CCD" w:rsidRPr="0075438D">
        <w:rPr>
          <w:rFonts w:ascii="Times New Roman" w:hAnsi="Times New Roman" w:cs="Times New Roman"/>
          <w:lang w:val="en-US"/>
        </w:rPr>
        <w:t>AUC</w:t>
      </w:r>
      <w:r w:rsidR="00961CCD">
        <w:rPr>
          <w:rFonts w:ascii="Times New Roman" w:hAnsi="Times New Roman" w:cs="Times New Roman"/>
          <w:lang w:val="en-US"/>
        </w:rPr>
        <w:t>)</w:t>
      </w:r>
      <w:r w:rsidR="00961CCD" w:rsidRPr="0075438D">
        <w:rPr>
          <w:rFonts w:ascii="Times New Roman" w:hAnsi="Times New Roman" w:cs="Times New Roman"/>
          <w:lang w:val="en-US"/>
        </w:rPr>
        <w:t xml:space="preserve"> for different </w:t>
      </w:r>
      <w:r w:rsidR="00961CCD">
        <w:rPr>
          <w:rFonts w:ascii="Times New Roman" w:hAnsi="Times New Roman" w:cs="Times New Roman"/>
          <w:lang w:val="en-US"/>
        </w:rPr>
        <w:t>quality of life</w:t>
      </w:r>
      <w:r w:rsidR="00961CCD" w:rsidRPr="0075438D">
        <w:rPr>
          <w:rFonts w:ascii="Times New Roman" w:hAnsi="Times New Roman" w:cs="Times New Roman"/>
          <w:lang w:val="en-US"/>
        </w:rPr>
        <w:t xml:space="preserve"> measures-based models (unadjusted)  for predicting mortality (a), </w:t>
      </w:r>
      <w:r w:rsidR="00961CCD">
        <w:rPr>
          <w:rFonts w:ascii="Times New Roman" w:hAnsi="Times New Roman" w:cs="Times New Roman"/>
          <w:lang w:val="en-US"/>
        </w:rPr>
        <w:t>heart failure</w:t>
      </w:r>
      <w:r w:rsidR="00961CCD" w:rsidRPr="0075438D">
        <w:rPr>
          <w:rFonts w:ascii="Times New Roman" w:hAnsi="Times New Roman" w:cs="Times New Roman"/>
          <w:lang w:val="en-US"/>
        </w:rPr>
        <w:t xml:space="preserve"> hospitalization (b), and the composite mortality and/or </w:t>
      </w:r>
      <w:r w:rsidR="00961CCD">
        <w:rPr>
          <w:rFonts w:ascii="Times New Roman" w:hAnsi="Times New Roman" w:cs="Times New Roman"/>
          <w:lang w:val="en-US"/>
        </w:rPr>
        <w:t>heart failure</w:t>
      </w:r>
      <w:r w:rsidR="00961CCD" w:rsidRPr="0075438D">
        <w:rPr>
          <w:rFonts w:ascii="Times New Roman" w:hAnsi="Times New Roman" w:cs="Times New Roman"/>
          <w:lang w:val="en-US"/>
        </w:rPr>
        <w:t xml:space="preserve"> hospitalization</w:t>
      </w:r>
      <w:r w:rsidR="0075438D" w:rsidRPr="0075438D">
        <w:rPr>
          <w:rFonts w:ascii="Times New Roman" w:hAnsi="Times New Roman" w:cs="Times New Roman"/>
          <w:lang w:val="en-US"/>
        </w:rPr>
        <w:t>.</w:t>
      </w:r>
      <w:r w:rsidR="00961CC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A5247">
        <w:rPr>
          <w:rFonts w:ascii="Times New Roman" w:hAnsi="Times New Roman" w:cs="Times New Roman"/>
          <w:lang w:val="en-US"/>
        </w:rPr>
        <w:t>......</w:t>
      </w:r>
      <w:proofErr w:type="gramEnd"/>
      <w:r w:rsidR="00AA5247">
        <w:rPr>
          <w:rFonts w:ascii="Times New Roman" w:hAnsi="Times New Roman" w:cs="Times New Roman"/>
          <w:lang w:val="en-US"/>
        </w:rPr>
        <w:t xml:space="preserve"> p.</w:t>
      </w:r>
      <w:r w:rsidR="00E80E79">
        <w:rPr>
          <w:rFonts w:ascii="Times New Roman" w:hAnsi="Times New Roman" w:cs="Times New Roman"/>
          <w:lang w:val="en-US"/>
        </w:rPr>
        <w:t>14</w:t>
      </w:r>
    </w:p>
    <w:p w14:paraId="2B62754B" w14:textId="3B59D41D" w:rsidR="00A165C8" w:rsidRDefault="00A165C8" w:rsidP="00A165C8">
      <w:pPr>
        <w:rPr>
          <w:rFonts w:ascii="Times New Roman" w:eastAsia="Times New Roman" w:hAnsi="Times New Roman" w:cs="Times New Roman"/>
          <w:lang w:val="en-GB" w:eastAsia="nl-NL"/>
        </w:rPr>
      </w:pPr>
      <w:r>
        <w:rPr>
          <w:rFonts w:ascii="Times New Roman" w:eastAsia="Times New Roman" w:hAnsi="Times New Roman" w:cs="Times New Roman"/>
          <w:b/>
          <w:lang w:val="en-GB" w:eastAsia="nl-NL"/>
        </w:rPr>
        <w:t xml:space="preserve">Table </w:t>
      </w:r>
      <w:r w:rsidR="00CF7ED1">
        <w:rPr>
          <w:rFonts w:ascii="Times New Roman" w:eastAsia="Times New Roman" w:hAnsi="Times New Roman" w:cs="Times New Roman"/>
          <w:b/>
          <w:lang w:val="en-GB" w:eastAsia="nl-NL"/>
        </w:rPr>
        <w:t>S</w:t>
      </w:r>
      <w:r w:rsidR="00E80E79">
        <w:rPr>
          <w:rFonts w:ascii="Times New Roman" w:eastAsia="Times New Roman" w:hAnsi="Times New Roman" w:cs="Times New Roman"/>
          <w:b/>
          <w:lang w:val="en-GB" w:eastAsia="nl-NL"/>
        </w:rPr>
        <w:t>8</w:t>
      </w:r>
      <w:r>
        <w:rPr>
          <w:rFonts w:ascii="Times New Roman" w:eastAsia="Times New Roman" w:hAnsi="Times New Roman" w:cs="Times New Roman"/>
          <w:b/>
          <w:lang w:val="en-GB" w:eastAsia="nl-NL"/>
        </w:rPr>
        <w:t xml:space="preserve">. </w:t>
      </w:r>
      <w:r w:rsidR="00E56058" w:rsidRPr="0079093C">
        <w:rPr>
          <w:rFonts w:ascii="Times New Roman" w:eastAsia="Times New Roman" w:hAnsi="Times New Roman" w:cs="Times New Roman"/>
          <w:lang w:val="en-GB" w:eastAsia="nl-NL"/>
        </w:rPr>
        <w:t xml:space="preserve">Reclassification among </w:t>
      </w:r>
      <w:r w:rsidR="00E56058">
        <w:rPr>
          <w:rFonts w:ascii="Times New Roman" w:eastAsia="Times New Roman" w:hAnsi="Times New Roman" w:cs="Times New Roman"/>
          <w:lang w:val="en-GB" w:eastAsia="nl-NL"/>
        </w:rPr>
        <w:t>people who experienced or did not experience each studied outcome at one year, comparing different quality of life measures (</w:t>
      </w:r>
      <w:r w:rsidR="00E56058" w:rsidRPr="00FB35A4">
        <w:rPr>
          <w:rFonts w:ascii="Times New Roman" w:eastAsia="Times New Roman" w:hAnsi="Times New Roman" w:cs="Times New Roman"/>
          <w:b/>
          <w:bCs/>
          <w:lang w:val="en-GB" w:eastAsia="nl-NL"/>
        </w:rPr>
        <w:t>A-C-E</w:t>
      </w:r>
      <w:r w:rsidR="00E56058">
        <w:rPr>
          <w:rFonts w:ascii="Times New Roman" w:eastAsia="Times New Roman" w:hAnsi="Times New Roman" w:cs="Times New Roman"/>
          <w:lang w:val="en-GB" w:eastAsia="nl-NL"/>
        </w:rPr>
        <w:t>) or the use of quality of life measures on top of the BIOSTAT risk model for each explored outcome (</w:t>
      </w:r>
      <w:r w:rsidR="00E56058" w:rsidRPr="00FB35A4">
        <w:rPr>
          <w:rFonts w:ascii="Times New Roman" w:eastAsia="Times New Roman" w:hAnsi="Times New Roman" w:cs="Times New Roman"/>
          <w:b/>
          <w:bCs/>
          <w:lang w:val="en-GB" w:eastAsia="nl-NL"/>
        </w:rPr>
        <w:t>B-D-F</w:t>
      </w:r>
      <w:r w:rsidR="00E56058">
        <w:rPr>
          <w:rFonts w:ascii="Times New Roman" w:eastAsia="Times New Roman" w:hAnsi="Times New Roman" w:cs="Times New Roman"/>
          <w:lang w:val="en-GB" w:eastAsia="nl-NL"/>
        </w:rPr>
        <w:t>).</w:t>
      </w:r>
      <w:r w:rsidR="00E56058" w:rsidRPr="0079093C">
        <w:rPr>
          <w:rFonts w:ascii="Times New Roman" w:eastAsia="Times New Roman" w:hAnsi="Times New Roman" w:cs="Times New Roman"/>
          <w:lang w:val="en-GB" w:eastAsia="nl-NL"/>
        </w:rPr>
        <w:t xml:space="preserve"> </w:t>
      </w:r>
      <w:r w:rsidR="00E56058" w:rsidRPr="00A165C8">
        <w:rPr>
          <w:rFonts w:ascii="Times New Roman" w:eastAsia="Times New Roman" w:hAnsi="Times New Roman" w:cs="Times New Roman"/>
          <w:b/>
          <w:lang w:val="en-GB" w:eastAsia="nl-NL"/>
        </w:rPr>
        <w:t>(</w:t>
      </w:r>
      <w:r w:rsidR="00E56058">
        <w:rPr>
          <w:rFonts w:ascii="Times New Roman" w:eastAsia="Times New Roman" w:hAnsi="Times New Roman" w:cs="Times New Roman"/>
          <w:b/>
          <w:lang w:val="en-GB" w:eastAsia="nl-NL"/>
        </w:rPr>
        <w:t>A-B</w:t>
      </w:r>
      <w:r w:rsidR="00E56058" w:rsidRPr="00A165C8">
        <w:rPr>
          <w:rFonts w:ascii="Times New Roman" w:eastAsia="Times New Roman" w:hAnsi="Times New Roman" w:cs="Times New Roman"/>
          <w:b/>
          <w:lang w:val="en-GB" w:eastAsia="nl-NL"/>
        </w:rPr>
        <w:t>)</w:t>
      </w:r>
      <w:r w:rsidR="00E56058">
        <w:rPr>
          <w:rFonts w:ascii="Times New Roman" w:eastAsia="Times New Roman" w:hAnsi="Times New Roman" w:cs="Times New Roman"/>
          <w:lang w:val="en-GB" w:eastAsia="nl-NL"/>
        </w:rPr>
        <w:t xml:space="preserve"> all-cause death; </w:t>
      </w:r>
      <w:r w:rsidR="00E56058" w:rsidRPr="00A165C8">
        <w:rPr>
          <w:rFonts w:ascii="Times New Roman" w:eastAsia="Times New Roman" w:hAnsi="Times New Roman" w:cs="Times New Roman"/>
          <w:b/>
          <w:lang w:val="en-GB" w:eastAsia="nl-NL"/>
        </w:rPr>
        <w:t>(</w:t>
      </w:r>
      <w:r w:rsidR="00E56058">
        <w:rPr>
          <w:rFonts w:ascii="Times New Roman" w:eastAsia="Times New Roman" w:hAnsi="Times New Roman" w:cs="Times New Roman"/>
          <w:b/>
          <w:lang w:val="en-GB" w:eastAsia="nl-NL"/>
        </w:rPr>
        <w:t>C-D</w:t>
      </w:r>
      <w:r w:rsidR="00E56058" w:rsidRPr="00A165C8">
        <w:rPr>
          <w:rFonts w:ascii="Times New Roman" w:eastAsia="Times New Roman" w:hAnsi="Times New Roman" w:cs="Times New Roman"/>
          <w:b/>
          <w:lang w:val="en-GB" w:eastAsia="nl-NL"/>
        </w:rPr>
        <w:t>)</w:t>
      </w:r>
      <w:r w:rsidR="00E56058">
        <w:rPr>
          <w:rFonts w:ascii="Times New Roman" w:eastAsia="Times New Roman" w:hAnsi="Times New Roman" w:cs="Times New Roman"/>
          <w:lang w:val="en-GB" w:eastAsia="nl-NL"/>
        </w:rPr>
        <w:t xml:space="preserve"> heart failure hospitalization</w:t>
      </w:r>
      <w:proofErr w:type="gramStart"/>
      <w:r w:rsidR="00E56058">
        <w:rPr>
          <w:rFonts w:ascii="Times New Roman" w:eastAsia="Times New Roman" w:hAnsi="Times New Roman" w:cs="Times New Roman"/>
          <w:lang w:val="en-GB" w:eastAsia="nl-NL"/>
        </w:rPr>
        <w:t>;</w:t>
      </w:r>
      <w:proofErr w:type="gramEnd"/>
      <w:r w:rsidR="00E56058">
        <w:rPr>
          <w:rFonts w:ascii="Times New Roman" w:eastAsia="Times New Roman" w:hAnsi="Times New Roman" w:cs="Times New Roman"/>
          <w:lang w:val="en-GB" w:eastAsia="nl-NL"/>
        </w:rPr>
        <w:t xml:space="preserve"> </w:t>
      </w:r>
      <w:r w:rsidR="00E56058" w:rsidRPr="00A165C8">
        <w:rPr>
          <w:rFonts w:ascii="Times New Roman" w:eastAsia="Times New Roman" w:hAnsi="Times New Roman" w:cs="Times New Roman"/>
          <w:b/>
          <w:lang w:val="en-GB" w:eastAsia="nl-NL"/>
        </w:rPr>
        <w:t>(</w:t>
      </w:r>
      <w:r w:rsidR="00E56058">
        <w:rPr>
          <w:rFonts w:ascii="Times New Roman" w:eastAsia="Times New Roman" w:hAnsi="Times New Roman" w:cs="Times New Roman"/>
          <w:b/>
          <w:lang w:val="en-GB" w:eastAsia="nl-NL"/>
        </w:rPr>
        <w:t>E-F</w:t>
      </w:r>
      <w:r w:rsidR="00E56058" w:rsidRPr="00A165C8">
        <w:rPr>
          <w:rFonts w:ascii="Times New Roman" w:eastAsia="Times New Roman" w:hAnsi="Times New Roman" w:cs="Times New Roman"/>
          <w:b/>
          <w:lang w:val="en-GB" w:eastAsia="nl-NL"/>
        </w:rPr>
        <w:t>)</w:t>
      </w:r>
      <w:r w:rsidR="00E56058">
        <w:rPr>
          <w:rFonts w:ascii="Times New Roman" w:eastAsia="Times New Roman" w:hAnsi="Times New Roman" w:cs="Times New Roman"/>
          <w:lang w:val="en-GB" w:eastAsia="nl-NL"/>
        </w:rPr>
        <w:t xml:space="preserve"> all-cause death and/or heart failure hospitalization. </w:t>
      </w:r>
      <w:r w:rsidR="00FB7465">
        <w:rPr>
          <w:rFonts w:ascii="Times New Roman" w:eastAsia="Times New Roman" w:hAnsi="Times New Roman" w:cs="Times New Roman"/>
          <w:lang w:val="en-GB" w:eastAsia="nl-NL"/>
        </w:rPr>
        <w:t>.............................</w:t>
      </w:r>
      <w:r w:rsidR="001130AB">
        <w:rPr>
          <w:rFonts w:ascii="Times New Roman" w:eastAsia="Times New Roman" w:hAnsi="Times New Roman" w:cs="Times New Roman"/>
          <w:lang w:val="en-GB" w:eastAsia="nl-NL"/>
        </w:rPr>
        <w:t>.................</w:t>
      </w:r>
      <w:r w:rsidR="00AA5247">
        <w:rPr>
          <w:rFonts w:ascii="Times New Roman" w:eastAsia="Times New Roman" w:hAnsi="Times New Roman" w:cs="Times New Roman"/>
          <w:lang w:val="en-GB" w:eastAsia="nl-NL"/>
        </w:rPr>
        <w:t>... p.</w:t>
      </w:r>
      <w:r w:rsidR="00E80E79">
        <w:rPr>
          <w:rFonts w:ascii="Times New Roman" w:eastAsia="Times New Roman" w:hAnsi="Times New Roman" w:cs="Times New Roman"/>
          <w:lang w:val="en-GB" w:eastAsia="nl-NL"/>
        </w:rPr>
        <w:t>16</w:t>
      </w:r>
    </w:p>
    <w:p w14:paraId="015046CB" w14:textId="77777777" w:rsidR="00907D96" w:rsidRDefault="00907D96" w:rsidP="00907D96">
      <w:pPr>
        <w:jc w:val="center"/>
        <w:rPr>
          <w:rFonts w:ascii="Times New Roman" w:eastAsia="Times New Roman" w:hAnsi="Times New Roman" w:cs="Times New Roman"/>
          <w:lang w:val="en-GB" w:eastAsia="nl-NL"/>
        </w:rPr>
      </w:pPr>
    </w:p>
    <w:p w14:paraId="2A8A99F6" w14:textId="31449AC4" w:rsidR="00AA5247" w:rsidRPr="00AA5247" w:rsidRDefault="00907D96" w:rsidP="00CF4E97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3.</w:t>
      </w:r>
      <w:r w:rsidR="00CF4E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</w:t>
      </w:r>
      <w:r w:rsidR="00AA5247" w:rsidRPr="00AA52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FIGURES</w:t>
      </w:r>
    </w:p>
    <w:p w14:paraId="13E0A693" w14:textId="0799D47D" w:rsidR="00F24D93" w:rsidRPr="0024512E" w:rsidRDefault="00A25000" w:rsidP="0024512E">
      <w:pPr>
        <w:rPr>
          <w:rFonts w:ascii="Times New Roman" w:eastAsia="Times New Roman" w:hAnsi="Times New Roman" w:cs="Times New Roman"/>
          <w:b/>
          <w:u w:val="single"/>
          <w:lang w:val="en-GB" w:eastAsia="nl-NL"/>
        </w:rPr>
      </w:pPr>
      <w:r w:rsidRPr="00A25000">
        <w:rPr>
          <w:rFonts w:ascii="Times New Roman" w:hAnsi="Times New Roman" w:cs="Times New Roman"/>
          <w:b/>
          <w:szCs w:val="24"/>
          <w:lang w:val="en"/>
        </w:rPr>
        <w:t xml:space="preserve">Figure </w:t>
      </w:r>
      <w:r w:rsidR="00CF7ED1">
        <w:rPr>
          <w:rFonts w:ascii="Times New Roman" w:hAnsi="Times New Roman" w:cs="Times New Roman"/>
          <w:b/>
          <w:szCs w:val="24"/>
          <w:lang w:val="en"/>
        </w:rPr>
        <w:t>S</w:t>
      </w:r>
      <w:r w:rsidRPr="00A25000">
        <w:rPr>
          <w:rFonts w:ascii="Times New Roman" w:hAnsi="Times New Roman" w:cs="Times New Roman"/>
          <w:b/>
          <w:szCs w:val="24"/>
          <w:lang w:val="en"/>
        </w:rPr>
        <w:t xml:space="preserve">1. </w:t>
      </w:r>
      <w:r w:rsidRPr="00A25000">
        <w:rPr>
          <w:rFonts w:ascii="Times New Roman" w:hAnsi="Times New Roman" w:cs="Times New Roman"/>
          <w:szCs w:val="24"/>
          <w:lang w:val="en"/>
        </w:rPr>
        <w:t>Study flow diagram.</w:t>
      </w:r>
      <w:r w:rsidR="006D5700">
        <w:rPr>
          <w:rFonts w:ascii="Times New Roman" w:hAnsi="Times New Roman" w:cs="Times New Roman"/>
          <w:szCs w:val="24"/>
          <w:lang w:val="en"/>
        </w:rPr>
        <w:t xml:space="preserve"> ..............................................................................</w:t>
      </w:r>
      <w:r w:rsidR="006F6E09">
        <w:rPr>
          <w:rFonts w:ascii="Times New Roman" w:hAnsi="Times New Roman" w:cs="Times New Roman"/>
          <w:szCs w:val="24"/>
          <w:lang w:val="en"/>
        </w:rPr>
        <w:t>.</w:t>
      </w:r>
      <w:r w:rsidR="00993D45">
        <w:rPr>
          <w:rFonts w:ascii="Times New Roman" w:hAnsi="Times New Roman" w:cs="Times New Roman"/>
          <w:szCs w:val="24"/>
          <w:lang w:val="en"/>
        </w:rPr>
        <w:t>........................</w:t>
      </w:r>
      <w:r w:rsidR="006D5700">
        <w:rPr>
          <w:rFonts w:ascii="Times New Roman" w:hAnsi="Times New Roman" w:cs="Times New Roman"/>
          <w:szCs w:val="24"/>
          <w:lang w:val="en"/>
        </w:rPr>
        <w:t>........... p.</w:t>
      </w:r>
      <w:r w:rsidR="00963516">
        <w:rPr>
          <w:rFonts w:ascii="Times New Roman" w:hAnsi="Times New Roman" w:cs="Times New Roman"/>
          <w:szCs w:val="24"/>
          <w:lang w:val="en"/>
        </w:rPr>
        <w:t>18</w:t>
      </w:r>
    </w:p>
    <w:p w14:paraId="20C1E57E" w14:textId="540E4D96" w:rsidR="00A25000" w:rsidRDefault="00F24D93" w:rsidP="00F24D93">
      <w:pPr>
        <w:rPr>
          <w:rFonts w:ascii="Times New Roman" w:eastAsia="Times New Roman" w:hAnsi="Times New Roman" w:cs="Times New Roman"/>
          <w:lang w:val="en-US" w:eastAsia="nl-NL"/>
        </w:rPr>
      </w:pPr>
      <w:r w:rsidRPr="00F24D93">
        <w:rPr>
          <w:rFonts w:ascii="Times New Roman" w:eastAsia="Times New Roman" w:hAnsi="Times New Roman" w:cs="Times New Roman"/>
          <w:b/>
          <w:lang w:val="en-US" w:eastAsia="nl-NL"/>
        </w:rPr>
        <w:t xml:space="preserve">Figure </w:t>
      </w:r>
      <w:r w:rsidR="00CF7ED1">
        <w:rPr>
          <w:rFonts w:ascii="Times New Roman" w:eastAsia="Times New Roman" w:hAnsi="Times New Roman" w:cs="Times New Roman"/>
          <w:b/>
          <w:lang w:val="en-US" w:eastAsia="nl-NL"/>
        </w:rPr>
        <w:t>S</w:t>
      </w:r>
      <w:r w:rsidRPr="00F24D93">
        <w:rPr>
          <w:rFonts w:ascii="Times New Roman" w:eastAsia="Times New Roman" w:hAnsi="Times New Roman" w:cs="Times New Roman"/>
          <w:b/>
          <w:lang w:val="en-US" w:eastAsia="nl-NL"/>
        </w:rPr>
        <w:t xml:space="preserve">2. </w:t>
      </w:r>
      <w:r w:rsidRPr="00F24D93">
        <w:rPr>
          <w:rFonts w:ascii="Times New Roman" w:eastAsia="Times New Roman" w:hAnsi="Times New Roman" w:cs="Times New Roman"/>
          <w:lang w:val="en-US" w:eastAsia="nl-NL"/>
        </w:rPr>
        <w:t>Sex differences in the answers to the items of Kansas City Cardiomyopathy Questionnaire at baseline.</w:t>
      </w:r>
      <w:r w:rsidR="00BE0484">
        <w:rPr>
          <w:rFonts w:ascii="Times New Roman" w:eastAsia="Times New Roman" w:hAnsi="Times New Roman" w:cs="Times New Roman"/>
          <w:lang w:val="en-US" w:eastAsia="nl-NL"/>
        </w:rPr>
        <w:t xml:space="preserve"> ............................................................................</w:t>
      </w:r>
      <w:r w:rsidR="006F6E09">
        <w:rPr>
          <w:rFonts w:ascii="Times New Roman" w:eastAsia="Times New Roman" w:hAnsi="Times New Roman" w:cs="Times New Roman"/>
          <w:lang w:val="en-US" w:eastAsia="nl-NL"/>
        </w:rPr>
        <w:t>.</w:t>
      </w:r>
      <w:r w:rsidR="00BE0484">
        <w:rPr>
          <w:rFonts w:ascii="Times New Roman" w:eastAsia="Times New Roman" w:hAnsi="Times New Roman" w:cs="Times New Roman"/>
          <w:lang w:val="en-US" w:eastAsia="nl-NL"/>
        </w:rPr>
        <w:t>........................................</w:t>
      </w:r>
      <w:r w:rsidR="00993D45">
        <w:rPr>
          <w:rFonts w:ascii="Times New Roman" w:eastAsia="Times New Roman" w:hAnsi="Times New Roman" w:cs="Times New Roman"/>
          <w:lang w:val="en-US" w:eastAsia="nl-NL"/>
        </w:rPr>
        <w:t>...........................</w:t>
      </w:r>
      <w:r w:rsidR="00BE0484">
        <w:rPr>
          <w:rFonts w:ascii="Times New Roman" w:eastAsia="Times New Roman" w:hAnsi="Times New Roman" w:cs="Times New Roman"/>
          <w:lang w:val="en-US" w:eastAsia="nl-NL"/>
        </w:rPr>
        <w:t>........ p.</w:t>
      </w:r>
      <w:r w:rsidR="00963516">
        <w:rPr>
          <w:rFonts w:ascii="Times New Roman" w:eastAsia="Times New Roman" w:hAnsi="Times New Roman" w:cs="Times New Roman"/>
          <w:lang w:val="en-US" w:eastAsia="nl-NL"/>
        </w:rPr>
        <w:t>19</w:t>
      </w:r>
    </w:p>
    <w:p w14:paraId="184C5104" w14:textId="31FDC4FF" w:rsidR="00FB7465" w:rsidRDefault="00FB7465" w:rsidP="00FB7465">
      <w:pPr>
        <w:rPr>
          <w:rFonts w:ascii="Times New Roman" w:eastAsia="Times New Roman" w:hAnsi="Times New Roman" w:cs="Times New Roman"/>
          <w:lang w:val="en-US" w:eastAsia="nl-NL"/>
        </w:rPr>
      </w:pPr>
      <w:r w:rsidRPr="00F24D93">
        <w:rPr>
          <w:rFonts w:ascii="Times New Roman" w:eastAsia="Times New Roman" w:hAnsi="Times New Roman" w:cs="Times New Roman"/>
          <w:b/>
          <w:lang w:val="en-US" w:eastAsia="nl-NL"/>
        </w:rPr>
        <w:t xml:space="preserve">Figure </w:t>
      </w:r>
      <w:r>
        <w:rPr>
          <w:rFonts w:ascii="Times New Roman" w:eastAsia="Times New Roman" w:hAnsi="Times New Roman" w:cs="Times New Roman"/>
          <w:b/>
          <w:lang w:val="en-US" w:eastAsia="nl-NL"/>
        </w:rPr>
        <w:t>S</w:t>
      </w:r>
      <w:r w:rsidR="00403114">
        <w:rPr>
          <w:rFonts w:ascii="Times New Roman" w:eastAsia="Times New Roman" w:hAnsi="Times New Roman" w:cs="Times New Roman"/>
          <w:b/>
          <w:lang w:val="en-US" w:eastAsia="nl-NL"/>
        </w:rPr>
        <w:t>3</w:t>
      </w:r>
      <w:r w:rsidRPr="00F24D93">
        <w:rPr>
          <w:rFonts w:ascii="Times New Roman" w:eastAsia="Times New Roman" w:hAnsi="Times New Roman" w:cs="Times New Roman"/>
          <w:b/>
          <w:lang w:val="en-US" w:eastAsia="nl-NL"/>
        </w:rPr>
        <w:t xml:space="preserve">. </w:t>
      </w:r>
      <w:r w:rsidRPr="00F24D93">
        <w:rPr>
          <w:rFonts w:ascii="Times New Roman" w:eastAsia="Times New Roman" w:hAnsi="Times New Roman" w:cs="Times New Roman"/>
          <w:lang w:val="en-US" w:eastAsia="nl-NL"/>
        </w:rPr>
        <w:t xml:space="preserve">Sex differences in the answers to the items of Kansas City Cardiomyopathy Questionnaire at </w:t>
      </w:r>
      <w:r w:rsidR="00403114">
        <w:rPr>
          <w:rFonts w:ascii="Times New Roman" w:eastAsia="Times New Roman" w:hAnsi="Times New Roman" w:cs="Times New Roman"/>
          <w:lang w:val="en-US" w:eastAsia="nl-NL"/>
        </w:rPr>
        <w:t>nine months</w:t>
      </w:r>
      <w:r>
        <w:rPr>
          <w:rFonts w:ascii="Times New Roman" w:eastAsia="Times New Roman" w:hAnsi="Times New Roman" w:cs="Times New Roman"/>
          <w:lang w:val="en-US" w:eastAsia="nl-NL"/>
        </w:rPr>
        <w:t xml:space="preserve"> </w:t>
      </w:r>
      <w:r w:rsidR="00403114">
        <w:rPr>
          <w:rFonts w:ascii="Times New Roman" w:eastAsia="Times New Roman" w:hAnsi="Times New Roman" w:cs="Times New Roman"/>
          <w:lang w:val="en-US" w:eastAsia="nl-NL"/>
        </w:rPr>
        <w:t>..</w:t>
      </w:r>
      <w:r>
        <w:rPr>
          <w:rFonts w:ascii="Times New Roman" w:eastAsia="Times New Roman" w:hAnsi="Times New Roman" w:cs="Times New Roman"/>
          <w:lang w:val="en-US" w:eastAsia="nl-NL"/>
        </w:rPr>
        <w:t>........................................................................................................................................................ p.</w:t>
      </w:r>
      <w:r w:rsidR="00963516">
        <w:rPr>
          <w:rFonts w:ascii="Times New Roman" w:eastAsia="Times New Roman" w:hAnsi="Times New Roman" w:cs="Times New Roman"/>
          <w:lang w:val="en-US" w:eastAsia="nl-NL"/>
        </w:rPr>
        <w:t>20</w:t>
      </w:r>
    </w:p>
    <w:p w14:paraId="2C3A68A9" w14:textId="649A8989" w:rsidR="00403114" w:rsidRDefault="00403114" w:rsidP="00403114">
      <w:pPr>
        <w:rPr>
          <w:rFonts w:ascii="Times New Roman" w:eastAsia="Times New Roman" w:hAnsi="Times New Roman" w:cs="Times New Roman"/>
          <w:lang w:val="en-US" w:eastAsia="nl-NL"/>
        </w:rPr>
      </w:pPr>
      <w:r w:rsidRPr="00F24D93">
        <w:rPr>
          <w:rFonts w:ascii="Times New Roman" w:eastAsia="Times New Roman" w:hAnsi="Times New Roman" w:cs="Times New Roman"/>
          <w:b/>
          <w:lang w:val="en-US" w:eastAsia="nl-NL"/>
        </w:rPr>
        <w:t xml:space="preserve">Figure </w:t>
      </w:r>
      <w:r>
        <w:rPr>
          <w:rFonts w:ascii="Times New Roman" w:eastAsia="Times New Roman" w:hAnsi="Times New Roman" w:cs="Times New Roman"/>
          <w:b/>
          <w:lang w:val="en-US" w:eastAsia="nl-NL"/>
        </w:rPr>
        <w:t>S4</w:t>
      </w:r>
      <w:r w:rsidRPr="00F24D93">
        <w:rPr>
          <w:rFonts w:ascii="Times New Roman" w:eastAsia="Times New Roman" w:hAnsi="Times New Roman" w:cs="Times New Roman"/>
          <w:b/>
          <w:lang w:val="en-US" w:eastAsia="nl-NL"/>
        </w:rPr>
        <w:t xml:space="preserve">. </w:t>
      </w:r>
      <w:r w:rsidRPr="00F24D93">
        <w:rPr>
          <w:rFonts w:ascii="Times New Roman" w:eastAsia="Times New Roman" w:hAnsi="Times New Roman" w:cs="Times New Roman"/>
          <w:lang w:val="en-US" w:eastAsia="nl-NL"/>
        </w:rPr>
        <w:t xml:space="preserve">Sex differences in the answers to the items of </w:t>
      </w:r>
      <w:proofErr w:type="spellStart"/>
      <w:r>
        <w:rPr>
          <w:rFonts w:ascii="Times New Roman" w:eastAsia="Times New Roman" w:hAnsi="Times New Roman" w:cs="Times New Roman"/>
          <w:lang w:val="en-US" w:eastAsia="nl-NL"/>
        </w:rPr>
        <w:t>EuroQol</w:t>
      </w:r>
      <w:proofErr w:type="spellEnd"/>
      <w:r>
        <w:rPr>
          <w:rFonts w:ascii="Times New Roman" w:eastAsia="Times New Roman" w:hAnsi="Times New Roman" w:cs="Times New Roman"/>
          <w:lang w:val="en-US" w:eastAsia="nl-NL"/>
        </w:rPr>
        <w:t xml:space="preserve"> 5 dimensions questionnaire</w:t>
      </w:r>
      <w:r w:rsidRPr="00F24D93">
        <w:rPr>
          <w:rFonts w:ascii="Times New Roman" w:eastAsia="Times New Roman" w:hAnsi="Times New Roman" w:cs="Times New Roman"/>
          <w:lang w:val="en-US" w:eastAsia="nl-NL"/>
        </w:rPr>
        <w:t xml:space="preserve"> at </w:t>
      </w:r>
      <w:r>
        <w:rPr>
          <w:rFonts w:ascii="Times New Roman" w:eastAsia="Times New Roman" w:hAnsi="Times New Roman" w:cs="Times New Roman"/>
          <w:lang w:val="en-US" w:eastAsia="nl-NL"/>
        </w:rPr>
        <w:t>nine months .......................................................................................................................................................... p.</w:t>
      </w:r>
      <w:r w:rsidR="00963516">
        <w:rPr>
          <w:rFonts w:ascii="Times New Roman" w:eastAsia="Times New Roman" w:hAnsi="Times New Roman" w:cs="Times New Roman"/>
          <w:lang w:val="en-US" w:eastAsia="nl-NL"/>
        </w:rPr>
        <w:t>21</w:t>
      </w:r>
    </w:p>
    <w:p w14:paraId="074C61B0" w14:textId="77777777" w:rsidR="00FB7465" w:rsidRDefault="00FB7465" w:rsidP="00F24D93">
      <w:pPr>
        <w:rPr>
          <w:rFonts w:ascii="Times New Roman" w:eastAsia="Times New Roman" w:hAnsi="Times New Roman" w:cs="Times New Roman"/>
          <w:lang w:val="en-US" w:eastAsia="nl-NL"/>
        </w:rPr>
      </w:pPr>
    </w:p>
    <w:p w14:paraId="1D09C4A3" w14:textId="683CF0A5" w:rsidR="001E57E9" w:rsidRPr="001E57E9" w:rsidRDefault="001E57E9" w:rsidP="00F24D93">
      <w:pPr>
        <w:rPr>
          <w:rFonts w:ascii="Times New Roman" w:hAnsi="Times New Roman" w:cs="Times New Roman"/>
          <w:lang w:val="en-US"/>
        </w:rPr>
      </w:pPr>
      <w:r w:rsidRPr="001E57E9">
        <w:rPr>
          <w:rFonts w:ascii="Times New Roman" w:hAnsi="Times New Roman" w:cs="Times New Roman"/>
          <w:b/>
          <w:bCs/>
          <w:lang w:val="en-US"/>
        </w:rPr>
        <w:t>Figure S</w:t>
      </w:r>
      <w:r w:rsidR="00403114">
        <w:rPr>
          <w:rFonts w:ascii="Times New Roman" w:hAnsi="Times New Roman" w:cs="Times New Roman"/>
          <w:b/>
          <w:bCs/>
          <w:lang w:val="en-US"/>
        </w:rPr>
        <w:t>5</w:t>
      </w:r>
      <w:r w:rsidRPr="001E57E9">
        <w:rPr>
          <w:rFonts w:ascii="Times New Roman" w:hAnsi="Times New Roman" w:cs="Times New Roman"/>
          <w:lang w:val="en-US"/>
        </w:rPr>
        <w:t xml:space="preserve">. </w:t>
      </w:r>
      <w:r w:rsidR="00BF61AF" w:rsidRPr="00BF61AF">
        <w:rPr>
          <w:rFonts w:ascii="Times New Roman" w:hAnsi="Times New Roman" w:cs="Times New Roman"/>
          <w:lang w:val="en-US"/>
        </w:rPr>
        <w:t>Shift analysis showing sex differences in fraction target dose of angiotensin-converting enzyme inhibitors (</w:t>
      </w:r>
      <w:proofErr w:type="spellStart"/>
      <w:r w:rsidR="00BF61AF" w:rsidRPr="00BF61AF">
        <w:rPr>
          <w:rFonts w:ascii="Times New Roman" w:hAnsi="Times New Roman" w:cs="Times New Roman"/>
          <w:lang w:val="en-US"/>
        </w:rPr>
        <w:t>ACEi</w:t>
      </w:r>
      <w:proofErr w:type="spellEnd"/>
      <w:r w:rsidR="00BF61AF" w:rsidRPr="00BF61AF">
        <w:rPr>
          <w:rFonts w:ascii="Times New Roman" w:hAnsi="Times New Roman" w:cs="Times New Roman"/>
          <w:lang w:val="en-US"/>
        </w:rPr>
        <w:t xml:space="preserve">) or angiotensin receptor blockers (ARB) and β-blockers at baseline. </w:t>
      </w:r>
      <w:r w:rsidRPr="001E57E9">
        <w:rPr>
          <w:rFonts w:ascii="Times New Roman" w:hAnsi="Times New Roman" w:cs="Times New Roman"/>
          <w:lang w:val="en-US"/>
        </w:rPr>
        <w:t xml:space="preserve"> ....</w:t>
      </w:r>
      <w:r w:rsidR="00BF61AF">
        <w:rPr>
          <w:rFonts w:ascii="Times New Roman" w:hAnsi="Times New Roman" w:cs="Times New Roman"/>
          <w:lang w:val="en-US"/>
        </w:rPr>
        <w:t>..</w:t>
      </w:r>
      <w:r w:rsidRPr="001E57E9">
        <w:rPr>
          <w:rFonts w:ascii="Times New Roman" w:hAnsi="Times New Roman" w:cs="Times New Roman"/>
          <w:lang w:val="en-US"/>
        </w:rPr>
        <w:t>...</w:t>
      </w:r>
      <w:r w:rsidR="006F6E09">
        <w:rPr>
          <w:rFonts w:ascii="Times New Roman" w:hAnsi="Times New Roman" w:cs="Times New Roman"/>
          <w:lang w:val="en-US"/>
        </w:rPr>
        <w:t>.</w:t>
      </w:r>
      <w:r w:rsidRPr="001E57E9">
        <w:rPr>
          <w:rFonts w:ascii="Times New Roman" w:hAnsi="Times New Roman" w:cs="Times New Roman"/>
          <w:lang w:val="en-US"/>
        </w:rPr>
        <w:t>....</w:t>
      </w:r>
      <w:r w:rsidR="00811A8B">
        <w:rPr>
          <w:rFonts w:ascii="Times New Roman" w:hAnsi="Times New Roman" w:cs="Times New Roman"/>
          <w:lang w:val="en-US"/>
        </w:rPr>
        <w:t>....</w:t>
      </w:r>
      <w:r w:rsidRPr="001E57E9">
        <w:rPr>
          <w:rFonts w:ascii="Times New Roman" w:hAnsi="Times New Roman" w:cs="Times New Roman"/>
          <w:lang w:val="en-US"/>
        </w:rPr>
        <w:t>............p.</w:t>
      </w:r>
      <w:r w:rsidR="00963516">
        <w:rPr>
          <w:rFonts w:ascii="Times New Roman" w:hAnsi="Times New Roman" w:cs="Times New Roman"/>
          <w:lang w:val="en-US"/>
        </w:rPr>
        <w:t>22</w:t>
      </w:r>
    </w:p>
    <w:p w14:paraId="540B0A7B" w14:textId="5B7C6706" w:rsidR="001E57E9" w:rsidRDefault="001E57E9" w:rsidP="00F24D93">
      <w:pPr>
        <w:rPr>
          <w:rFonts w:ascii="Times New Roman" w:hAnsi="Times New Roman" w:cs="Times New Roman"/>
          <w:lang w:val="en-US"/>
        </w:rPr>
      </w:pPr>
      <w:r w:rsidRPr="001E57E9">
        <w:rPr>
          <w:rFonts w:ascii="Times New Roman" w:hAnsi="Times New Roman" w:cs="Times New Roman"/>
          <w:b/>
          <w:bCs/>
          <w:lang w:val="en-US"/>
        </w:rPr>
        <w:t>Figure S</w:t>
      </w:r>
      <w:r w:rsidR="00403114">
        <w:rPr>
          <w:rFonts w:ascii="Times New Roman" w:hAnsi="Times New Roman" w:cs="Times New Roman"/>
          <w:b/>
          <w:bCs/>
          <w:lang w:val="en-US"/>
        </w:rPr>
        <w:t>6</w:t>
      </w:r>
      <w:r w:rsidRPr="001E57E9">
        <w:rPr>
          <w:rFonts w:ascii="Times New Roman" w:hAnsi="Times New Roman" w:cs="Times New Roman"/>
          <w:b/>
          <w:bCs/>
          <w:lang w:val="en-US"/>
        </w:rPr>
        <w:t>.</w:t>
      </w:r>
      <w:r w:rsidRPr="001E57E9">
        <w:rPr>
          <w:rFonts w:ascii="Times New Roman" w:hAnsi="Times New Roman" w:cs="Times New Roman"/>
          <w:lang w:val="en-US"/>
        </w:rPr>
        <w:t xml:space="preserve"> Shift analysis showing sex differences in achieved fraction target dose of </w:t>
      </w:r>
      <w:r w:rsidR="00BF61AF" w:rsidRPr="00BF61AF">
        <w:rPr>
          <w:rFonts w:ascii="Times New Roman" w:hAnsi="Times New Roman" w:cs="Times New Roman"/>
          <w:lang w:val="en-US"/>
        </w:rPr>
        <w:t>angiotensin-converting enzyme inhibitors (</w:t>
      </w:r>
      <w:proofErr w:type="spellStart"/>
      <w:r w:rsidR="00BF61AF" w:rsidRPr="00BF61AF">
        <w:rPr>
          <w:rFonts w:ascii="Times New Roman" w:hAnsi="Times New Roman" w:cs="Times New Roman"/>
          <w:lang w:val="en-US"/>
        </w:rPr>
        <w:t>ACEi</w:t>
      </w:r>
      <w:proofErr w:type="spellEnd"/>
      <w:r w:rsidR="00BF61AF" w:rsidRPr="00BF61AF">
        <w:rPr>
          <w:rFonts w:ascii="Times New Roman" w:hAnsi="Times New Roman" w:cs="Times New Roman"/>
          <w:lang w:val="en-US"/>
        </w:rPr>
        <w:t xml:space="preserve">) or angiotensin receptor blockers (ARB) </w:t>
      </w:r>
      <w:r w:rsidRPr="001E57E9">
        <w:rPr>
          <w:rFonts w:ascii="Times New Roman" w:hAnsi="Times New Roman" w:cs="Times New Roman"/>
          <w:lang w:val="en-US"/>
        </w:rPr>
        <w:t>and β-blockers</w:t>
      </w:r>
      <w:r>
        <w:rPr>
          <w:rFonts w:ascii="Times New Roman" w:hAnsi="Times New Roman" w:cs="Times New Roman"/>
          <w:lang w:val="en-US"/>
        </w:rPr>
        <w:t xml:space="preserve"> at three months</w:t>
      </w:r>
      <w:r w:rsidRPr="001E57E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..........p.</w:t>
      </w:r>
      <w:r w:rsidR="00963516">
        <w:rPr>
          <w:rFonts w:ascii="Times New Roman" w:hAnsi="Times New Roman" w:cs="Times New Roman"/>
          <w:lang w:val="en-US"/>
        </w:rPr>
        <w:t>24</w:t>
      </w:r>
    </w:p>
    <w:p w14:paraId="329FB38E" w14:textId="506CBA4D" w:rsidR="006F6E09" w:rsidRDefault="006F6E09" w:rsidP="00F24D93">
      <w:pPr>
        <w:rPr>
          <w:rFonts w:ascii="Times New Roman" w:hAnsi="Times New Roman" w:cs="Times New Roman"/>
          <w:lang w:val="en-US"/>
        </w:rPr>
      </w:pPr>
      <w:r w:rsidRPr="00BF61AF">
        <w:rPr>
          <w:rFonts w:ascii="Times New Roman" w:hAnsi="Times New Roman" w:cs="Times New Roman"/>
          <w:b/>
          <w:bCs/>
          <w:lang w:val="en-US"/>
        </w:rPr>
        <w:t>Figure S</w:t>
      </w:r>
      <w:r w:rsidR="00403114">
        <w:rPr>
          <w:rFonts w:ascii="Times New Roman" w:hAnsi="Times New Roman" w:cs="Times New Roman"/>
          <w:b/>
          <w:bCs/>
          <w:lang w:val="en-US"/>
        </w:rPr>
        <w:t>7</w:t>
      </w:r>
      <w:r w:rsidRPr="00BF61AF">
        <w:rPr>
          <w:rFonts w:ascii="Times New Roman" w:hAnsi="Times New Roman" w:cs="Times New Roman"/>
          <w:b/>
          <w:bCs/>
          <w:lang w:val="en-US"/>
        </w:rPr>
        <w:t>.</w:t>
      </w:r>
      <w:r w:rsidRPr="006F6E09">
        <w:rPr>
          <w:rFonts w:ascii="Times New Roman" w:hAnsi="Times New Roman" w:cs="Times New Roman"/>
          <w:lang w:val="en-US"/>
        </w:rPr>
        <w:t xml:space="preserve"> </w:t>
      </w:r>
      <w:r w:rsidR="00BF61AF" w:rsidRPr="00BF61AF">
        <w:rPr>
          <w:rFonts w:ascii="Times New Roman" w:hAnsi="Times New Roman" w:cs="Times New Roman"/>
          <w:lang w:val="en-US"/>
        </w:rPr>
        <w:t>Shift analysis showing sex differences between the quantiles of Kansas City Cardiomyopathy Questionnaire change (Delta KCCQ-OS) from baseline to 9 months, at varying levels of achieved fraction target dose of angiotensin-converting enzyme inhibitors (</w:t>
      </w:r>
      <w:proofErr w:type="spellStart"/>
      <w:r w:rsidR="00BF61AF" w:rsidRPr="00BF61AF">
        <w:rPr>
          <w:rFonts w:ascii="Times New Roman" w:hAnsi="Times New Roman" w:cs="Times New Roman"/>
          <w:lang w:val="en-US"/>
        </w:rPr>
        <w:t>ACEi</w:t>
      </w:r>
      <w:proofErr w:type="spellEnd"/>
      <w:r w:rsidR="00BF61AF" w:rsidRPr="00BF61AF">
        <w:rPr>
          <w:rFonts w:ascii="Times New Roman" w:hAnsi="Times New Roman" w:cs="Times New Roman"/>
          <w:lang w:val="en-US"/>
        </w:rPr>
        <w:t xml:space="preserve">) or angiotensin receptor blockers (ARB) and β-blockers.  </w:t>
      </w:r>
      <w:r w:rsidRPr="006F6E0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................</w:t>
      </w:r>
      <w:r w:rsidR="00BF61AF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en-US"/>
        </w:rPr>
        <w:t>......</w:t>
      </w:r>
      <w:r w:rsidR="004031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p.</w:t>
      </w:r>
      <w:r w:rsidR="00963516">
        <w:rPr>
          <w:rFonts w:ascii="Times New Roman" w:hAnsi="Times New Roman" w:cs="Times New Roman"/>
          <w:lang w:val="en-US"/>
        </w:rPr>
        <w:t>26</w:t>
      </w:r>
    </w:p>
    <w:p w14:paraId="0B3F0667" w14:textId="78D772E5" w:rsidR="001E57E9" w:rsidRDefault="001E57E9" w:rsidP="00F24D93">
      <w:pPr>
        <w:rPr>
          <w:rFonts w:ascii="Times New Roman" w:hAnsi="Times New Roman" w:cs="Times New Roman"/>
          <w:lang w:val="en-US"/>
        </w:rPr>
      </w:pPr>
      <w:r w:rsidRPr="00F24D93">
        <w:rPr>
          <w:rFonts w:ascii="Times New Roman" w:hAnsi="Times New Roman" w:cs="Times New Roman"/>
          <w:b/>
          <w:lang w:val="en-US"/>
        </w:rPr>
        <w:t xml:space="preserve">Figure </w:t>
      </w:r>
      <w:r>
        <w:rPr>
          <w:rFonts w:ascii="Times New Roman" w:hAnsi="Times New Roman" w:cs="Times New Roman"/>
          <w:b/>
          <w:lang w:val="en-US"/>
        </w:rPr>
        <w:t>S</w:t>
      </w:r>
      <w:r w:rsidR="00403114">
        <w:rPr>
          <w:rFonts w:ascii="Times New Roman" w:hAnsi="Times New Roman" w:cs="Times New Roman"/>
          <w:b/>
          <w:lang w:val="en-US"/>
        </w:rPr>
        <w:t>8</w:t>
      </w:r>
      <w:r w:rsidRPr="00F24D93">
        <w:rPr>
          <w:rFonts w:ascii="Times New Roman" w:hAnsi="Times New Roman" w:cs="Times New Roman"/>
          <w:b/>
          <w:lang w:val="en-US"/>
        </w:rPr>
        <w:t xml:space="preserve">. </w:t>
      </w:r>
      <w:r w:rsidR="00DF2FF8" w:rsidRPr="00DF2FF8">
        <w:rPr>
          <w:rFonts w:ascii="Times New Roman" w:hAnsi="Times New Roman" w:cs="Times New Roman"/>
          <w:lang w:val="en-US"/>
        </w:rPr>
        <w:t xml:space="preserve">Effect plots for all-cause mortality </w:t>
      </w:r>
      <w:proofErr w:type="gramStart"/>
      <w:r w:rsidR="00DF2FF8" w:rsidRPr="00DF2FF8">
        <w:rPr>
          <w:rFonts w:ascii="Times New Roman" w:hAnsi="Times New Roman" w:cs="Times New Roman"/>
          <w:lang w:val="en-US"/>
        </w:rPr>
        <w:t>by  (</w:t>
      </w:r>
      <w:proofErr w:type="gramEnd"/>
      <w:r w:rsidR="00DF2FF8" w:rsidRPr="00DF2FF8">
        <w:rPr>
          <w:rFonts w:ascii="Times New Roman" w:hAnsi="Times New Roman" w:cs="Times New Roman"/>
          <w:lang w:val="en-US"/>
        </w:rPr>
        <w:t xml:space="preserve">a) Kansas City Cardiomyopathy Questionnaire overall score, </w:t>
      </w:r>
      <w:proofErr w:type="spellStart"/>
      <w:r w:rsidR="00DF2FF8" w:rsidRPr="00DF2FF8">
        <w:rPr>
          <w:rFonts w:ascii="Times New Roman" w:hAnsi="Times New Roman" w:cs="Times New Roman"/>
          <w:lang w:val="en-US"/>
        </w:rPr>
        <w:t>EuroQoL</w:t>
      </w:r>
      <w:proofErr w:type="spellEnd"/>
      <w:r w:rsidR="00DF2FF8" w:rsidRPr="00DF2FF8">
        <w:rPr>
          <w:rFonts w:ascii="Times New Roman" w:hAnsi="Times New Roman" w:cs="Times New Roman"/>
          <w:lang w:val="en-US"/>
        </w:rPr>
        <w:t xml:space="preserve"> 5 dimensions (b) visual analogue scale and (c) utility score at baseline, using adjusted Cox model with the corresponding median quality of life measure as reference. </w:t>
      </w:r>
      <w:r w:rsidRPr="00F24D9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.............................................. p.</w:t>
      </w:r>
      <w:r w:rsidR="00963516">
        <w:rPr>
          <w:rFonts w:ascii="Times New Roman" w:hAnsi="Times New Roman" w:cs="Times New Roman"/>
          <w:lang w:val="en-US"/>
        </w:rPr>
        <w:t>28</w:t>
      </w:r>
    </w:p>
    <w:p w14:paraId="625EC58A" w14:textId="3D21CE07" w:rsidR="00F24D93" w:rsidRPr="00F24D93" w:rsidRDefault="00F24D93" w:rsidP="00F24D93">
      <w:pPr>
        <w:rPr>
          <w:rFonts w:ascii="Times New Roman" w:hAnsi="Times New Roman" w:cs="Times New Roman"/>
          <w:lang w:val="en-US"/>
        </w:rPr>
      </w:pPr>
      <w:r w:rsidRPr="00F24D93">
        <w:rPr>
          <w:rFonts w:ascii="Times New Roman" w:hAnsi="Times New Roman" w:cs="Times New Roman"/>
          <w:b/>
          <w:lang w:val="en-US"/>
        </w:rPr>
        <w:t xml:space="preserve"> Figure </w:t>
      </w:r>
      <w:r w:rsidR="00CF7ED1">
        <w:rPr>
          <w:rFonts w:ascii="Times New Roman" w:hAnsi="Times New Roman" w:cs="Times New Roman"/>
          <w:b/>
          <w:lang w:val="en-US"/>
        </w:rPr>
        <w:t>S</w:t>
      </w:r>
      <w:r w:rsidR="00403114">
        <w:rPr>
          <w:rFonts w:ascii="Times New Roman" w:hAnsi="Times New Roman" w:cs="Times New Roman"/>
          <w:b/>
          <w:lang w:val="en-US"/>
        </w:rPr>
        <w:t>9</w:t>
      </w:r>
      <w:r w:rsidRPr="00F24D93">
        <w:rPr>
          <w:rFonts w:ascii="Times New Roman" w:hAnsi="Times New Roman" w:cs="Times New Roman"/>
          <w:b/>
          <w:lang w:val="en-US"/>
        </w:rPr>
        <w:t xml:space="preserve">. </w:t>
      </w:r>
      <w:r w:rsidR="00DF2FF8" w:rsidRPr="00DF2FF8">
        <w:rPr>
          <w:rFonts w:ascii="Times New Roman" w:hAnsi="Times New Roman" w:cs="Times New Roman"/>
          <w:lang w:val="en-US"/>
        </w:rPr>
        <w:t xml:space="preserve">Effect plots for heart failure hospitalization </w:t>
      </w:r>
      <w:proofErr w:type="gramStart"/>
      <w:r w:rsidR="00DF2FF8" w:rsidRPr="00DF2FF8">
        <w:rPr>
          <w:rFonts w:ascii="Times New Roman" w:hAnsi="Times New Roman" w:cs="Times New Roman"/>
          <w:lang w:val="en-US"/>
        </w:rPr>
        <w:t>by  (</w:t>
      </w:r>
      <w:proofErr w:type="gramEnd"/>
      <w:r w:rsidR="00DF2FF8" w:rsidRPr="00DF2FF8">
        <w:rPr>
          <w:rFonts w:ascii="Times New Roman" w:hAnsi="Times New Roman" w:cs="Times New Roman"/>
          <w:lang w:val="en-US"/>
        </w:rPr>
        <w:t xml:space="preserve">a) Kansas City Cardiomyopathy Questionnaire Overall Score, </w:t>
      </w:r>
      <w:proofErr w:type="spellStart"/>
      <w:r w:rsidR="00DF2FF8" w:rsidRPr="00DF2FF8">
        <w:rPr>
          <w:rFonts w:ascii="Times New Roman" w:hAnsi="Times New Roman" w:cs="Times New Roman"/>
          <w:lang w:val="en-US"/>
        </w:rPr>
        <w:t>EuroQoL</w:t>
      </w:r>
      <w:proofErr w:type="spellEnd"/>
      <w:r w:rsidR="00DF2FF8" w:rsidRPr="00DF2FF8">
        <w:rPr>
          <w:rFonts w:ascii="Times New Roman" w:hAnsi="Times New Roman" w:cs="Times New Roman"/>
          <w:lang w:val="en-US"/>
        </w:rPr>
        <w:t xml:space="preserve"> 5 dimensions (b) visual analogue scale and (c) utility score at baseline, using adjusted Cox model with the corresponding median quality of life measure as reference.</w:t>
      </w:r>
      <w:r w:rsidR="00DF2FF8">
        <w:rPr>
          <w:rFonts w:ascii="Times New Roman" w:hAnsi="Times New Roman" w:cs="Times New Roman"/>
          <w:lang w:val="en-US"/>
        </w:rPr>
        <w:t xml:space="preserve"> </w:t>
      </w:r>
      <w:r w:rsidR="00BE0484">
        <w:rPr>
          <w:rFonts w:ascii="Times New Roman" w:hAnsi="Times New Roman" w:cs="Times New Roman"/>
          <w:lang w:val="en-US"/>
        </w:rPr>
        <w:t>......................... p.</w:t>
      </w:r>
      <w:r w:rsidR="00963516">
        <w:rPr>
          <w:rFonts w:ascii="Times New Roman" w:hAnsi="Times New Roman" w:cs="Times New Roman"/>
          <w:lang w:val="en-US"/>
        </w:rPr>
        <w:t>30</w:t>
      </w:r>
    </w:p>
    <w:p w14:paraId="1B258F95" w14:textId="750A72C0" w:rsidR="00907D96" w:rsidRPr="00907D96" w:rsidRDefault="00F24D93" w:rsidP="00323B9C">
      <w:pPr>
        <w:rPr>
          <w:rFonts w:ascii="Times New Roman" w:hAnsi="Times New Roman" w:cs="Times New Roman"/>
          <w:b/>
          <w:u w:val="single"/>
          <w:lang w:val="en-US"/>
        </w:rPr>
      </w:pPr>
      <w:r w:rsidRPr="00F24D93">
        <w:rPr>
          <w:rFonts w:ascii="Times New Roman" w:hAnsi="Times New Roman" w:cs="Times New Roman"/>
          <w:b/>
          <w:lang w:val="en-US"/>
        </w:rPr>
        <w:t xml:space="preserve"> Figure </w:t>
      </w:r>
      <w:r w:rsidR="00CF7ED1">
        <w:rPr>
          <w:rFonts w:ascii="Times New Roman" w:hAnsi="Times New Roman" w:cs="Times New Roman"/>
          <w:b/>
          <w:lang w:val="en-US"/>
        </w:rPr>
        <w:t>S</w:t>
      </w:r>
      <w:r w:rsidR="00403114">
        <w:rPr>
          <w:rFonts w:ascii="Times New Roman" w:hAnsi="Times New Roman" w:cs="Times New Roman"/>
          <w:b/>
          <w:lang w:val="en-US"/>
        </w:rPr>
        <w:t>10</w:t>
      </w:r>
      <w:r w:rsidRPr="00F24D93">
        <w:rPr>
          <w:rFonts w:ascii="Times New Roman" w:hAnsi="Times New Roman" w:cs="Times New Roman"/>
          <w:b/>
          <w:lang w:val="en-US"/>
        </w:rPr>
        <w:t xml:space="preserve">. </w:t>
      </w:r>
      <w:r w:rsidR="00DF2FF8" w:rsidRPr="00DF2FF8">
        <w:rPr>
          <w:rFonts w:ascii="Times New Roman" w:hAnsi="Times New Roman" w:cs="Times New Roman"/>
          <w:lang w:val="en-US"/>
        </w:rPr>
        <w:t xml:space="preserve">Effect plots for all-cause mortality and/or heart failure hospitalization </w:t>
      </w:r>
      <w:proofErr w:type="gramStart"/>
      <w:r w:rsidR="00DF2FF8" w:rsidRPr="00DF2FF8">
        <w:rPr>
          <w:rFonts w:ascii="Times New Roman" w:hAnsi="Times New Roman" w:cs="Times New Roman"/>
          <w:lang w:val="en-US"/>
        </w:rPr>
        <w:t>by  (</w:t>
      </w:r>
      <w:proofErr w:type="gramEnd"/>
      <w:r w:rsidR="00DF2FF8" w:rsidRPr="00DF2FF8">
        <w:rPr>
          <w:rFonts w:ascii="Times New Roman" w:hAnsi="Times New Roman" w:cs="Times New Roman"/>
          <w:lang w:val="en-US"/>
        </w:rPr>
        <w:t xml:space="preserve">a) Kansas City Cardiomyopathy Questionnaire overall score, </w:t>
      </w:r>
      <w:proofErr w:type="spellStart"/>
      <w:r w:rsidR="00DF2FF8" w:rsidRPr="00DF2FF8">
        <w:rPr>
          <w:rFonts w:ascii="Times New Roman" w:hAnsi="Times New Roman" w:cs="Times New Roman"/>
          <w:lang w:val="en-US"/>
        </w:rPr>
        <w:t>EuroQoL</w:t>
      </w:r>
      <w:proofErr w:type="spellEnd"/>
      <w:r w:rsidR="00DF2FF8" w:rsidRPr="00DF2FF8">
        <w:rPr>
          <w:rFonts w:ascii="Times New Roman" w:hAnsi="Times New Roman" w:cs="Times New Roman"/>
          <w:lang w:val="en-US"/>
        </w:rPr>
        <w:t xml:space="preserve"> 5 dimensions (b) visual analogue scale and (c) utility score at baseline, using adjusted Cox model with the corresponding quality of life measure as reference. </w:t>
      </w:r>
      <w:proofErr w:type="gramStart"/>
      <w:r w:rsidR="00BE0484">
        <w:rPr>
          <w:rFonts w:ascii="Times New Roman" w:hAnsi="Times New Roman" w:cs="Times New Roman"/>
          <w:lang w:val="en-US"/>
        </w:rPr>
        <w:t>p.</w:t>
      </w:r>
      <w:r w:rsidR="00963516">
        <w:rPr>
          <w:rFonts w:ascii="Times New Roman" w:hAnsi="Times New Roman" w:cs="Times New Roman"/>
          <w:lang w:val="en-US"/>
        </w:rPr>
        <w:t>32</w:t>
      </w:r>
      <w:proofErr w:type="gramEnd"/>
      <w:r w:rsidR="003709D7" w:rsidRPr="0006522B">
        <w:rPr>
          <w:rFonts w:ascii="Times New Roman" w:hAnsi="Times New Roman" w:cs="Times New Roman"/>
          <w:b/>
          <w:u w:val="single"/>
          <w:lang w:val="en-US"/>
        </w:rPr>
        <w:br w:type="page"/>
      </w:r>
      <w:r w:rsidR="00907D96" w:rsidRPr="00907D96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Supplementary methods</w:t>
      </w:r>
    </w:p>
    <w:p w14:paraId="4D750E6D" w14:textId="5E65E938" w:rsidR="00E70D12" w:rsidRDefault="00E70D12" w:rsidP="00907D96">
      <w:pPr>
        <w:spacing w:before="240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Kansas City Cardiomyopathy Questionnaire (KCCQ)</w:t>
      </w:r>
    </w:p>
    <w:p w14:paraId="02A40627" w14:textId="080B87DC" w:rsidR="00E70D12" w:rsidRDefault="00E70D12" w:rsidP="00E70D12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E70D12">
        <w:rPr>
          <w:rFonts w:ascii="Times New Roman" w:hAnsi="Times New Roman" w:cs="Times New Roman"/>
          <w:bCs/>
          <w:sz w:val="24"/>
          <w:szCs w:val="24"/>
        </w:rPr>
        <w:t xml:space="preserve">KCCQ is a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validated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tool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measure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health-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4E97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="00CF4E97">
        <w:rPr>
          <w:rFonts w:ascii="Times New Roman" w:hAnsi="Times New Roman" w:cs="Times New Roman"/>
          <w:bCs/>
          <w:sz w:val="24"/>
          <w:szCs w:val="24"/>
        </w:rPr>
        <w:t xml:space="preserve"> of life (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QoL</w:t>
      </w:r>
      <w:proofErr w:type="spellEnd"/>
      <w:r w:rsidR="00CF4E97">
        <w:rPr>
          <w:rFonts w:ascii="Times New Roman" w:hAnsi="Times New Roman" w:cs="Times New Roman"/>
          <w:bCs/>
          <w:sz w:val="24"/>
          <w:szCs w:val="24"/>
        </w:rPr>
        <w:t>)</w:t>
      </w:r>
      <w:r w:rsidRPr="00E70D1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CF4E97">
        <w:rPr>
          <w:rFonts w:ascii="Times New Roman" w:hAnsi="Times New Roman" w:cs="Times New Roman"/>
          <w:bCs/>
          <w:sz w:val="24"/>
          <w:szCs w:val="24"/>
        </w:rPr>
        <w:t>heart</w:t>
      </w:r>
      <w:proofErr w:type="spellEnd"/>
      <w:r w:rsidR="00CF4E97">
        <w:rPr>
          <w:rFonts w:ascii="Times New Roman" w:hAnsi="Times New Roman" w:cs="Times New Roman"/>
          <w:bCs/>
          <w:sz w:val="24"/>
          <w:szCs w:val="24"/>
        </w:rPr>
        <w:t xml:space="preserve"> failure (</w:t>
      </w:r>
      <w:r w:rsidRPr="00E70D12">
        <w:rPr>
          <w:rFonts w:ascii="Times New Roman" w:hAnsi="Times New Roman" w:cs="Times New Roman"/>
          <w:bCs/>
          <w:sz w:val="24"/>
          <w:szCs w:val="24"/>
        </w:rPr>
        <w:t>HF</w:t>
      </w:r>
      <w:r w:rsidR="00CF4E97">
        <w:rPr>
          <w:rFonts w:ascii="Times New Roman" w:hAnsi="Times New Roman" w:cs="Times New Roman"/>
          <w:bCs/>
          <w:sz w:val="24"/>
          <w:szCs w:val="24"/>
        </w:rPr>
        <w:t>)</w:t>
      </w:r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patients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consisting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23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questions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exploring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patients’s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of life in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2 weeks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before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completion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. The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of these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questions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summarized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seven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domains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physical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limitations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due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HF,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symptom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stability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symptom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severity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symptom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frequency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self-efficacy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life,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limitation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) as well as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into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overall summary score (KCCQ-OS) </w:t>
      </w:r>
      <w:r w:rsidR="0001144E">
        <w:rPr>
          <w:rFonts w:ascii="Times New Roman" w:hAnsi="Times New Roman" w:cs="Times New Roman"/>
          <w:bCs/>
          <w:sz w:val="24"/>
          <w:szCs w:val="24"/>
        </w:rPr>
        <w:t>[</w:t>
      </w:r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Green CP, Porter CB,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Bresnahan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DR,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Spertus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JA</w:t>
      </w:r>
      <w:proofErr w:type="gram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Development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and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evaluation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of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the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Kansas City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Cardiomyopathy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Questionnaire: a new health status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measure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for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heart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failure. J Am Coll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Cardiol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2000;35(5):1245-55</w:t>
      </w:r>
      <w:r w:rsidR="0001144E">
        <w:rPr>
          <w:rFonts w:ascii="Times New Roman" w:hAnsi="Times New Roman" w:cs="Times New Roman"/>
          <w:bCs/>
          <w:sz w:val="24"/>
          <w:szCs w:val="24"/>
        </w:rPr>
        <w:t>].</w:t>
      </w:r>
      <w:r w:rsidRPr="00E70D12">
        <w:rPr>
          <w:rFonts w:ascii="Times New Roman" w:hAnsi="Times New Roman" w:cs="Times New Roman"/>
          <w:bCs/>
          <w:sz w:val="24"/>
          <w:szCs w:val="24"/>
        </w:rPr>
        <w:t xml:space="preserve"> Missing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values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within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each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domain are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assigned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average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answered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items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within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same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domain </w:t>
      </w:r>
      <w:r w:rsidR="0001144E">
        <w:rPr>
          <w:rFonts w:ascii="Times New Roman" w:hAnsi="Times New Roman" w:cs="Times New Roman"/>
          <w:bCs/>
          <w:sz w:val="24"/>
          <w:szCs w:val="24"/>
        </w:rPr>
        <w:t>[</w:t>
      </w:r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Green CP, Porter CB,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Bresnahan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DR,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Spertus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JA</w:t>
      </w:r>
      <w:proofErr w:type="gram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Development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and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evaluation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of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the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Kansas City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Cardiomyopathy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Questionnaire: a new health status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measure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for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heart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failure. J Am Coll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Cardiol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2000;35(5):1245-55</w:t>
      </w:r>
      <w:r w:rsidR="0001144E">
        <w:rPr>
          <w:rFonts w:ascii="Times New Roman" w:hAnsi="Times New Roman" w:cs="Times New Roman"/>
          <w:bCs/>
          <w:sz w:val="24"/>
          <w:szCs w:val="24"/>
        </w:rPr>
        <w:t>]</w:t>
      </w:r>
      <w:r w:rsidRPr="00E70D12">
        <w:rPr>
          <w:rFonts w:ascii="Times New Roman" w:hAnsi="Times New Roman" w:cs="Times New Roman"/>
          <w:bCs/>
          <w:sz w:val="24"/>
          <w:szCs w:val="24"/>
        </w:rPr>
        <w:t xml:space="preserve">. Overall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domain-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specific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scores range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0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100,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100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representing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best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QoL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status. A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difference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≥5 points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mean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scores is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traditionally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considered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clinically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meaningful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although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recent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evidence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pointed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out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even smaller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differences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may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relevant </w:t>
      </w:r>
      <w:r w:rsidR="0001144E">
        <w:rPr>
          <w:rFonts w:ascii="Times New Roman" w:hAnsi="Times New Roman" w:cs="Times New Roman"/>
          <w:bCs/>
          <w:sz w:val="24"/>
          <w:szCs w:val="24"/>
        </w:rPr>
        <w:t>[</w:t>
      </w:r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Butler J, Khan MS,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Mori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Filippatos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GS,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Ponikowski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Comin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-Colet J,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Roubert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Spertus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JA</w:t>
      </w:r>
      <w:proofErr w:type="gram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Anker SD.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Minimal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clinically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important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difference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in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quality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of life scores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for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patients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with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heart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failure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and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reduced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ejection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fraction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Eur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J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Heart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Fail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2020</w:t>
      </w:r>
      <w:r w:rsidR="0001144E">
        <w:rPr>
          <w:rFonts w:ascii="Times New Roman" w:hAnsi="Times New Roman" w:cs="Times New Roman"/>
          <w:bCs/>
          <w:sz w:val="24"/>
          <w:szCs w:val="24"/>
        </w:rPr>
        <w:t>].</w:t>
      </w:r>
    </w:p>
    <w:p w14:paraId="64E11883" w14:textId="2D7088FB" w:rsidR="0001144E" w:rsidRPr="0001144E" w:rsidRDefault="0001144E" w:rsidP="00E70D12">
      <w:pPr>
        <w:spacing w:before="24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01144E">
        <w:rPr>
          <w:rFonts w:ascii="Times New Roman" w:hAnsi="Times New Roman" w:cs="Times New Roman"/>
          <w:bCs/>
          <w:i/>
          <w:iCs/>
          <w:sz w:val="24"/>
          <w:szCs w:val="20"/>
        </w:rPr>
        <w:t>EuroQol</w:t>
      </w:r>
      <w:proofErr w:type="spellEnd"/>
      <w:r w:rsidRPr="0001144E">
        <w:rPr>
          <w:rFonts w:ascii="Times New Roman" w:hAnsi="Times New Roman" w:cs="Times New Roman"/>
          <w:bCs/>
          <w:i/>
          <w:iCs/>
          <w:sz w:val="24"/>
          <w:szCs w:val="20"/>
        </w:rPr>
        <w:t xml:space="preserve"> 5 </w:t>
      </w:r>
      <w:proofErr w:type="spellStart"/>
      <w:r w:rsidRPr="0001144E">
        <w:rPr>
          <w:rFonts w:ascii="Times New Roman" w:hAnsi="Times New Roman" w:cs="Times New Roman"/>
          <w:bCs/>
          <w:i/>
          <w:iCs/>
          <w:sz w:val="24"/>
          <w:szCs w:val="20"/>
        </w:rPr>
        <w:t>dimensions</w:t>
      </w:r>
      <w:proofErr w:type="spellEnd"/>
      <w:r w:rsidRPr="0001144E">
        <w:rPr>
          <w:rFonts w:ascii="Times New Roman" w:hAnsi="Times New Roman" w:cs="Times New Roman"/>
          <w:bCs/>
          <w:i/>
          <w:iCs/>
          <w:sz w:val="24"/>
          <w:szCs w:val="20"/>
        </w:rPr>
        <w:t xml:space="preserve"> questionnaire</w:t>
      </w:r>
      <w:r>
        <w:rPr>
          <w:rFonts w:ascii="Times New Roman" w:hAnsi="Times New Roman" w:cs="Times New Roman"/>
          <w:bCs/>
          <w:i/>
          <w:iCs/>
          <w:sz w:val="24"/>
          <w:szCs w:val="20"/>
        </w:rPr>
        <w:t xml:space="preserve"> (EQ-5D)</w:t>
      </w:r>
    </w:p>
    <w:p w14:paraId="0793161D" w14:textId="68DCA5AF" w:rsidR="00E70D12" w:rsidRPr="0001144E" w:rsidRDefault="00E70D12" w:rsidP="00907D96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E70D12">
        <w:rPr>
          <w:rFonts w:ascii="Times New Roman" w:hAnsi="Times New Roman" w:cs="Times New Roman"/>
          <w:bCs/>
          <w:sz w:val="24"/>
          <w:szCs w:val="24"/>
        </w:rPr>
        <w:t xml:space="preserve">EQ-5D is a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standardized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measure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health status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developed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EuroQol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Group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provide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generic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generalizable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measure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QoL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44E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Dyer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MT,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Goldsmith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KA,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Sharples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LS,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Buxton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MJ. </w:t>
      </w:r>
      <w:proofErr w:type="gram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A review</w:t>
      </w:r>
      <w:proofErr w:type="gram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of health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utilities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using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the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EQ-5D in studies of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cardiovascular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disease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Health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Qual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Life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Outcomes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2010;8:13</w:t>
      </w:r>
      <w:proofErr w:type="gramEnd"/>
      <w:r w:rsidR="0001144E">
        <w:rPr>
          <w:rFonts w:ascii="Times New Roman" w:hAnsi="Times New Roman" w:cs="Times New Roman"/>
          <w:bCs/>
          <w:sz w:val="24"/>
          <w:szCs w:val="24"/>
        </w:rPr>
        <w:t>].</w:t>
      </w:r>
      <w:r w:rsidRPr="00E70D12">
        <w:rPr>
          <w:rFonts w:ascii="Times New Roman" w:hAnsi="Times New Roman" w:cs="Times New Roman"/>
          <w:bCs/>
          <w:sz w:val="24"/>
          <w:szCs w:val="24"/>
        </w:rPr>
        <w:t xml:space="preserve"> The EQ-5D</w:t>
      </w:r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explores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patients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of life in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of questionnaire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completion</w:t>
      </w:r>
      <w:proofErr w:type="spellEnd"/>
      <w:r w:rsidR="0005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3A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includes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descriptive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part,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consisting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five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dimensions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mobility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self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-care,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usual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activity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pain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/discomfort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anxiety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depression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three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levels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each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Two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hundred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forty-three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health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states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defined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represent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combinations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individual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answers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these five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questions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each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health state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converted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into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a single summary index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called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‘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utility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score’ (EQ-5D US)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based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on country-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specific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value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70D12">
        <w:rPr>
          <w:rFonts w:ascii="Times New Roman" w:hAnsi="Times New Roman" w:cs="Times New Roman"/>
          <w:bCs/>
          <w:sz w:val="24"/>
          <w:szCs w:val="24"/>
        </w:rPr>
        <w:t>sets .</w:t>
      </w:r>
      <w:proofErr w:type="gram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United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Kingdom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value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set,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obtained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time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trade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-off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was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44E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Dolan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P.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Modeling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valuations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for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EuroQol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health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states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proofErr w:type="spellStart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>Med</w:t>
      </w:r>
      <w:proofErr w:type="spellEnd"/>
      <w:r w:rsidR="0001144E" w:rsidRPr="000114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Care 1997;35(11):1095-108</w:t>
      </w:r>
      <w:r w:rsidR="0001144E">
        <w:rPr>
          <w:rFonts w:ascii="Times New Roman" w:hAnsi="Times New Roman" w:cs="Times New Roman"/>
          <w:bCs/>
          <w:sz w:val="24"/>
          <w:szCs w:val="24"/>
        </w:rPr>
        <w:t>]</w:t>
      </w:r>
      <w:r w:rsidRPr="00E70D12">
        <w:rPr>
          <w:rFonts w:ascii="Times New Roman" w:hAnsi="Times New Roman" w:cs="Times New Roman"/>
          <w:bCs/>
          <w:sz w:val="24"/>
          <w:szCs w:val="24"/>
        </w:rPr>
        <w:t xml:space="preserve">. EQ-5D US is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measured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on a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cardinal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scale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0–1: 1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indicates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perfect health, 0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indicates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QoL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status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comparable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death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negative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values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EQ-5D </w:t>
      </w:r>
      <w:proofErr w:type="gramStart"/>
      <w:r w:rsidRPr="00E70D12">
        <w:rPr>
          <w:rFonts w:ascii="Times New Roman" w:hAnsi="Times New Roman" w:cs="Times New Roman"/>
          <w:bCs/>
          <w:sz w:val="24"/>
          <w:szCs w:val="24"/>
        </w:rPr>
        <w:t>US are</w:t>
      </w:r>
      <w:proofErr w:type="gram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suggest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states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considered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worse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than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death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. A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distinct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part of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EQ-5D is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visual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analogue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scale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(VAS).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Respondents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asked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mark a single point on a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vertical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scale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represents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health status on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completion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. The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scale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extends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0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100,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100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representing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best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D12">
        <w:rPr>
          <w:rFonts w:ascii="Times New Roman" w:hAnsi="Times New Roman" w:cs="Times New Roman"/>
          <w:bCs/>
          <w:sz w:val="24"/>
          <w:szCs w:val="24"/>
        </w:rPr>
        <w:t>QoL</w:t>
      </w:r>
      <w:proofErr w:type="spellEnd"/>
      <w:r w:rsidRPr="00E70D12">
        <w:rPr>
          <w:rFonts w:ascii="Times New Roman" w:hAnsi="Times New Roman" w:cs="Times New Roman"/>
          <w:bCs/>
          <w:sz w:val="24"/>
          <w:szCs w:val="24"/>
        </w:rPr>
        <w:t xml:space="preserve"> status.</w:t>
      </w:r>
    </w:p>
    <w:p w14:paraId="263E8A3E" w14:textId="7FB96CE2" w:rsidR="00907D96" w:rsidRPr="00907D96" w:rsidRDefault="00907D96" w:rsidP="00907D96">
      <w:pPr>
        <w:spacing w:before="240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907D9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BIOSTAT-CHF risk models</w:t>
      </w:r>
    </w:p>
    <w:p w14:paraId="4277BFBF" w14:textId="77777777" w:rsidR="00557B55" w:rsidRDefault="00907D96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 w:rsidRPr="00BD0B78">
        <w:rPr>
          <w:rFonts w:ascii="Times New Roman" w:hAnsi="Times New Roman" w:cs="Times New Roman"/>
          <w:sz w:val="24"/>
        </w:rPr>
        <w:t xml:space="preserve">BIOSTAT-CHF model </w:t>
      </w:r>
      <w:proofErr w:type="spellStart"/>
      <w:r w:rsidRPr="00BD0B78">
        <w:rPr>
          <w:rFonts w:ascii="Times New Roman" w:hAnsi="Times New Roman" w:cs="Times New Roman"/>
          <w:sz w:val="24"/>
        </w:rPr>
        <w:t>for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all-cause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death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</w:rPr>
        <w:t>one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year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includ</w:t>
      </w:r>
      <w:r>
        <w:rPr>
          <w:rFonts w:ascii="Times New Roman" w:hAnsi="Times New Roman" w:cs="Times New Roman"/>
          <w:sz w:val="24"/>
        </w:rPr>
        <w:t>es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age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blood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urea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nitrogen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bookmarkStart w:id="2" w:name="_Hlk48124275"/>
      <w:r w:rsidRPr="00BD0B78">
        <w:rPr>
          <w:rFonts w:ascii="Times New Roman" w:hAnsi="Times New Roman" w:cs="Times New Roman"/>
          <w:sz w:val="24"/>
          <w:szCs w:val="24"/>
        </w:rPr>
        <w:t xml:space="preserve">N-terminal pro-B-type </w:t>
      </w:r>
      <w:proofErr w:type="spellStart"/>
      <w:r w:rsidRPr="00BD0B78">
        <w:rPr>
          <w:rFonts w:ascii="Times New Roman" w:hAnsi="Times New Roman" w:cs="Times New Roman"/>
          <w:sz w:val="24"/>
          <w:szCs w:val="24"/>
        </w:rPr>
        <w:t>natriuretic</w:t>
      </w:r>
      <w:proofErr w:type="spellEnd"/>
      <w:r w:rsidRPr="00BD0B78">
        <w:rPr>
          <w:rFonts w:ascii="Times New Roman" w:hAnsi="Times New Roman" w:cs="Times New Roman"/>
          <w:sz w:val="24"/>
          <w:szCs w:val="24"/>
        </w:rPr>
        <w:t xml:space="preserve"> peptide</w:t>
      </w:r>
      <w:r w:rsidRPr="00BD0B78">
        <w:rPr>
          <w:rFonts w:ascii="Times New Roman" w:hAnsi="Times New Roman" w:cs="Times New Roman"/>
          <w:sz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</w:rPr>
        <w:t>(</w:t>
      </w:r>
      <w:proofErr w:type="spellStart"/>
      <w:r w:rsidRPr="00BD0B78">
        <w:rPr>
          <w:rFonts w:ascii="Times New Roman" w:hAnsi="Times New Roman" w:cs="Times New Roman"/>
          <w:sz w:val="24"/>
        </w:rPr>
        <w:t>NT-proBNP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hemoglobin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and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the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use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of </w:t>
      </w:r>
      <w:r>
        <w:rPr>
          <w:rFonts w:ascii="Times New Roman" w:hAnsi="Times New Roman" w:cs="Times New Roman"/>
          <w:sz w:val="24"/>
        </w:rPr>
        <w:t>β</w:t>
      </w:r>
      <w:r w:rsidRPr="00BD0B78">
        <w:rPr>
          <w:rFonts w:ascii="Times New Roman" w:hAnsi="Times New Roman" w:cs="Times New Roman"/>
          <w:sz w:val="24"/>
        </w:rPr>
        <w:t>-</w:t>
      </w:r>
      <w:proofErr w:type="spellStart"/>
      <w:r w:rsidRPr="00BD0B78">
        <w:rPr>
          <w:rFonts w:ascii="Times New Roman" w:hAnsi="Times New Roman" w:cs="Times New Roman"/>
          <w:sz w:val="24"/>
        </w:rPr>
        <w:t>blockers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at baseline</w:t>
      </w:r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D0B78">
        <w:rPr>
          <w:rFonts w:ascii="Times New Roman" w:hAnsi="Times New Roman" w:cs="Times New Roman"/>
          <w:sz w:val="24"/>
        </w:rPr>
        <w:t xml:space="preserve"> BIOSTAT-CHF model </w:t>
      </w:r>
      <w:proofErr w:type="spellStart"/>
      <w:r w:rsidRPr="00BD0B78">
        <w:rPr>
          <w:rFonts w:ascii="Times New Roman" w:hAnsi="Times New Roman" w:cs="Times New Roman"/>
          <w:sz w:val="24"/>
        </w:rPr>
        <w:t>for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HF</w:t>
      </w:r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hospitalization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</w:rPr>
        <w:t>one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year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includes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age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HF</w:t>
      </w:r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hospitalization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D0B78">
        <w:rPr>
          <w:rFonts w:ascii="Times New Roman" w:hAnsi="Times New Roman" w:cs="Times New Roman"/>
          <w:sz w:val="24"/>
        </w:rPr>
        <w:t>previous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year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systolic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blood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pressure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presence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D0B78">
        <w:rPr>
          <w:rFonts w:ascii="Times New Roman" w:hAnsi="Times New Roman" w:cs="Times New Roman"/>
          <w:sz w:val="24"/>
        </w:rPr>
        <w:t>peripheral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edema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and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glomerular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filtration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rate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at baseline</w:t>
      </w:r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D0B78">
        <w:rPr>
          <w:rFonts w:ascii="Times New Roman" w:hAnsi="Times New Roman" w:cs="Times New Roman"/>
          <w:sz w:val="24"/>
        </w:rPr>
        <w:t xml:space="preserve">BIOSTAT-CHF model </w:t>
      </w:r>
      <w:proofErr w:type="spellStart"/>
      <w:r w:rsidRPr="00BD0B78">
        <w:rPr>
          <w:rFonts w:ascii="Times New Roman" w:hAnsi="Times New Roman" w:cs="Times New Roman"/>
          <w:sz w:val="24"/>
        </w:rPr>
        <w:t>for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all-cause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death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and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/or </w:t>
      </w:r>
      <w:r>
        <w:rPr>
          <w:rFonts w:ascii="Times New Roman" w:hAnsi="Times New Roman" w:cs="Times New Roman"/>
          <w:sz w:val="24"/>
        </w:rPr>
        <w:t>HF</w:t>
      </w:r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hospitalization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 at </w:t>
      </w:r>
      <w:proofErr w:type="spellStart"/>
      <w:r>
        <w:rPr>
          <w:rFonts w:ascii="Times New Roman" w:hAnsi="Times New Roman" w:cs="Times New Roman"/>
          <w:sz w:val="24"/>
        </w:rPr>
        <w:t>one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year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includes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age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HF</w:t>
      </w:r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hospitalization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D0B78">
        <w:rPr>
          <w:rFonts w:ascii="Times New Roman" w:hAnsi="Times New Roman" w:cs="Times New Roman"/>
          <w:sz w:val="24"/>
        </w:rPr>
        <w:t>previous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year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systolic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blood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pressure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presence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D0B78">
        <w:rPr>
          <w:rFonts w:ascii="Times New Roman" w:hAnsi="Times New Roman" w:cs="Times New Roman"/>
          <w:sz w:val="24"/>
        </w:rPr>
        <w:t>peripheral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edema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NT-proBNP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hemoglobin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sodium</w:t>
      </w:r>
      <w:proofErr w:type="spellEnd"/>
      <w:r w:rsidRPr="00BD0B78">
        <w:rPr>
          <w:rFonts w:ascii="Times New Roman" w:hAnsi="Times New Roman" w:cs="Times New Roman"/>
          <w:sz w:val="24"/>
        </w:rPr>
        <w:t>, high-</w:t>
      </w:r>
      <w:proofErr w:type="spellStart"/>
      <w:r w:rsidRPr="00BD0B78">
        <w:rPr>
          <w:rFonts w:ascii="Times New Roman" w:hAnsi="Times New Roman" w:cs="Times New Roman"/>
          <w:sz w:val="24"/>
        </w:rPr>
        <w:t>density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lipoprotein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B78">
        <w:rPr>
          <w:rFonts w:ascii="Times New Roman" w:hAnsi="Times New Roman" w:cs="Times New Roman"/>
          <w:sz w:val="24"/>
        </w:rPr>
        <w:t>and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the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use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of </w:t>
      </w:r>
      <w:r>
        <w:rPr>
          <w:rFonts w:ascii="Times New Roman" w:hAnsi="Times New Roman" w:cs="Times New Roman"/>
          <w:sz w:val="24"/>
        </w:rPr>
        <w:t>β</w:t>
      </w:r>
      <w:r w:rsidRPr="00BD0B78">
        <w:rPr>
          <w:rFonts w:ascii="Times New Roman" w:hAnsi="Times New Roman" w:cs="Times New Roman"/>
          <w:sz w:val="24"/>
        </w:rPr>
        <w:t>-</w:t>
      </w:r>
      <w:proofErr w:type="spellStart"/>
      <w:r w:rsidRPr="00BD0B78">
        <w:rPr>
          <w:rFonts w:ascii="Times New Roman" w:hAnsi="Times New Roman" w:cs="Times New Roman"/>
          <w:sz w:val="24"/>
        </w:rPr>
        <w:t>blockers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at baseline</w:t>
      </w:r>
      <w:r w:rsidR="0001144E">
        <w:rPr>
          <w:rFonts w:ascii="Times New Roman" w:hAnsi="Times New Roman" w:cs="Times New Roman"/>
          <w:sz w:val="24"/>
        </w:rPr>
        <w:t xml:space="preserve"> [</w:t>
      </w:r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Voors AA, Ouwerkerk W, Zannad F, van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Veldhuisen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DJ,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Samani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NJ,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Ponikowski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P,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Ng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LL, Metra M, Ter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Maaten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JM, Lang CC,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Hillege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HL, van der Harst P,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Filippatos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G,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Dickstein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K, Cleland JG, Anker SD,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Zwinderman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AH.</w:t>
      </w:r>
      <w:proofErr w:type="gram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Development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and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validation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of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multivariable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models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to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predict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mortality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and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hospitalization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in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patients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with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heart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failure.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Eur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J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Heart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1144E" w:rsidRPr="0001144E">
        <w:rPr>
          <w:rFonts w:ascii="Times New Roman" w:hAnsi="Times New Roman" w:cs="Times New Roman"/>
          <w:color w:val="FF0000"/>
          <w:sz w:val="24"/>
        </w:rPr>
        <w:t>Fail</w:t>
      </w:r>
      <w:proofErr w:type="spellEnd"/>
      <w:r w:rsidR="0001144E" w:rsidRPr="0001144E">
        <w:rPr>
          <w:rFonts w:ascii="Times New Roman" w:hAnsi="Times New Roman" w:cs="Times New Roman"/>
          <w:color w:val="FF0000"/>
          <w:sz w:val="24"/>
        </w:rPr>
        <w:t xml:space="preserve"> 2017;19(5):627-634</w:t>
      </w:r>
      <w:r w:rsidR="0001144E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7A9AAAAB" w14:textId="1F04CA3A" w:rsidR="005B548D" w:rsidRDefault="005B548D">
      <w:p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Shift analysis</w:t>
      </w:r>
    </w:p>
    <w:p w14:paraId="15CEE44C" w14:textId="3191E407" w:rsidR="005B548D" w:rsidRDefault="005B548D">
      <w:p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D018C6">
        <w:rPr>
          <w:rFonts w:ascii="Times New Roman" w:hAnsi="Times New Roman" w:cs="Times New Roman"/>
          <w:sz w:val="24"/>
          <w:szCs w:val="28"/>
          <w:lang w:val="en-US"/>
        </w:rPr>
        <w:t>istributions of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baseline and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three-months</w:t>
      </w:r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CF4E97" w:rsidRPr="00510FD8">
        <w:rPr>
          <w:rFonts w:ascii="Times New Roman" w:hAnsi="Times New Roman" w:cs="Times New Roman"/>
          <w:sz w:val="24"/>
          <w:szCs w:val="28"/>
        </w:rPr>
        <w:t>angiotensin-converting</w:t>
      </w:r>
      <w:proofErr w:type="spellEnd"/>
      <w:r w:rsidR="00CF4E97" w:rsidRPr="00510F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F4E97" w:rsidRPr="00510FD8">
        <w:rPr>
          <w:rFonts w:ascii="Times New Roman" w:hAnsi="Times New Roman" w:cs="Times New Roman"/>
          <w:sz w:val="24"/>
          <w:szCs w:val="28"/>
        </w:rPr>
        <w:t>enzyme</w:t>
      </w:r>
      <w:proofErr w:type="spellEnd"/>
      <w:r w:rsidR="00CF4E97" w:rsidRPr="00510FD8">
        <w:rPr>
          <w:rFonts w:ascii="Times New Roman" w:hAnsi="Times New Roman" w:cs="Times New Roman"/>
          <w:sz w:val="24"/>
          <w:szCs w:val="28"/>
        </w:rPr>
        <w:t xml:space="preserve"> inhibitors (</w:t>
      </w:r>
      <w:proofErr w:type="spellStart"/>
      <w:r w:rsidR="00CF4E97" w:rsidRPr="00510FD8">
        <w:rPr>
          <w:rFonts w:ascii="Times New Roman" w:hAnsi="Times New Roman" w:cs="Times New Roman"/>
          <w:sz w:val="24"/>
          <w:szCs w:val="28"/>
        </w:rPr>
        <w:t>ACEi</w:t>
      </w:r>
      <w:proofErr w:type="spellEnd"/>
      <w:r w:rsidR="00CF4E97" w:rsidRPr="00510FD8">
        <w:rPr>
          <w:rFonts w:ascii="Times New Roman" w:hAnsi="Times New Roman" w:cs="Times New Roman"/>
          <w:sz w:val="24"/>
          <w:szCs w:val="28"/>
        </w:rPr>
        <w:t xml:space="preserve">) or </w:t>
      </w:r>
      <w:proofErr w:type="spellStart"/>
      <w:r w:rsidR="00CF4E97" w:rsidRPr="00510FD8">
        <w:rPr>
          <w:rFonts w:ascii="Times New Roman" w:hAnsi="Times New Roman" w:cs="Times New Roman"/>
          <w:sz w:val="24"/>
          <w:szCs w:val="28"/>
        </w:rPr>
        <w:t>angiotensin</w:t>
      </w:r>
      <w:proofErr w:type="spellEnd"/>
      <w:r w:rsidR="00CF4E97" w:rsidRPr="00510FD8">
        <w:rPr>
          <w:rFonts w:ascii="Times New Roman" w:hAnsi="Times New Roman" w:cs="Times New Roman"/>
          <w:sz w:val="24"/>
          <w:szCs w:val="28"/>
        </w:rPr>
        <w:t xml:space="preserve"> receptor </w:t>
      </w:r>
      <w:proofErr w:type="spellStart"/>
      <w:r w:rsidR="00CF4E97" w:rsidRPr="00510FD8">
        <w:rPr>
          <w:rFonts w:ascii="Times New Roman" w:hAnsi="Times New Roman" w:cs="Times New Roman"/>
          <w:sz w:val="24"/>
          <w:szCs w:val="28"/>
        </w:rPr>
        <w:t>blockers</w:t>
      </w:r>
      <w:proofErr w:type="spellEnd"/>
      <w:r w:rsidR="00CF4E97" w:rsidRPr="00510FD8">
        <w:rPr>
          <w:rFonts w:ascii="Times New Roman" w:hAnsi="Times New Roman" w:cs="Times New Roman"/>
          <w:sz w:val="24"/>
          <w:szCs w:val="28"/>
        </w:rPr>
        <w:t xml:space="preserve"> (ARB) </w:t>
      </w:r>
      <w:proofErr w:type="spellStart"/>
      <w:r w:rsidR="00CF4E97" w:rsidRPr="00510FD8">
        <w:rPr>
          <w:rFonts w:ascii="Times New Roman" w:hAnsi="Times New Roman" w:cs="Times New Roman"/>
          <w:sz w:val="24"/>
          <w:szCs w:val="28"/>
        </w:rPr>
        <w:t>and</w:t>
      </w:r>
      <w:proofErr w:type="spellEnd"/>
      <w:r w:rsidR="00CF4E97" w:rsidRPr="00510F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F4E97" w:rsidRPr="00510FD8">
        <w:rPr>
          <w:rFonts w:ascii="Times New Roman" w:hAnsi="Times New Roman" w:cs="Times New Roman"/>
          <w:sz w:val="24"/>
          <w:szCs w:val="28"/>
        </w:rPr>
        <w:t>beta-blockers</w:t>
      </w:r>
      <w:proofErr w:type="spellEnd"/>
      <w:r w:rsidR="00CF4E9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doses</w:t>
      </w:r>
      <w:r w:rsidR="00CF4E97">
        <w:rPr>
          <w:rFonts w:ascii="Times New Roman" w:hAnsi="Times New Roman" w:cs="Times New Roman"/>
          <w:sz w:val="24"/>
          <w:szCs w:val="28"/>
          <w:lang w:val="en-US"/>
        </w:rPr>
        <w:t>,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and </w:t>
      </w:r>
      <w:r w:rsidR="00CF4E97">
        <w:rPr>
          <w:rFonts w:ascii="Times New Roman" w:hAnsi="Times New Roman" w:cs="Times New Roman"/>
          <w:sz w:val="24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baseline-to-nine-months variation in KCCQ-OS were also computed </w:t>
      </w:r>
      <w:r w:rsidRPr="00D018C6">
        <w:rPr>
          <w:rFonts w:ascii="Times New Roman" w:hAnsi="Times New Roman" w:cs="Times New Roman"/>
          <w:sz w:val="24"/>
          <w:szCs w:val="28"/>
          <w:lang w:val="en-US"/>
        </w:rPr>
        <w:t>using the Harrell–Davis estimate of the deciles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and compared using the Kolmogorov-Smirnov test</w:t>
      </w:r>
      <w:r w:rsidRPr="00D018C6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8"/>
          <w:lang w:val="en-US"/>
        </w:rPr>
        <w:t>A shift</w:t>
      </w:r>
      <w:r w:rsidRPr="00D018C6">
        <w:rPr>
          <w:rFonts w:ascii="Times New Roman" w:hAnsi="Times New Roman" w:cs="Times New Roman"/>
          <w:sz w:val="24"/>
          <w:szCs w:val="28"/>
          <w:lang w:val="en-US"/>
        </w:rPr>
        <w:t xml:space="preserve"> function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proofErr w:type="spellStart"/>
      <w:r w:rsidRPr="005B548D">
        <w:rPr>
          <w:rFonts w:ascii="Courier New" w:hAnsi="Courier New" w:cs="Courier New"/>
          <w:sz w:val="24"/>
          <w:szCs w:val="28"/>
          <w:lang w:val="en-US"/>
        </w:rPr>
        <w:t>shifthd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was used</w:t>
      </w:r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D018C6">
        <w:rPr>
          <w:rFonts w:ascii="Times New Roman" w:hAnsi="Times New Roman" w:cs="Times New Roman"/>
          <w:sz w:val="24"/>
          <w:szCs w:val="28"/>
          <w:lang w:val="en-US"/>
        </w:rPr>
        <w:t xml:space="preserve">to quantify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sex </w:t>
      </w:r>
      <w:r w:rsidRPr="00D018C6">
        <w:rPr>
          <w:rFonts w:ascii="Times New Roman" w:hAnsi="Times New Roman" w:cs="Times New Roman"/>
          <w:sz w:val="24"/>
          <w:szCs w:val="28"/>
          <w:lang w:val="en-US"/>
        </w:rPr>
        <w:t xml:space="preserve">differences between deciles of </w:t>
      </w:r>
      <w:r>
        <w:rPr>
          <w:rFonts w:ascii="Times New Roman" w:hAnsi="Times New Roman" w:cs="Times New Roman"/>
          <w:sz w:val="24"/>
          <w:szCs w:val="28"/>
          <w:lang w:val="en-US"/>
        </w:rPr>
        <w:t>these</w:t>
      </w:r>
      <w:r w:rsidRPr="00D018C6">
        <w:rPr>
          <w:rFonts w:ascii="Times New Roman" w:hAnsi="Times New Roman" w:cs="Times New Roman"/>
          <w:sz w:val="24"/>
          <w:szCs w:val="28"/>
          <w:lang w:val="en-US"/>
        </w:rPr>
        <w:t xml:space="preserve"> distributions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Pr="00D018C6">
        <w:rPr>
          <w:rFonts w:ascii="Times New Roman" w:hAnsi="Times New Roman" w:cs="Times New Roman"/>
          <w:sz w:val="24"/>
          <w:szCs w:val="28"/>
          <w:lang w:val="en-US"/>
        </w:rPr>
        <w:t>along with 95% percentile bootstrap confidence intervals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(CI) with 200 samples [</w:t>
      </w:r>
      <w:r w:rsidRPr="005B548D">
        <w:rPr>
          <w:rFonts w:ascii="Times New Roman" w:hAnsi="Times New Roman" w:cs="Times New Roman"/>
          <w:color w:val="FF0000"/>
          <w:sz w:val="24"/>
          <w:szCs w:val="28"/>
          <w:lang w:val="en-US"/>
        </w:rPr>
        <w:t xml:space="preserve">Wilcox RR. Introduction to robust estimation and hypothesis testing. 3rd ed. </w:t>
      </w:r>
      <w:proofErr w:type="gramStart"/>
      <w:r w:rsidRPr="005B548D">
        <w:rPr>
          <w:rFonts w:ascii="Times New Roman" w:hAnsi="Times New Roman" w:cs="Times New Roman"/>
          <w:color w:val="FF0000"/>
          <w:sz w:val="24"/>
          <w:szCs w:val="28"/>
          <w:lang w:val="en-US"/>
        </w:rPr>
        <w:t>Amsterdam ;</w:t>
      </w:r>
      <w:proofErr w:type="gramEnd"/>
      <w:r w:rsidRPr="005B548D">
        <w:rPr>
          <w:rFonts w:ascii="Times New Roman" w:hAnsi="Times New Roman" w:cs="Times New Roman"/>
          <w:color w:val="FF0000"/>
          <w:sz w:val="24"/>
          <w:szCs w:val="28"/>
          <w:lang w:val="en-US"/>
        </w:rPr>
        <w:t xml:space="preserve"> Boston: Academic Press; 2012</w:t>
      </w:r>
      <w:r>
        <w:rPr>
          <w:rFonts w:ascii="Times New Roman" w:hAnsi="Times New Roman" w:cs="Times New Roman"/>
          <w:sz w:val="24"/>
          <w:szCs w:val="28"/>
          <w:lang w:val="en-US"/>
        </w:rPr>
        <w:t>].</w:t>
      </w:r>
    </w:p>
    <w:p w14:paraId="43509BB7" w14:textId="4FE761AB" w:rsidR="00557B55" w:rsidRPr="00557B55" w:rsidRDefault="00557B55">
      <w:p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N</w:t>
      </w:r>
      <w:r w:rsidRPr="00557B55">
        <w:rPr>
          <w:rFonts w:ascii="Times New Roman" w:hAnsi="Times New Roman" w:cs="Times New Roman"/>
          <w:i/>
          <w:iCs/>
          <w:sz w:val="24"/>
        </w:rPr>
        <w:t xml:space="preserve">et </w:t>
      </w:r>
      <w:proofErr w:type="spellStart"/>
      <w:r w:rsidRPr="00557B55">
        <w:rPr>
          <w:rFonts w:ascii="Times New Roman" w:hAnsi="Times New Roman" w:cs="Times New Roman"/>
          <w:i/>
          <w:iCs/>
          <w:sz w:val="24"/>
        </w:rPr>
        <w:t>reclassification</w:t>
      </w:r>
      <w:proofErr w:type="spellEnd"/>
      <w:r w:rsidRPr="00557B5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i/>
          <w:iCs/>
          <w:sz w:val="24"/>
        </w:rPr>
        <w:t>improvement</w:t>
      </w:r>
      <w:proofErr w:type="spellEnd"/>
      <w:r w:rsidRPr="00557B55">
        <w:rPr>
          <w:rFonts w:ascii="Times New Roman" w:hAnsi="Times New Roman" w:cs="Times New Roman"/>
          <w:i/>
          <w:iCs/>
          <w:sz w:val="24"/>
        </w:rPr>
        <w:t xml:space="preserve"> (NRI)</w:t>
      </w:r>
    </w:p>
    <w:p w14:paraId="14A159FD" w14:textId="77777777" w:rsidR="00557B55" w:rsidRDefault="00557B55">
      <w:pPr>
        <w:rPr>
          <w:rFonts w:ascii="Times New Roman" w:hAnsi="Times New Roman" w:cs="Times New Roman"/>
          <w:sz w:val="24"/>
        </w:rPr>
      </w:pPr>
      <w:r w:rsidRPr="00557B55">
        <w:rPr>
          <w:rFonts w:ascii="Times New Roman" w:hAnsi="Times New Roman" w:cs="Times New Roman"/>
          <w:sz w:val="24"/>
        </w:rPr>
        <w:t xml:space="preserve">We </w:t>
      </w:r>
      <w:proofErr w:type="spellStart"/>
      <w:r w:rsidRPr="00557B55">
        <w:rPr>
          <w:rFonts w:ascii="Times New Roman" w:hAnsi="Times New Roman" w:cs="Times New Roman"/>
          <w:sz w:val="24"/>
        </w:rPr>
        <w:t>analysed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reclassification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improvement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with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categorical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NRI, </w:t>
      </w:r>
      <w:proofErr w:type="spellStart"/>
      <w:r w:rsidRPr="00557B55">
        <w:rPr>
          <w:rFonts w:ascii="Times New Roman" w:hAnsi="Times New Roman" w:cs="Times New Roman"/>
          <w:sz w:val="24"/>
        </w:rPr>
        <w:t>defining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the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risk </w:t>
      </w:r>
      <w:proofErr w:type="spellStart"/>
      <w:r w:rsidRPr="00557B55">
        <w:rPr>
          <w:rFonts w:ascii="Times New Roman" w:hAnsi="Times New Roman" w:cs="Times New Roman"/>
          <w:sz w:val="24"/>
        </w:rPr>
        <w:t>categories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557B55">
        <w:rPr>
          <w:rFonts w:ascii="Times New Roman" w:hAnsi="Times New Roman" w:cs="Times New Roman"/>
          <w:sz w:val="24"/>
        </w:rPr>
        <w:t>tertiles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57B55">
        <w:rPr>
          <w:rFonts w:ascii="Times New Roman" w:hAnsi="Times New Roman" w:cs="Times New Roman"/>
          <w:sz w:val="24"/>
        </w:rPr>
        <w:t>annual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risk of </w:t>
      </w:r>
      <w:proofErr w:type="spellStart"/>
      <w:r w:rsidRPr="00557B55">
        <w:rPr>
          <w:rFonts w:ascii="Times New Roman" w:hAnsi="Times New Roman" w:cs="Times New Roman"/>
          <w:sz w:val="24"/>
        </w:rPr>
        <w:t>each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event (i.e. </w:t>
      </w:r>
      <w:proofErr w:type="spellStart"/>
      <w:r w:rsidRPr="00557B55">
        <w:rPr>
          <w:rFonts w:ascii="Times New Roman" w:hAnsi="Times New Roman" w:cs="Times New Roman"/>
          <w:sz w:val="24"/>
        </w:rPr>
        <w:t>mortality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, HF </w:t>
      </w:r>
      <w:proofErr w:type="spellStart"/>
      <w:r w:rsidRPr="00557B55">
        <w:rPr>
          <w:rFonts w:ascii="Times New Roman" w:hAnsi="Times New Roman" w:cs="Times New Roman"/>
          <w:sz w:val="24"/>
        </w:rPr>
        <w:t>hospitalization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and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the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composite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endpoint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) in </w:t>
      </w:r>
      <w:proofErr w:type="spellStart"/>
      <w:r w:rsidRPr="00557B55">
        <w:rPr>
          <w:rFonts w:ascii="Times New Roman" w:hAnsi="Times New Roman" w:cs="Times New Roman"/>
          <w:sz w:val="24"/>
        </w:rPr>
        <w:t>our</w:t>
      </w:r>
      <w:proofErr w:type="spellEnd"/>
      <w:r w:rsidRPr="00557B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B55">
        <w:rPr>
          <w:rFonts w:ascii="Times New Roman" w:hAnsi="Times New Roman" w:cs="Times New Roman"/>
          <w:sz w:val="24"/>
        </w:rPr>
        <w:t>population</w:t>
      </w:r>
      <w:proofErr w:type="spellEnd"/>
      <w:r w:rsidRPr="00557B55">
        <w:rPr>
          <w:rFonts w:ascii="Times New Roman" w:hAnsi="Times New Roman" w:cs="Times New Roman"/>
          <w:sz w:val="24"/>
        </w:rPr>
        <w:t>.</w:t>
      </w:r>
    </w:p>
    <w:p w14:paraId="6A2DCD7B" w14:textId="613DA2F4" w:rsidR="00907D96" w:rsidRPr="00557B55" w:rsidRDefault="00907D96">
      <w:pPr>
        <w:rPr>
          <w:rFonts w:ascii="Times New Roman" w:hAnsi="Times New Roman" w:cs="Times New Roman"/>
          <w:sz w:val="24"/>
        </w:rPr>
      </w:pPr>
      <w:r w:rsidRPr="00557B55">
        <w:rPr>
          <w:rFonts w:ascii="Times New Roman" w:hAnsi="Times New Roman" w:cs="Times New Roman"/>
          <w:sz w:val="24"/>
        </w:rPr>
        <w:br w:type="page"/>
      </w:r>
    </w:p>
    <w:p w14:paraId="0928B0DA" w14:textId="6D660434" w:rsidR="00323B9C" w:rsidRPr="00323B9C" w:rsidRDefault="00323B9C" w:rsidP="00323B9C">
      <w:pPr>
        <w:rPr>
          <w:rFonts w:ascii="Times New Roman" w:hAnsi="Times New Roman" w:cs="Times New Roman"/>
          <w:bCs/>
          <w:lang w:val="en-US"/>
        </w:rPr>
      </w:pPr>
      <w:r w:rsidRPr="00323B9C">
        <w:rPr>
          <w:rFonts w:ascii="Times New Roman" w:hAnsi="Times New Roman" w:cs="Times New Roman"/>
          <w:b/>
          <w:lang w:val="en-US"/>
        </w:rPr>
        <w:t xml:space="preserve">Table </w:t>
      </w:r>
      <w:r>
        <w:rPr>
          <w:rFonts w:ascii="Times New Roman" w:hAnsi="Times New Roman" w:cs="Times New Roman"/>
          <w:b/>
          <w:lang w:val="en-US"/>
        </w:rPr>
        <w:t>S</w:t>
      </w:r>
      <w:r w:rsidRPr="00323B9C">
        <w:rPr>
          <w:rFonts w:ascii="Times New Roman" w:hAnsi="Times New Roman" w:cs="Times New Roman"/>
          <w:b/>
          <w:lang w:val="en-US"/>
        </w:rPr>
        <w:t xml:space="preserve">1. </w:t>
      </w:r>
      <w:r w:rsidRPr="00323B9C">
        <w:rPr>
          <w:rFonts w:ascii="Times New Roman" w:hAnsi="Times New Roman" w:cs="Times New Roman"/>
          <w:bCs/>
          <w:lang w:val="en-US"/>
        </w:rPr>
        <w:t xml:space="preserve">Recommended doses of </w:t>
      </w:r>
      <w:r w:rsidR="004A6ED3" w:rsidRPr="004A6ED3">
        <w:rPr>
          <w:rFonts w:ascii="Times New Roman" w:hAnsi="Times New Roman" w:cs="Times New Roman"/>
          <w:bCs/>
          <w:lang w:val="en-US"/>
        </w:rPr>
        <w:t>angiotensin-converting enzyme inhibitors (</w:t>
      </w:r>
      <w:proofErr w:type="spellStart"/>
      <w:r w:rsidR="004A6ED3" w:rsidRPr="004A6ED3">
        <w:rPr>
          <w:rFonts w:ascii="Times New Roman" w:hAnsi="Times New Roman" w:cs="Times New Roman"/>
          <w:bCs/>
          <w:lang w:val="en-US"/>
        </w:rPr>
        <w:t>ACEi</w:t>
      </w:r>
      <w:proofErr w:type="spellEnd"/>
      <w:r w:rsidR="004A6ED3" w:rsidRPr="004A6ED3">
        <w:rPr>
          <w:rFonts w:ascii="Times New Roman" w:hAnsi="Times New Roman" w:cs="Times New Roman"/>
          <w:bCs/>
          <w:lang w:val="en-US"/>
        </w:rPr>
        <w:t>)</w:t>
      </w:r>
      <w:r w:rsidR="00BF61AF">
        <w:rPr>
          <w:rFonts w:ascii="Times New Roman" w:hAnsi="Times New Roman" w:cs="Times New Roman"/>
          <w:bCs/>
          <w:lang w:val="en-US"/>
        </w:rPr>
        <w:t>,</w:t>
      </w:r>
      <w:r w:rsidR="004A6ED3" w:rsidRPr="004A6ED3">
        <w:rPr>
          <w:rFonts w:ascii="Times New Roman" w:hAnsi="Times New Roman" w:cs="Times New Roman"/>
          <w:bCs/>
          <w:lang w:val="en-US"/>
        </w:rPr>
        <w:t xml:space="preserve"> angiotensin receptor blockers (ARB)</w:t>
      </w:r>
      <w:r w:rsidR="004A6ED3">
        <w:rPr>
          <w:rFonts w:ascii="Times New Roman" w:hAnsi="Times New Roman" w:cs="Times New Roman"/>
          <w:bCs/>
          <w:lang w:val="en-US"/>
        </w:rPr>
        <w:t xml:space="preserve"> </w:t>
      </w:r>
      <w:r w:rsidRPr="00323B9C">
        <w:rPr>
          <w:rFonts w:ascii="Times New Roman" w:hAnsi="Times New Roman" w:cs="Times New Roman"/>
          <w:bCs/>
          <w:lang w:val="en-US"/>
        </w:rPr>
        <w:t xml:space="preserve">and beta-blockers in </w:t>
      </w:r>
      <w:r w:rsidR="004A6ED3">
        <w:rPr>
          <w:rFonts w:ascii="Times New Roman" w:hAnsi="Times New Roman" w:cs="Times New Roman"/>
          <w:bCs/>
          <w:lang w:val="en-US"/>
        </w:rPr>
        <w:t>European Society of Cardiology (ESC)</w:t>
      </w:r>
      <w:r w:rsidRPr="00323B9C">
        <w:rPr>
          <w:rFonts w:ascii="Times New Roman" w:hAnsi="Times New Roman" w:cs="Times New Roman"/>
          <w:bCs/>
          <w:lang w:val="en-US"/>
        </w:rPr>
        <w:t xml:space="preserve"> guidelines</w:t>
      </w:r>
      <w:r w:rsidR="008D2E78" w:rsidRPr="008D2E78">
        <w:rPr>
          <w:rFonts w:ascii="Times New Roman" w:hAnsi="Times New Roman" w:cs="Times New Roman"/>
          <w:bCs/>
          <w:vertAlign w:val="superscript"/>
          <w:lang w:val="en-US"/>
        </w:rPr>
        <w:t>†</w:t>
      </w:r>
      <w:r w:rsidRPr="00323B9C">
        <w:rPr>
          <w:rFonts w:ascii="Times New Roman" w:hAnsi="Times New Roman" w:cs="Times New Roman"/>
          <w:bCs/>
          <w:lang w:val="en-US"/>
        </w:rPr>
        <w:t xml:space="preserve"> for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323B9C">
        <w:rPr>
          <w:rFonts w:ascii="Times New Roman" w:hAnsi="Times New Roman" w:cs="Times New Roman"/>
          <w:bCs/>
          <w:lang w:val="en-US"/>
        </w:rPr>
        <w:t xml:space="preserve">patients with </w:t>
      </w:r>
      <w:r w:rsidR="004A6ED3">
        <w:rPr>
          <w:rFonts w:ascii="Times New Roman" w:hAnsi="Times New Roman" w:cs="Times New Roman"/>
          <w:bCs/>
          <w:lang w:val="en-US"/>
        </w:rPr>
        <w:t>left ventricular ejection fraction (LVEF)</w:t>
      </w:r>
      <w:r w:rsidRPr="00323B9C">
        <w:rPr>
          <w:rFonts w:ascii="Times New Roman" w:hAnsi="Times New Roman" w:cs="Times New Roman"/>
          <w:bCs/>
          <w:lang w:val="en-US"/>
        </w:rPr>
        <w:t xml:space="preserve"> &lt;40%</w:t>
      </w:r>
      <w:r>
        <w:rPr>
          <w:rFonts w:ascii="Times New Roman" w:hAnsi="Times New Roman" w:cs="Times New Roman"/>
          <w:bCs/>
          <w:lang w:val="en-US"/>
        </w:rPr>
        <w:t>.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2418"/>
        <w:gridCol w:w="2405"/>
        <w:gridCol w:w="2404"/>
        <w:gridCol w:w="2401"/>
      </w:tblGrid>
      <w:tr w:rsidR="00323B9C" w14:paraId="2CFEC09D" w14:textId="77777777" w:rsidTr="00323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0238B53D" w14:textId="405F0F79" w:rsidR="00323B9C" w:rsidRDefault="00323B9C" w:rsidP="00323B9C">
            <w:pPr>
              <w:rPr>
                <w:rFonts w:ascii="Times New Roman" w:hAnsi="Times New Roman" w:cs="Times New Roman"/>
                <w:bCs w:val="0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Drug</w:t>
            </w:r>
          </w:p>
        </w:tc>
        <w:tc>
          <w:tcPr>
            <w:tcW w:w="2443" w:type="dxa"/>
          </w:tcPr>
          <w:p w14:paraId="548D9C28" w14:textId="735D5BAC" w:rsidR="00323B9C" w:rsidRDefault="00323B9C" w:rsidP="00323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Class</w:t>
            </w:r>
          </w:p>
        </w:tc>
        <w:tc>
          <w:tcPr>
            <w:tcW w:w="2443" w:type="dxa"/>
          </w:tcPr>
          <w:p w14:paraId="57AC90CF" w14:textId="778C29D9" w:rsidR="00323B9C" w:rsidRDefault="00323B9C" w:rsidP="00323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Target dose</w:t>
            </w:r>
          </w:p>
        </w:tc>
        <w:tc>
          <w:tcPr>
            <w:tcW w:w="2443" w:type="dxa"/>
          </w:tcPr>
          <w:p w14:paraId="3F67E2EC" w14:textId="77777777" w:rsidR="00323B9C" w:rsidRPr="00323B9C" w:rsidRDefault="00323B9C" w:rsidP="00323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Total daily dose</w:t>
            </w:r>
          </w:p>
          <w:p w14:paraId="123C43B9" w14:textId="77777777" w:rsidR="00323B9C" w:rsidRDefault="00323B9C" w:rsidP="00323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lang w:val="en-US"/>
              </w:rPr>
            </w:pPr>
          </w:p>
        </w:tc>
      </w:tr>
      <w:tr w:rsidR="00323B9C" w14:paraId="747CF650" w14:textId="77777777" w:rsidTr="0032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4430078C" w14:textId="7C1CEAE7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Captopril</w:t>
            </w:r>
          </w:p>
        </w:tc>
        <w:tc>
          <w:tcPr>
            <w:tcW w:w="2443" w:type="dxa"/>
          </w:tcPr>
          <w:p w14:paraId="019E6EC3" w14:textId="033AF6AA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ACEi</w:t>
            </w:r>
            <w:proofErr w:type="spellEnd"/>
          </w:p>
        </w:tc>
        <w:tc>
          <w:tcPr>
            <w:tcW w:w="2443" w:type="dxa"/>
          </w:tcPr>
          <w:p w14:paraId="360BEDB5" w14:textId="3CF45435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50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tid</w:t>
            </w:r>
            <w:proofErr w:type="spellEnd"/>
          </w:p>
        </w:tc>
        <w:tc>
          <w:tcPr>
            <w:tcW w:w="2443" w:type="dxa"/>
          </w:tcPr>
          <w:p w14:paraId="70E15D39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150 mg</w:t>
            </w:r>
          </w:p>
          <w:p w14:paraId="02AAFB72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4E77FE56" w14:textId="77777777" w:rsidTr="0032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79025A37" w14:textId="4DBEFF09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lang w:val="en-US"/>
              </w:rPr>
              <w:t>Enalapril</w:t>
            </w:r>
            <w:proofErr w:type="spellEnd"/>
          </w:p>
        </w:tc>
        <w:tc>
          <w:tcPr>
            <w:tcW w:w="2443" w:type="dxa"/>
          </w:tcPr>
          <w:p w14:paraId="6A4BEA30" w14:textId="3B3D322B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ACEi</w:t>
            </w:r>
            <w:proofErr w:type="spellEnd"/>
          </w:p>
        </w:tc>
        <w:tc>
          <w:tcPr>
            <w:tcW w:w="2443" w:type="dxa"/>
          </w:tcPr>
          <w:p w14:paraId="7D64172A" w14:textId="2A925A4C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10 mg bid</w:t>
            </w:r>
          </w:p>
        </w:tc>
        <w:tc>
          <w:tcPr>
            <w:tcW w:w="2443" w:type="dxa"/>
          </w:tcPr>
          <w:p w14:paraId="46990303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20 mg</w:t>
            </w:r>
          </w:p>
          <w:p w14:paraId="03D99D66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38E926A8" w14:textId="77777777" w:rsidTr="0032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6C65107E" w14:textId="3A23F226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Lisinopril</w:t>
            </w:r>
          </w:p>
        </w:tc>
        <w:tc>
          <w:tcPr>
            <w:tcW w:w="2443" w:type="dxa"/>
          </w:tcPr>
          <w:p w14:paraId="7C369726" w14:textId="5411DDC8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ACEi</w:t>
            </w:r>
            <w:proofErr w:type="spellEnd"/>
          </w:p>
        </w:tc>
        <w:tc>
          <w:tcPr>
            <w:tcW w:w="2443" w:type="dxa"/>
          </w:tcPr>
          <w:p w14:paraId="555183DD" w14:textId="2EE584B6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35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qd</w:t>
            </w:r>
            <w:proofErr w:type="spellEnd"/>
          </w:p>
        </w:tc>
        <w:tc>
          <w:tcPr>
            <w:tcW w:w="2443" w:type="dxa"/>
          </w:tcPr>
          <w:p w14:paraId="4D53888A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35 mg</w:t>
            </w:r>
          </w:p>
          <w:p w14:paraId="333CA741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0CC0B41C" w14:textId="77777777" w:rsidTr="0032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637CBDCA" w14:textId="0991BE97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Ramipril</w:t>
            </w:r>
          </w:p>
        </w:tc>
        <w:tc>
          <w:tcPr>
            <w:tcW w:w="2443" w:type="dxa"/>
          </w:tcPr>
          <w:p w14:paraId="4389E884" w14:textId="2C217B69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ACEi</w:t>
            </w:r>
            <w:proofErr w:type="spellEnd"/>
          </w:p>
        </w:tc>
        <w:tc>
          <w:tcPr>
            <w:tcW w:w="2443" w:type="dxa"/>
          </w:tcPr>
          <w:p w14:paraId="1CA9ECA4" w14:textId="19D917BB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5 mg bid or 10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qd</w:t>
            </w:r>
            <w:proofErr w:type="spellEnd"/>
          </w:p>
        </w:tc>
        <w:tc>
          <w:tcPr>
            <w:tcW w:w="2443" w:type="dxa"/>
          </w:tcPr>
          <w:p w14:paraId="5F3341FD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10 mg</w:t>
            </w:r>
          </w:p>
          <w:p w14:paraId="3DE81D81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2FD9AB23" w14:textId="77777777" w:rsidTr="0032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7CA4C45" w14:textId="43CF64C7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lang w:val="en-US"/>
              </w:rPr>
              <w:t>Trandolapril</w:t>
            </w:r>
            <w:proofErr w:type="spellEnd"/>
          </w:p>
        </w:tc>
        <w:tc>
          <w:tcPr>
            <w:tcW w:w="2443" w:type="dxa"/>
          </w:tcPr>
          <w:p w14:paraId="06DCD274" w14:textId="220810E5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ACEi</w:t>
            </w:r>
            <w:proofErr w:type="spellEnd"/>
          </w:p>
        </w:tc>
        <w:tc>
          <w:tcPr>
            <w:tcW w:w="2443" w:type="dxa"/>
          </w:tcPr>
          <w:p w14:paraId="60826862" w14:textId="255EADFA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4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qd</w:t>
            </w:r>
            <w:proofErr w:type="spellEnd"/>
          </w:p>
        </w:tc>
        <w:tc>
          <w:tcPr>
            <w:tcW w:w="2443" w:type="dxa"/>
          </w:tcPr>
          <w:p w14:paraId="5E3CC913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4 mg</w:t>
            </w:r>
          </w:p>
          <w:p w14:paraId="05EB52F1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6B50AF3D" w14:textId="77777777" w:rsidTr="0032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4C873169" w14:textId="2581E51C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Perindopril</w:t>
            </w:r>
          </w:p>
        </w:tc>
        <w:tc>
          <w:tcPr>
            <w:tcW w:w="2443" w:type="dxa"/>
          </w:tcPr>
          <w:p w14:paraId="797F5EDC" w14:textId="142E7B0A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ACEi</w:t>
            </w:r>
            <w:proofErr w:type="spellEnd"/>
          </w:p>
        </w:tc>
        <w:tc>
          <w:tcPr>
            <w:tcW w:w="2443" w:type="dxa"/>
          </w:tcPr>
          <w:p w14:paraId="26671655" w14:textId="1C9FFED0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8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qd</w:t>
            </w:r>
            <w:proofErr w:type="spellEnd"/>
          </w:p>
        </w:tc>
        <w:tc>
          <w:tcPr>
            <w:tcW w:w="2443" w:type="dxa"/>
          </w:tcPr>
          <w:p w14:paraId="4D74A4EF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8 mg</w:t>
            </w:r>
          </w:p>
          <w:p w14:paraId="5BD090D2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02B45664" w14:textId="77777777" w:rsidTr="0032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115FA708" w14:textId="0AD3A0B4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Candesartan</w:t>
            </w:r>
          </w:p>
        </w:tc>
        <w:tc>
          <w:tcPr>
            <w:tcW w:w="2443" w:type="dxa"/>
          </w:tcPr>
          <w:p w14:paraId="1D9798BA" w14:textId="00213A82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ARB </w:t>
            </w:r>
          </w:p>
        </w:tc>
        <w:tc>
          <w:tcPr>
            <w:tcW w:w="2443" w:type="dxa"/>
          </w:tcPr>
          <w:p w14:paraId="5BCAE199" w14:textId="15CE461A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32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qd</w:t>
            </w:r>
            <w:proofErr w:type="spellEnd"/>
          </w:p>
        </w:tc>
        <w:tc>
          <w:tcPr>
            <w:tcW w:w="2443" w:type="dxa"/>
          </w:tcPr>
          <w:p w14:paraId="267EC9D2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32 mg</w:t>
            </w:r>
          </w:p>
          <w:p w14:paraId="113D961B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765BC623" w14:textId="77777777" w:rsidTr="0032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20BC193C" w14:textId="4A063C87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Valsartan</w:t>
            </w:r>
          </w:p>
        </w:tc>
        <w:tc>
          <w:tcPr>
            <w:tcW w:w="2443" w:type="dxa"/>
          </w:tcPr>
          <w:p w14:paraId="6B20D050" w14:textId="16697ACF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ARB</w:t>
            </w:r>
          </w:p>
        </w:tc>
        <w:tc>
          <w:tcPr>
            <w:tcW w:w="2443" w:type="dxa"/>
          </w:tcPr>
          <w:p w14:paraId="64E46BC5" w14:textId="0439603C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160 mg bid</w:t>
            </w:r>
          </w:p>
        </w:tc>
        <w:tc>
          <w:tcPr>
            <w:tcW w:w="2443" w:type="dxa"/>
          </w:tcPr>
          <w:p w14:paraId="1A935BFA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320 mg</w:t>
            </w:r>
          </w:p>
          <w:p w14:paraId="2A07552F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3E42D1A7" w14:textId="77777777" w:rsidTr="0032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21351FA3" w14:textId="24987699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Losartan</w:t>
            </w:r>
          </w:p>
        </w:tc>
        <w:tc>
          <w:tcPr>
            <w:tcW w:w="2443" w:type="dxa"/>
          </w:tcPr>
          <w:p w14:paraId="0E0B73CE" w14:textId="7FC80016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ARB</w:t>
            </w:r>
          </w:p>
        </w:tc>
        <w:tc>
          <w:tcPr>
            <w:tcW w:w="2443" w:type="dxa"/>
          </w:tcPr>
          <w:p w14:paraId="6866532A" w14:textId="49449296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150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qd</w:t>
            </w:r>
            <w:proofErr w:type="spellEnd"/>
          </w:p>
        </w:tc>
        <w:tc>
          <w:tcPr>
            <w:tcW w:w="2443" w:type="dxa"/>
          </w:tcPr>
          <w:p w14:paraId="3ACCD47A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150 mg</w:t>
            </w:r>
          </w:p>
          <w:p w14:paraId="38916E57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5921E2B3" w14:textId="77777777" w:rsidTr="0032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6CDFCD46" w14:textId="4944EEF2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lang w:val="en-US"/>
              </w:rPr>
              <w:t>Bisoprolol</w:t>
            </w:r>
            <w:proofErr w:type="spellEnd"/>
          </w:p>
        </w:tc>
        <w:tc>
          <w:tcPr>
            <w:tcW w:w="2443" w:type="dxa"/>
          </w:tcPr>
          <w:p w14:paraId="60D2DFC7" w14:textId="4BFE3C01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Beta-blocker</w:t>
            </w:r>
          </w:p>
        </w:tc>
        <w:tc>
          <w:tcPr>
            <w:tcW w:w="2443" w:type="dxa"/>
          </w:tcPr>
          <w:p w14:paraId="14DFBE1F" w14:textId="43EE5D0B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10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qd</w:t>
            </w:r>
            <w:proofErr w:type="spellEnd"/>
          </w:p>
        </w:tc>
        <w:tc>
          <w:tcPr>
            <w:tcW w:w="2443" w:type="dxa"/>
          </w:tcPr>
          <w:p w14:paraId="32410E91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10 mg</w:t>
            </w:r>
          </w:p>
          <w:p w14:paraId="668D6328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12669689" w14:textId="77777777" w:rsidTr="0032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3E99E18F" w14:textId="2A6191B5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Carvedilol</w:t>
            </w:r>
          </w:p>
        </w:tc>
        <w:tc>
          <w:tcPr>
            <w:tcW w:w="2443" w:type="dxa"/>
          </w:tcPr>
          <w:p w14:paraId="306EF428" w14:textId="7DB151E1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Beta-blocker</w:t>
            </w:r>
          </w:p>
        </w:tc>
        <w:tc>
          <w:tcPr>
            <w:tcW w:w="2443" w:type="dxa"/>
          </w:tcPr>
          <w:p w14:paraId="2B9967C4" w14:textId="78D427B4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25 - 50 mg bid*</w:t>
            </w:r>
          </w:p>
        </w:tc>
        <w:tc>
          <w:tcPr>
            <w:tcW w:w="2443" w:type="dxa"/>
          </w:tcPr>
          <w:p w14:paraId="2C6A6D95" w14:textId="039D21E5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50-100 mg*</w:t>
            </w:r>
          </w:p>
          <w:p w14:paraId="372E9DC0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739012BC" w14:textId="77777777" w:rsidTr="0032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0F94D038" w14:textId="309911D6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r w:rsidRPr="00323B9C">
              <w:rPr>
                <w:rFonts w:ascii="Times New Roman" w:hAnsi="Times New Roman" w:cs="Times New Roman"/>
                <w:lang w:val="en-US"/>
              </w:rPr>
              <w:t>Metoprolol CR/XL</w:t>
            </w:r>
          </w:p>
        </w:tc>
        <w:tc>
          <w:tcPr>
            <w:tcW w:w="2443" w:type="dxa"/>
          </w:tcPr>
          <w:p w14:paraId="5B04B3A8" w14:textId="61CC1758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Beta-blocker</w:t>
            </w:r>
          </w:p>
        </w:tc>
        <w:tc>
          <w:tcPr>
            <w:tcW w:w="2443" w:type="dxa"/>
          </w:tcPr>
          <w:p w14:paraId="5E6D2087" w14:textId="1B9118DC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200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qd</w:t>
            </w:r>
            <w:proofErr w:type="spellEnd"/>
          </w:p>
        </w:tc>
        <w:tc>
          <w:tcPr>
            <w:tcW w:w="2443" w:type="dxa"/>
          </w:tcPr>
          <w:p w14:paraId="01CD188E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200 mg</w:t>
            </w:r>
          </w:p>
          <w:p w14:paraId="1B85B57C" w14:textId="77777777" w:rsidR="00323B9C" w:rsidRPr="00323B9C" w:rsidRDefault="00323B9C" w:rsidP="00323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3B9C" w14:paraId="051C36AA" w14:textId="77777777" w:rsidTr="0032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A7C0DA5" w14:textId="4B7A39BF" w:rsidR="00323B9C" w:rsidRPr="00323B9C" w:rsidRDefault="00323B9C" w:rsidP="00323B9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3B9C">
              <w:rPr>
                <w:rFonts w:ascii="Times New Roman" w:hAnsi="Times New Roman" w:cs="Times New Roman"/>
                <w:lang w:val="en-US"/>
              </w:rPr>
              <w:t>Nebivolol</w:t>
            </w:r>
            <w:proofErr w:type="spellEnd"/>
          </w:p>
        </w:tc>
        <w:tc>
          <w:tcPr>
            <w:tcW w:w="2443" w:type="dxa"/>
          </w:tcPr>
          <w:p w14:paraId="642450E6" w14:textId="6780DA4F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Beta-blocker</w:t>
            </w:r>
          </w:p>
        </w:tc>
        <w:tc>
          <w:tcPr>
            <w:tcW w:w="2443" w:type="dxa"/>
          </w:tcPr>
          <w:p w14:paraId="60407F37" w14:textId="6C96F774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 xml:space="preserve">10 mg </w:t>
            </w:r>
            <w:proofErr w:type="spellStart"/>
            <w:r w:rsidRPr="00323B9C">
              <w:rPr>
                <w:rFonts w:ascii="Times New Roman" w:hAnsi="Times New Roman" w:cs="Times New Roman"/>
                <w:bCs/>
                <w:lang w:val="en-US"/>
              </w:rPr>
              <w:t>qd</w:t>
            </w:r>
            <w:proofErr w:type="spellEnd"/>
          </w:p>
        </w:tc>
        <w:tc>
          <w:tcPr>
            <w:tcW w:w="2443" w:type="dxa"/>
          </w:tcPr>
          <w:p w14:paraId="10C07B6E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323B9C">
              <w:rPr>
                <w:rFonts w:ascii="Times New Roman" w:hAnsi="Times New Roman" w:cs="Times New Roman"/>
                <w:bCs/>
                <w:lang w:val="en-US"/>
              </w:rPr>
              <w:t>10 mg</w:t>
            </w:r>
          </w:p>
          <w:p w14:paraId="255D3DE5" w14:textId="77777777" w:rsidR="00323B9C" w:rsidRPr="00323B9C" w:rsidRDefault="00323B9C" w:rsidP="00323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7430C490" w14:textId="20B35BFF" w:rsidR="00993D45" w:rsidRDefault="00323B9C" w:rsidP="00323B9C">
      <w:pPr>
        <w:rPr>
          <w:rFonts w:ascii="Times New Roman" w:hAnsi="Times New Roman" w:cs="Times New Roman"/>
          <w:bCs/>
          <w:lang w:val="en-US"/>
        </w:rPr>
      </w:pPr>
      <w:proofErr w:type="gramStart"/>
      <w:r w:rsidRPr="00323B9C">
        <w:rPr>
          <w:rFonts w:ascii="Times New Roman" w:hAnsi="Times New Roman" w:cs="Times New Roman"/>
          <w:bCs/>
          <w:lang w:val="en-US"/>
        </w:rPr>
        <w:t>* 25 mg</w:t>
      </w:r>
      <w:proofErr w:type="gramEnd"/>
      <w:r w:rsidRPr="00323B9C">
        <w:rPr>
          <w:rFonts w:ascii="Times New Roman" w:hAnsi="Times New Roman" w:cs="Times New Roman"/>
          <w:bCs/>
          <w:lang w:val="en-US"/>
        </w:rPr>
        <w:t xml:space="preserve"> bid for patients weighing &lt; 75 kg and 50 mg bid for patients weighting &gt; 75 Kg</w:t>
      </w:r>
    </w:p>
    <w:p w14:paraId="1BDD119E" w14:textId="0AF994EC" w:rsidR="008D2E78" w:rsidRDefault="008D2E78" w:rsidP="00323B9C">
      <w:pPr>
        <w:rPr>
          <w:rFonts w:ascii="Times New Roman" w:hAnsi="Times New Roman" w:cs="Times New Roman"/>
          <w:bCs/>
          <w:lang w:val="en-US"/>
        </w:rPr>
      </w:pPr>
    </w:p>
    <w:p w14:paraId="5BBE634E" w14:textId="14FD1D44" w:rsidR="008D2E78" w:rsidRPr="004A6ED3" w:rsidRDefault="008D2E78" w:rsidP="00323B9C">
      <w:pPr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</w:pPr>
      <w:proofErr w:type="gramStart"/>
      <w:r w:rsidRPr="008D2E7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† </w:t>
      </w:r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Dickstein K, Cohen-Solal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Filippatos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G, McMurray JJ,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Ponikowski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P, Poole-Wilson PA,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Strömberg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A, van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Veldhuisen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DJ,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Atar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D, Hoes AW, Keren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Mebazaa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Nieminen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M, Priori SG,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Swedberg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K. ESC guidelines for the diagnosis and treatment of acute and chronic heart failure 2008: the Task Force for the diagnosis and treatment of acute and chronic heart failure 2008 of the European Society of Cardiology.</w:t>
      </w:r>
      <w:proofErr w:type="gram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Developed in collaboration with the Heart Failure Association of the ESC (HFA) and endorsed by the European Society of Intensive Care Medicine (ESICM).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Eur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J Heart Fail 2008</w:t>
      </w:r>
      <w:proofErr w:type="gram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;10</w:t>
      </w:r>
      <w:proofErr w:type="gram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(10):933-89.</w:t>
      </w:r>
    </w:p>
    <w:p w14:paraId="0F3BE690" w14:textId="4500F9D4" w:rsidR="00993D45" w:rsidRDefault="008D2E78">
      <w:pPr>
        <w:rPr>
          <w:rFonts w:ascii="Times New Roman" w:hAnsi="Times New Roman" w:cs="Times New Roman"/>
          <w:b/>
          <w:lang w:val="en-US"/>
        </w:rPr>
      </w:pPr>
      <w:proofErr w:type="gram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McMurray JJ,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Adamopoulos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S, Anker SD,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Auricchio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Böhm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M, Dickstein K, Falk V,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Filippatos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G, Fonseca C, Gomez-Sanchez MA,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Jaarsma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T,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Køber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L, Lip GY,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Maggioni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AP,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Parkhomenko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Pieske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BM,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Popescu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BA,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Rønnevik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PK, Rutten FH,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Schwitter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J,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Seferovic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Stepinska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J,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Trindade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PT,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Voors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AA, Zannad F,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Zeiher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Bax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JJ, Baumgartner H,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Ceconi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C, Dean V, Deaton C,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Fagard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R,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Funck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-Brentano C,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Hasdai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D, Hoes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Kirchhof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Knuuti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J,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Kolh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McDonagh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T, Moulin C,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Popescu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BA, Reiner Z,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Sechtem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U,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Sirnes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Tendera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M,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Torbicki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Vahanian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Windecker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S,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McDonagh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T,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Sechtem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U,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Bonet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LA,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Avraamides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P, Ben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Lamin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HA,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Brignole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M, Coca 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Cowburn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Dargie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H, Elliott P,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Flachskampf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FA,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Guida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GF, Hardman S,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Iung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B,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Merkely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B, Mueller C, Nanas JN, Nielsen OW,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Orn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S,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Parissis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JT,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Ponikowski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P. ESC guidelines for the diagnosis and treatment of acute and chronic heart failure 2012: The Task Force for the Diagnosis and Treatment of Acute and Chronic Heart Failure 2012 of the European Society of Cardiology.</w:t>
      </w:r>
      <w:proofErr w:type="gram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Developed in collaboration with the Heart Failure Association (HFA) of the ESC. </w:t>
      </w:r>
      <w:proofErr w:type="spell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Eur</w:t>
      </w:r>
      <w:proofErr w:type="spell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 xml:space="preserve"> J Heart Fail 2012</w:t>
      </w:r>
      <w:proofErr w:type="gramStart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;14</w:t>
      </w:r>
      <w:proofErr w:type="gramEnd"/>
      <w:r w:rsidRPr="004A6ED3"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  <w:t>(8):803-69.</w:t>
      </w:r>
      <w:r w:rsidR="00993D45">
        <w:rPr>
          <w:rFonts w:ascii="Times New Roman" w:hAnsi="Times New Roman" w:cs="Times New Roman"/>
          <w:b/>
          <w:lang w:val="en-US"/>
        </w:rPr>
        <w:br w:type="page"/>
      </w:r>
    </w:p>
    <w:p w14:paraId="56480A44" w14:textId="2E7EB61C" w:rsidR="005B548D" w:rsidRPr="00BD0B78" w:rsidRDefault="005B548D" w:rsidP="005B54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0421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CE0421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E0421" w:rsidRPr="00CE0421">
        <w:rPr>
          <w:rFonts w:ascii="Times New Roman" w:hAnsi="Times New Roman" w:cs="Times New Roman"/>
          <w:b/>
          <w:sz w:val="24"/>
          <w:szCs w:val="24"/>
        </w:rPr>
        <w:t>2</w:t>
      </w:r>
      <w:r w:rsidRPr="00BD0B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0B78">
        <w:rPr>
          <w:rFonts w:ascii="Times New Roman" w:hAnsi="Times New Roman" w:cs="Times New Roman"/>
          <w:sz w:val="24"/>
          <w:szCs w:val="24"/>
        </w:rPr>
        <w:t xml:space="preserve">Baseline </w:t>
      </w:r>
      <w:proofErr w:type="spellStart"/>
      <w:r w:rsidR="0038138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BD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  <w:szCs w:val="24"/>
        </w:rPr>
        <w:t>stratified</w:t>
      </w:r>
      <w:proofErr w:type="spellEnd"/>
      <w:r w:rsidRPr="00BD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D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  <w:szCs w:val="24"/>
        </w:rPr>
        <w:t>sex</w:t>
      </w:r>
      <w:proofErr w:type="spellEnd"/>
      <w:r w:rsidRPr="00BD0B7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Ombrageclair"/>
        <w:tblW w:w="10031" w:type="dxa"/>
        <w:tblLook w:val="04A0" w:firstRow="1" w:lastRow="0" w:firstColumn="1" w:lastColumn="0" w:noHBand="0" w:noVBand="1"/>
      </w:tblPr>
      <w:tblGrid>
        <w:gridCol w:w="3652"/>
        <w:gridCol w:w="2835"/>
        <w:gridCol w:w="2520"/>
        <w:gridCol w:w="1024"/>
      </w:tblGrid>
      <w:tr w:rsidR="005B548D" w:rsidRPr="00BD0B78" w14:paraId="0D0AC966" w14:textId="77777777" w:rsidTr="00CF4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  <w:hideMark/>
          </w:tcPr>
          <w:p w14:paraId="24BEC904" w14:textId="77777777" w:rsidR="005B548D" w:rsidRPr="00BD0B78" w:rsidRDefault="005B548D" w:rsidP="0038138C">
            <w:pPr>
              <w:rPr>
                <w:rFonts w:ascii="Calibri" w:eastAsia="Times New Roman" w:hAnsi="Calibr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46327106" w14:textId="77777777" w:rsidR="005B548D" w:rsidRPr="00BD0B78" w:rsidRDefault="005B548D" w:rsidP="00381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Men</w:t>
            </w:r>
          </w:p>
        </w:tc>
        <w:tc>
          <w:tcPr>
            <w:tcW w:w="2520" w:type="dxa"/>
            <w:noWrap/>
            <w:vAlign w:val="center"/>
            <w:hideMark/>
          </w:tcPr>
          <w:p w14:paraId="1826D377" w14:textId="77777777" w:rsidR="005B548D" w:rsidRPr="00BD0B78" w:rsidRDefault="005B548D" w:rsidP="00381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BD0B7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Women</w:t>
            </w:r>
            <w:proofErr w:type="spellEnd"/>
          </w:p>
        </w:tc>
        <w:tc>
          <w:tcPr>
            <w:tcW w:w="1024" w:type="dxa"/>
            <w:noWrap/>
            <w:vAlign w:val="center"/>
            <w:hideMark/>
          </w:tcPr>
          <w:p w14:paraId="248B3F5E" w14:textId="77777777" w:rsidR="005B548D" w:rsidRPr="00BD0B78" w:rsidRDefault="005B548D" w:rsidP="00381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p-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value</w:t>
            </w:r>
            <w:proofErr w:type="spellEnd"/>
          </w:p>
        </w:tc>
      </w:tr>
      <w:tr w:rsidR="005B548D" w:rsidRPr="00BD0B78" w14:paraId="436E0B18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hideMark/>
          </w:tcPr>
          <w:p w14:paraId="71DD1622" w14:textId="77777777" w:rsidR="005B548D" w:rsidRPr="00BD0B78" w:rsidRDefault="005B548D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No. of subjects</w:t>
            </w:r>
          </w:p>
        </w:tc>
        <w:tc>
          <w:tcPr>
            <w:tcW w:w="2835" w:type="dxa"/>
            <w:noWrap/>
            <w:vAlign w:val="center"/>
            <w:hideMark/>
          </w:tcPr>
          <w:p w14:paraId="49A70C83" w14:textId="77777777" w:rsidR="005B548D" w:rsidRPr="00BD0B78" w:rsidRDefault="005B548D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1276</w:t>
            </w:r>
          </w:p>
        </w:tc>
        <w:tc>
          <w:tcPr>
            <w:tcW w:w="2520" w:type="dxa"/>
            <w:noWrap/>
            <w:vAlign w:val="center"/>
            <w:hideMark/>
          </w:tcPr>
          <w:p w14:paraId="2897E8AA" w14:textId="77777777" w:rsidR="005B548D" w:rsidRPr="00BD0B78" w:rsidRDefault="005B548D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373</w:t>
            </w:r>
          </w:p>
        </w:tc>
        <w:tc>
          <w:tcPr>
            <w:tcW w:w="1024" w:type="dxa"/>
            <w:noWrap/>
            <w:vAlign w:val="center"/>
            <w:hideMark/>
          </w:tcPr>
          <w:p w14:paraId="66C58AE3" w14:textId="77777777" w:rsidR="005B548D" w:rsidRPr="00BD0B78" w:rsidRDefault="005B548D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1394F" w:rsidRPr="00BD0B78" w14:paraId="14A45522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5937ED5B" w14:textId="2D44D84D" w:rsidR="00D1394F" w:rsidRPr="0038138C" w:rsidRDefault="00D1394F" w:rsidP="0038138C">
            <w:pPr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</w:pPr>
            <w:proofErr w:type="spellStart"/>
            <w:r w:rsidRPr="0038138C"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  <w:t>Clinical</w:t>
            </w:r>
            <w:proofErr w:type="spellEnd"/>
            <w:r w:rsidRPr="0038138C"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  <w:t xml:space="preserve"> profile</w:t>
            </w:r>
          </w:p>
        </w:tc>
        <w:tc>
          <w:tcPr>
            <w:tcW w:w="2835" w:type="dxa"/>
            <w:noWrap/>
            <w:vAlign w:val="center"/>
          </w:tcPr>
          <w:p w14:paraId="5199B1FF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20" w:type="dxa"/>
            <w:noWrap/>
            <w:vAlign w:val="center"/>
          </w:tcPr>
          <w:p w14:paraId="104E59BC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024" w:type="dxa"/>
            <w:noWrap/>
            <w:vAlign w:val="center"/>
          </w:tcPr>
          <w:p w14:paraId="28D52976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1394F" w:rsidRPr="00BD0B78" w14:paraId="1515F635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6B6D2226" w14:textId="3B901949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Pulmonary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rales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(%)</w:t>
            </w:r>
          </w:p>
        </w:tc>
        <w:tc>
          <w:tcPr>
            <w:tcW w:w="2835" w:type="dxa"/>
            <w:noWrap/>
            <w:vAlign w:val="center"/>
          </w:tcPr>
          <w:p w14:paraId="54C3EC76" w14:textId="77777777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20" w:type="dxa"/>
            <w:noWrap/>
            <w:vAlign w:val="center"/>
          </w:tcPr>
          <w:p w14:paraId="7B5350FE" w14:textId="77777777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024" w:type="dxa"/>
            <w:noWrap/>
            <w:vAlign w:val="center"/>
          </w:tcPr>
          <w:p w14:paraId="46571037" w14:textId="2226CC67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0.856</w:t>
            </w:r>
          </w:p>
        </w:tc>
      </w:tr>
      <w:tr w:rsidR="00D1394F" w:rsidRPr="00BD0B78" w14:paraId="75D4917E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284FF875" w14:textId="457C5ED0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No</w:t>
            </w:r>
          </w:p>
        </w:tc>
        <w:tc>
          <w:tcPr>
            <w:tcW w:w="2835" w:type="dxa"/>
            <w:noWrap/>
            <w:vAlign w:val="center"/>
          </w:tcPr>
          <w:p w14:paraId="1EFB6969" w14:textId="4F4E31C5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626 (50.0)</w:t>
            </w:r>
          </w:p>
        </w:tc>
        <w:tc>
          <w:tcPr>
            <w:tcW w:w="2520" w:type="dxa"/>
            <w:noWrap/>
            <w:vAlign w:val="center"/>
          </w:tcPr>
          <w:p w14:paraId="2E07B0DF" w14:textId="05D8351A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177 (48.5)</w:t>
            </w:r>
          </w:p>
        </w:tc>
        <w:tc>
          <w:tcPr>
            <w:tcW w:w="1024" w:type="dxa"/>
            <w:noWrap/>
            <w:vAlign w:val="center"/>
          </w:tcPr>
          <w:p w14:paraId="781918AD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1394F" w:rsidRPr="00BD0B78" w14:paraId="2A54B4E5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46D6804A" w14:textId="5279D473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Single base</w:t>
            </w:r>
          </w:p>
        </w:tc>
        <w:tc>
          <w:tcPr>
            <w:tcW w:w="2835" w:type="dxa"/>
            <w:noWrap/>
            <w:vAlign w:val="center"/>
          </w:tcPr>
          <w:p w14:paraId="2E047BAA" w14:textId="26D82DD9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166 (13.2)</w:t>
            </w:r>
          </w:p>
        </w:tc>
        <w:tc>
          <w:tcPr>
            <w:tcW w:w="2520" w:type="dxa"/>
            <w:noWrap/>
            <w:vAlign w:val="center"/>
          </w:tcPr>
          <w:p w14:paraId="7D08E7FE" w14:textId="4E63B127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48 (13.2)</w:t>
            </w:r>
          </w:p>
        </w:tc>
        <w:tc>
          <w:tcPr>
            <w:tcW w:w="1024" w:type="dxa"/>
            <w:noWrap/>
            <w:vAlign w:val="center"/>
          </w:tcPr>
          <w:p w14:paraId="59B9072A" w14:textId="77777777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1394F" w:rsidRPr="00BD0B78" w14:paraId="546E1EAD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62A4123C" w14:textId="618FFE68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Bi-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basilar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4B5C7471" w14:textId="6C1FC26E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461 (36.8)</w:t>
            </w:r>
          </w:p>
        </w:tc>
        <w:tc>
          <w:tcPr>
            <w:tcW w:w="2520" w:type="dxa"/>
            <w:noWrap/>
            <w:vAlign w:val="center"/>
          </w:tcPr>
          <w:p w14:paraId="34EBFB6D" w14:textId="1972F052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140 (38.4)</w:t>
            </w:r>
          </w:p>
        </w:tc>
        <w:tc>
          <w:tcPr>
            <w:tcW w:w="1024" w:type="dxa"/>
            <w:noWrap/>
            <w:vAlign w:val="center"/>
          </w:tcPr>
          <w:p w14:paraId="5C195F69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1394F" w:rsidRPr="00BD0B78" w14:paraId="57CADBDA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57460331" w14:textId="697A4517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Oedema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(%)</w:t>
            </w:r>
          </w:p>
        </w:tc>
        <w:tc>
          <w:tcPr>
            <w:tcW w:w="2835" w:type="dxa"/>
            <w:noWrap/>
            <w:vAlign w:val="center"/>
          </w:tcPr>
          <w:p w14:paraId="33F54498" w14:textId="77777777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20" w:type="dxa"/>
            <w:noWrap/>
            <w:vAlign w:val="center"/>
          </w:tcPr>
          <w:p w14:paraId="6355543B" w14:textId="77777777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024" w:type="dxa"/>
            <w:noWrap/>
            <w:vAlign w:val="center"/>
          </w:tcPr>
          <w:p w14:paraId="5B8D538B" w14:textId="12B97241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0.254</w:t>
            </w:r>
          </w:p>
        </w:tc>
      </w:tr>
      <w:tr w:rsidR="00D1394F" w:rsidRPr="00BD0B78" w14:paraId="35FB9417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0A035A7D" w14:textId="6F60D47E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Not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Present</w:t>
            </w:r>
          </w:p>
        </w:tc>
        <w:tc>
          <w:tcPr>
            <w:tcW w:w="2835" w:type="dxa"/>
            <w:noWrap/>
            <w:vAlign w:val="center"/>
          </w:tcPr>
          <w:p w14:paraId="3DB31695" w14:textId="70C4DE68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479 (45.4)</w:t>
            </w:r>
          </w:p>
        </w:tc>
        <w:tc>
          <w:tcPr>
            <w:tcW w:w="2520" w:type="dxa"/>
            <w:noWrap/>
            <w:vAlign w:val="center"/>
          </w:tcPr>
          <w:p w14:paraId="1A7637EC" w14:textId="4B9526B4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137 (44.5)</w:t>
            </w:r>
          </w:p>
        </w:tc>
        <w:tc>
          <w:tcPr>
            <w:tcW w:w="1024" w:type="dxa"/>
            <w:noWrap/>
            <w:vAlign w:val="center"/>
          </w:tcPr>
          <w:p w14:paraId="444C162D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1394F" w:rsidRPr="00BD0B78" w14:paraId="356F36B2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7301EE0F" w14:textId="33FAA906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Ankle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2C16AE9C" w14:textId="323318A8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302 (28.6)</w:t>
            </w:r>
          </w:p>
        </w:tc>
        <w:tc>
          <w:tcPr>
            <w:tcW w:w="2520" w:type="dxa"/>
            <w:noWrap/>
            <w:vAlign w:val="center"/>
          </w:tcPr>
          <w:p w14:paraId="7D356591" w14:textId="6D45B7D3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88 (28.6)</w:t>
            </w:r>
          </w:p>
        </w:tc>
        <w:tc>
          <w:tcPr>
            <w:tcW w:w="1024" w:type="dxa"/>
            <w:noWrap/>
            <w:vAlign w:val="center"/>
          </w:tcPr>
          <w:p w14:paraId="04867626" w14:textId="77777777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1394F" w:rsidRPr="00BD0B78" w14:paraId="392BE689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0A9A3675" w14:textId="26AA0ED8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Below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Knee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5927E046" w14:textId="65082B3D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226 (21.4)</w:t>
            </w:r>
          </w:p>
        </w:tc>
        <w:tc>
          <w:tcPr>
            <w:tcW w:w="2520" w:type="dxa"/>
            <w:noWrap/>
            <w:vAlign w:val="center"/>
          </w:tcPr>
          <w:p w14:paraId="69D3B8FD" w14:textId="056FBAE6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60 (19.5)</w:t>
            </w:r>
          </w:p>
        </w:tc>
        <w:tc>
          <w:tcPr>
            <w:tcW w:w="1024" w:type="dxa"/>
            <w:noWrap/>
            <w:vAlign w:val="center"/>
          </w:tcPr>
          <w:p w14:paraId="7A6CC0C3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1394F" w:rsidRPr="00BD0B78" w14:paraId="0A1C2DA0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4BC50A4C" w14:textId="2A61C713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Above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Knee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6128E42B" w14:textId="041EDC41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49 (4.6)</w:t>
            </w:r>
          </w:p>
        </w:tc>
        <w:tc>
          <w:tcPr>
            <w:tcW w:w="2520" w:type="dxa"/>
            <w:noWrap/>
            <w:vAlign w:val="center"/>
          </w:tcPr>
          <w:p w14:paraId="78C6284C" w14:textId="2EF44D81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23 (7.5)</w:t>
            </w:r>
          </w:p>
        </w:tc>
        <w:tc>
          <w:tcPr>
            <w:tcW w:w="1024" w:type="dxa"/>
            <w:noWrap/>
            <w:vAlign w:val="center"/>
          </w:tcPr>
          <w:p w14:paraId="6504F447" w14:textId="77777777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1394F" w:rsidRPr="00BD0B78" w14:paraId="73BD7CFF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0E664AE8" w14:textId="6D4E27ED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Jugular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venous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pressure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(%)</w:t>
            </w:r>
          </w:p>
        </w:tc>
        <w:tc>
          <w:tcPr>
            <w:tcW w:w="2835" w:type="dxa"/>
            <w:noWrap/>
            <w:vAlign w:val="center"/>
          </w:tcPr>
          <w:p w14:paraId="055459FC" w14:textId="6A5E95AC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268 (30.9)</w:t>
            </w:r>
          </w:p>
        </w:tc>
        <w:tc>
          <w:tcPr>
            <w:tcW w:w="2520" w:type="dxa"/>
            <w:noWrap/>
            <w:vAlign w:val="center"/>
          </w:tcPr>
          <w:p w14:paraId="100CD8C4" w14:textId="49A0DAF3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67 (28.6)</w:t>
            </w:r>
          </w:p>
        </w:tc>
        <w:tc>
          <w:tcPr>
            <w:tcW w:w="1024" w:type="dxa"/>
            <w:noWrap/>
            <w:vAlign w:val="center"/>
          </w:tcPr>
          <w:p w14:paraId="57E47DDD" w14:textId="3AFC7298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0.547</w:t>
            </w:r>
          </w:p>
        </w:tc>
      </w:tr>
      <w:tr w:rsidR="00D1394F" w:rsidRPr="00BD0B78" w14:paraId="3797386F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75F4393A" w14:textId="01C514A7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Hepatomegaly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(%)</w:t>
            </w:r>
          </w:p>
        </w:tc>
        <w:tc>
          <w:tcPr>
            <w:tcW w:w="2835" w:type="dxa"/>
            <w:noWrap/>
            <w:vAlign w:val="center"/>
          </w:tcPr>
          <w:p w14:paraId="35446C92" w14:textId="00B5FF92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213 (16.7)</w:t>
            </w:r>
          </w:p>
        </w:tc>
        <w:tc>
          <w:tcPr>
            <w:tcW w:w="2520" w:type="dxa"/>
            <w:noWrap/>
            <w:vAlign w:val="center"/>
          </w:tcPr>
          <w:p w14:paraId="1D05E93E" w14:textId="611A40A8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42 (11.3)</w:t>
            </w:r>
          </w:p>
        </w:tc>
        <w:tc>
          <w:tcPr>
            <w:tcW w:w="1024" w:type="dxa"/>
            <w:noWrap/>
            <w:vAlign w:val="center"/>
          </w:tcPr>
          <w:p w14:paraId="06D1BEF4" w14:textId="472F5BD8" w:rsidR="00D1394F" w:rsidRPr="00BD0B78" w:rsidRDefault="00D1394F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0.014</w:t>
            </w:r>
          </w:p>
        </w:tc>
      </w:tr>
      <w:tr w:rsidR="00D1394F" w:rsidRPr="00BD0B78" w14:paraId="0C28D522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2EF7ECDC" w14:textId="7EE34D00" w:rsidR="00D1394F" w:rsidRPr="00BD0B78" w:rsidRDefault="00D1394F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Orthopnea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(%)</w:t>
            </w:r>
          </w:p>
        </w:tc>
        <w:tc>
          <w:tcPr>
            <w:tcW w:w="2835" w:type="dxa"/>
            <w:noWrap/>
            <w:vAlign w:val="center"/>
          </w:tcPr>
          <w:p w14:paraId="784680B8" w14:textId="710DE98A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383 (30.0)</w:t>
            </w:r>
          </w:p>
        </w:tc>
        <w:tc>
          <w:tcPr>
            <w:tcW w:w="2520" w:type="dxa"/>
            <w:noWrap/>
            <w:vAlign w:val="center"/>
          </w:tcPr>
          <w:p w14:paraId="43C51A04" w14:textId="3DC54CBE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125 (33.6)</w:t>
            </w:r>
          </w:p>
        </w:tc>
        <w:tc>
          <w:tcPr>
            <w:tcW w:w="1024" w:type="dxa"/>
            <w:noWrap/>
            <w:vAlign w:val="center"/>
          </w:tcPr>
          <w:p w14:paraId="7B83D900" w14:textId="551DE75E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0.213</w:t>
            </w:r>
          </w:p>
        </w:tc>
      </w:tr>
      <w:tr w:rsidR="00D4672E" w:rsidRPr="00BD0B78" w14:paraId="0ED772CD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100BB5CD" w14:textId="5EC5B92A" w:rsidR="00D4672E" w:rsidRDefault="00D4672E" w:rsidP="0038138C">
            <w:pPr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  <w:t>Heart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  <w:t xml:space="preserve"> failure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  <w:t>history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2C4A4407" w14:textId="77777777" w:rsidR="00D4672E" w:rsidRPr="00BD0B78" w:rsidRDefault="00D4672E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20" w:type="dxa"/>
            <w:noWrap/>
            <w:vAlign w:val="center"/>
          </w:tcPr>
          <w:p w14:paraId="3820901E" w14:textId="77777777" w:rsidR="00D4672E" w:rsidRPr="00BD0B78" w:rsidRDefault="00D4672E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024" w:type="dxa"/>
            <w:noWrap/>
            <w:vAlign w:val="center"/>
          </w:tcPr>
          <w:p w14:paraId="5445A4FD" w14:textId="77777777" w:rsidR="00D4672E" w:rsidRPr="00BD0B78" w:rsidRDefault="00D4672E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4672E" w:rsidRPr="00BD0B78" w14:paraId="7BE8933F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3667D63C" w14:textId="77777777" w:rsidR="00D4672E" w:rsidRPr="00BD0B78" w:rsidRDefault="00D4672E" w:rsidP="00D4672E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Heart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failure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etiology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48929CD4" w14:textId="77777777" w:rsidR="00D4672E" w:rsidRPr="00BD0B78" w:rsidRDefault="00D4672E" w:rsidP="00D4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20" w:type="dxa"/>
            <w:noWrap/>
            <w:vAlign w:val="center"/>
          </w:tcPr>
          <w:p w14:paraId="3B975379" w14:textId="77777777" w:rsidR="00D4672E" w:rsidRPr="00BD0B78" w:rsidRDefault="00D4672E" w:rsidP="00D4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024" w:type="dxa"/>
            <w:noWrap/>
            <w:vAlign w:val="center"/>
          </w:tcPr>
          <w:p w14:paraId="376A165C" w14:textId="77777777" w:rsidR="00D4672E" w:rsidRPr="00BD0B78" w:rsidRDefault="00D4672E" w:rsidP="00D4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4672E" w:rsidRPr="00BD0B78" w14:paraId="10EC6A47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6F65860E" w14:textId="77777777" w:rsidR="00D4672E" w:rsidRPr="00BD0B78" w:rsidRDefault="00D4672E" w:rsidP="00D4672E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Hypertensive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(%)</w:t>
            </w:r>
          </w:p>
        </w:tc>
        <w:tc>
          <w:tcPr>
            <w:tcW w:w="2835" w:type="dxa"/>
            <w:noWrap/>
            <w:vAlign w:val="center"/>
          </w:tcPr>
          <w:p w14:paraId="24D4A798" w14:textId="77777777" w:rsidR="00D4672E" w:rsidRPr="00BD0B78" w:rsidRDefault="00D4672E" w:rsidP="00D4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625 (50)</w:t>
            </w:r>
          </w:p>
        </w:tc>
        <w:tc>
          <w:tcPr>
            <w:tcW w:w="2520" w:type="dxa"/>
            <w:noWrap/>
            <w:vAlign w:val="center"/>
          </w:tcPr>
          <w:p w14:paraId="0D2E4A43" w14:textId="77777777" w:rsidR="00D4672E" w:rsidRPr="00BD0B78" w:rsidRDefault="00D4672E" w:rsidP="00D4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200 (53.6)</w:t>
            </w:r>
          </w:p>
        </w:tc>
        <w:tc>
          <w:tcPr>
            <w:tcW w:w="1024" w:type="dxa"/>
            <w:noWrap/>
            <w:vAlign w:val="center"/>
          </w:tcPr>
          <w:p w14:paraId="43E3B03A" w14:textId="77777777" w:rsidR="00D4672E" w:rsidRPr="00BD0B78" w:rsidRDefault="00D4672E" w:rsidP="00D4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&lt;0.001</w:t>
            </w:r>
          </w:p>
        </w:tc>
      </w:tr>
      <w:tr w:rsidR="00D4672E" w:rsidRPr="00BD0B78" w14:paraId="543C924B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41D6B6B6" w14:textId="77777777" w:rsidR="00D4672E" w:rsidRPr="00BD0B78" w:rsidRDefault="00D4672E" w:rsidP="00D4672E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Cardiomyopathy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(%)</w:t>
            </w:r>
          </w:p>
        </w:tc>
        <w:tc>
          <w:tcPr>
            <w:tcW w:w="2835" w:type="dxa"/>
            <w:noWrap/>
            <w:vAlign w:val="center"/>
          </w:tcPr>
          <w:p w14:paraId="652C4017" w14:textId="77777777" w:rsidR="00D4672E" w:rsidRPr="00BD0B78" w:rsidRDefault="00D4672E" w:rsidP="00D4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582 (45.6)</w:t>
            </w:r>
          </w:p>
        </w:tc>
        <w:tc>
          <w:tcPr>
            <w:tcW w:w="2520" w:type="dxa"/>
            <w:noWrap/>
            <w:vAlign w:val="center"/>
          </w:tcPr>
          <w:p w14:paraId="6DA39DF3" w14:textId="77777777" w:rsidR="00D4672E" w:rsidRPr="00BD0B78" w:rsidRDefault="00D4672E" w:rsidP="00D4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179 (48)</w:t>
            </w:r>
          </w:p>
        </w:tc>
        <w:tc>
          <w:tcPr>
            <w:tcW w:w="1024" w:type="dxa"/>
            <w:noWrap/>
            <w:vAlign w:val="center"/>
          </w:tcPr>
          <w:p w14:paraId="38EF6D30" w14:textId="77777777" w:rsidR="00D4672E" w:rsidRPr="00BD0B78" w:rsidRDefault="00D4672E" w:rsidP="00D4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0.608</w:t>
            </w:r>
          </w:p>
        </w:tc>
      </w:tr>
      <w:tr w:rsidR="00D4672E" w:rsidRPr="00BD0B78" w14:paraId="31877544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32C52881" w14:textId="77777777" w:rsidR="00D4672E" w:rsidRPr="00BD0B78" w:rsidRDefault="00D4672E" w:rsidP="00D4672E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(%)</w:t>
            </w:r>
          </w:p>
        </w:tc>
        <w:tc>
          <w:tcPr>
            <w:tcW w:w="2835" w:type="dxa"/>
            <w:noWrap/>
            <w:vAlign w:val="center"/>
          </w:tcPr>
          <w:p w14:paraId="50AFADDC" w14:textId="77777777" w:rsidR="00D4672E" w:rsidRPr="00BD0B78" w:rsidRDefault="00D4672E" w:rsidP="00D4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129 (10.1)</w:t>
            </w:r>
          </w:p>
        </w:tc>
        <w:tc>
          <w:tcPr>
            <w:tcW w:w="2520" w:type="dxa"/>
            <w:noWrap/>
            <w:vAlign w:val="center"/>
          </w:tcPr>
          <w:p w14:paraId="7EADB852" w14:textId="77777777" w:rsidR="00D4672E" w:rsidRPr="00BD0B78" w:rsidRDefault="00D4672E" w:rsidP="00D4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48 (12.9)</w:t>
            </w:r>
          </w:p>
        </w:tc>
        <w:tc>
          <w:tcPr>
            <w:tcW w:w="1024" w:type="dxa"/>
            <w:noWrap/>
            <w:vAlign w:val="center"/>
          </w:tcPr>
          <w:p w14:paraId="6985151A" w14:textId="77777777" w:rsidR="00D4672E" w:rsidRPr="00BD0B78" w:rsidRDefault="00D4672E" w:rsidP="00D4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0.437</w:t>
            </w:r>
          </w:p>
        </w:tc>
      </w:tr>
      <w:tr w:rsidR="00D4672E" w:rsidRPr="00BD0B78" w14:paraId="6A4C21F7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7DEEF1F9" w14:textId="7DFEDAB8" w:rsidR="00D1394F" w:rsidRPr="0038138C" w:rsidRDefault="0038138C" w:rsidP="0038138C">
            <w:pPr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  <w:t>history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52C5DFFB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20" w:type="dxa"/>
            <w:noWrap/>
            <w:vAlign w:val="center"/>
          </w:tcPr>
          <w:p w14:paraId="0C2E8A36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024" w:type="dxa"/>
            <w:noWrap/>
            <w:vAlign w:val="center"/>
          </w:tcPr>
          <w:p w14:paraId="7078EDEA" w14:textId="77777777" w:rsidR="00D1394F" w:rsidRPr="00BD0B78" w:rsidRDefault="00D1394F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4672E" w:rsidRPr="00BD0B78" w14:paraId="7D1C0A8B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0642C8A9" w14:textId="23CD071C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PCI (%)</w:t>
            </w:r>
          </w:p>
        </w:tc>
        <w:tc>
          <w:tcPr>
            <w:tcW w:w="2835" w:type="dxa"/>
            <w:noWrap/>
            <w:vAlign w:val="center"/>
          </w:tcPr>
          <w:p w14:paraId="4B18B96F" w14:textId="0B9685EE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304 (23.8)</w:t>
            </w:r>
          </w:p>
        </w:tc>
        <w:tc>
          <w:tcPr>
            <w:tcW w:w="2520" w:type="dxa"/>
            <w:noWrap/>
            <w:vAlign w:val="center"/>
          </w:tcPr>
          <w:p w14:paraId="0E8EC074" w14:textId="289CBD40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59 (15.8)</w:t>
            </w:r>
          </w:p>
        </w:tc>
        <w:tc>
          <w:tcPr>
            <w:tcW w:w="1024" w:type="dxa"/>
            <w:noWrap/>
            <w:vAlign w:val="center"/>
          </w:tcPr>
          <w:p w14:paraId="1579CF8D" w14:textId="20150629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0.001</w:t>
            </w:r>
          </w:p>
        </w:tc>
      </w:tr>
      <w:tr w:rsidR="00D4672E" w:rsidRPr="00BD0B78" w14:paraId="31F1B938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33CE782A" w14:textId="619A186D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CABG (%)</w:t>
            </w:r>
          </w:p>
        </w:tc>
        <w:tc>
          <w:tcPr>
            <w:tcW w:w="2835" w:type="dxa"/>
            <w:noWrap/>
            <w:vAlign w:val="center"/>
          </w:tcPr>
          <w:p w14:paraId="12E4BE99" w14:textId="6FA7FD03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228 (17.9)</w:t>
            </w:r>
          </w:p>
        </w:tc>
        <w:tc>
          <w:tcPr>
            <w:tcW w:w="2520" w:type="dxa"/>
            <w:noWrap/>
            <w:vAlign w:val="center"/>
          </w:tcPr>
          <w:p w14:paraId="6C70B72A" w14:textId="1AA2601E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39 (10.5)</w:t>
            </w:r>
          </w:p>
        </w:tc>
        <w:tc>
          <w:tcPr>
            <w:tcW w:w="1024" w:type="dxa"/>
            <w:noWrap/>
            <w:vAlign w:val="center"/>
          </w:tcPr>
          <w:p w14:paraId="3B2FC051" w14:textId="624E1478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0.001</w:t>
            </w:r>
          </w:p>
        </w:tc>
      </w:tr>
      <w:tr w:rsidR="00D4672E" w:rsidRPr="00BD0B78" w14:paraId="4216FD35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43CC0003" w14:textId="68743AEC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Device (%)</w:t>
            </w:r>
          </w:p>
        </w:tc>
        <w:tc>
          <w:tcPr>
            <w:tcW w:w="2835" w:type="dxa"/>
            <w:noWrap/>
            <w:vAlign w:val="center"/>
          </w:tcPr>
          <w:p w14:paraId="04293B8D" w14:textId="77777777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20" w:type="dxa"/>
            <w:noWrap/>
            <w:vAlign w:val="center"/>
          </w:tcPr>
          <w:p w14:paraId="3CDE3623" w14:textId="77777777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024" w:type="dxa"/>
            <w:noWrap/>
            <w:vAlign w:val="center"/>
          </w:tcPr>
          <w:p w14:paraId="33CFB31C" w14:textId="4E056F30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&lt;0.001</w:t>
            </w:r>
          </w:p>
        </w:tc>
      </w:tr>
      <w:tr w:rsidR="00D4672E" w:rsidRPr="00BD0B78" w14:paraId="46FDB7A0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363ED4EB" w14:textId="41875D27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None</w:t>
            </w:r>
          </w:p>
        </w:tc>
        <w:tc>
          <w:tcPr>
            <w:tcW w:w="2835" w:type="dxa"/>
            <w:noWrap/>
            <w:vAlign w:val="center"/>
          </w:tcPr>
          <w:p w14:paraId="237B0434" w14:textId="010D7D69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916 (72.0)</w:t>
            </w:r>
          </w:p>
        </w:tc>
        <w:tc>
          <w:tcPr>
            <w:tcW w:w="2520" w:type="dxa"/>
            <w:noWrap/>
            <w:vAlign w:val="center"/>
          </w:tcPr>
          <w:p w14:paraId="415D07A5" w14:textId="7D90C942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305 (82.2)</w:t>
            </w:r>
          </w:p>
        </w:tc>
        <w:tc>
          <w:tcPr>
            <w:tcW w:w="1024" w:type="dxa"/>
            <w:noWrap/>
            <w:vAlign w:val="center"/>
          </w:tcPr>
          <w:p w14:paraId="28FB2D18" w14:textId="77777777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4672E" w:rsidRPr="00BD0B78" w14:paraId="07EA2B0B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67BEE747" w14:textId="3685D7F3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Pacemaker</w:t>
            </w:r>
          </w:p>
        </w:tc>
        <w:tc>
          <w:tcPr>
            <w:tcW w:w="2835" w:type="dxa"/>
            <w:noWrap/>
            <w:vAlign w:val="center"/>
          </w:tcPr>
          <w:p w14:paraId="21BB7021" w14:textId="47BA44BE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71 (5.6)</w:t>
            </w:r>
          </w:p>
        </w:tc>
        <w:tc>
          <w:tcPr>
            <w:tcW w:w="2520" w:type="dxa"/>
            <w:noWrap/>
            <w:vAlign w:val="center"/>
          </w:tcPr>
          <w:p w14:paraId="2EC95398" w14:textId="4FEC0118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29 (7.8)</w:t>
            </w:r>
          </w:p>
        </w:tc>
        <w:tc>
          <w:tcPr>
            <w:tcW w:w="1024" w:type="dxa"/>
            <w:noWrap/>
            <w:vAlign w:val="center"/>
          </w:tcPr>
          <w:p w14:paraId="7C98AB22" w14:textId="77777777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4672E" w:rsidRPr="00BD0B78" w14:paraId="63B2417D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47CC0617" w14:textId="2BF2C7EB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ICD</w:t>
            </w:r>
          </w:p>
        </w:tc>
        <w:tc>
          <w:tcPr>
            <w:tcW w:w="2835" w:type="dxa"/>
            <w:noWrap/>
            <w:vAlign w:val="center"/>
          </w:tcPr>
          <w:p w14:paraId="79127B51" w14:textId="1BEC3FD1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141 (11.1)</w:t>
            </w:r>
          </w:p>
        </w:tc>
        <w:tc>
          <w:tcPr>
            <w:tcW w:w="2520" w:type="dxa"/>
            <w:noWrap/>
            <w:vAlign w:val="center"/>
          </w:tcPr>
          <w:p w14:paraId="5511BFE5" w14:textId="5158E64E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15 (4.0)</w:t>
            </w:r>
          </w:p>
        </w:tc>
        <w:tc>
          <w:tcPr>
            <w:tcW w:w="1024" w:type="dxa"/>
            <w:noWrap/>
            <w:vAlign w:val="center"/>
          </w:tcPr>
          <w:p w14:paraId="24FB9C92" w14:textId="77777777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4672E" w:rsidRPr="00BD0B78" w14:paraId="114B9750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1BAC04FE" w14:textId="5A880CB6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CRT</w:t>
            </w:r>
          </w:p>
        </w:tc>
        <w:tc>
          <w:tcPr>
            <w:tcW w:w="2835" w:type="dxa"/>
            <w:noWrap/>
            <w:vAlign w:val="center"/>
          </w:tcPr>
          <w:p w14:paraId="31485725" w14:textId="305C7BCF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26 (2.0)</w:t>
            </w:r>
          </w:p>
        </w:tc>
        <w:tc>
          <w:tcPr>
            <w:tcW w:w="2520" w:type="dxa"/>
            <w:noWrap/>
            <w:vAlign w:val="center"/>
          </w:tcPr>
          <w:p w14:paraId="3F43FC3C" w14:textId="670677EF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4 (1.1)</w:t>
            </w:r>
          </w:p>
        </w:tc>
        <w:tc>
          <w:tcPr>
            <w:tcW w:w="1024" w:type="dxa"/>
            <w:noWrap/>
            <w:vAlign w:val="center"/>
          </w:tcPr>
          <w:p w14:paraId="2E3062D0" w14:textId="77777777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4672E" w:rsidRPr="00BD0B78" w14:paraId="3BA30EA0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5D4BF177" w14:textId="7E33ED74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   CRT </w:t>
            </w:r>
            <w:proofErr w:type="spellStart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and</w:t>
            </w:r>
            <w:proofErr w:type="spellEnd"/>
            <w:r w:rsidRPr="00BD0B7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ICD</w:t>
            </w:r>
          </w:p>
        </w:tc>
        <w:tc>
          <w:tcPr>
            <w:tcW w:w="2835" w:type="dxa"/>
            <w:noWrap/>
            <w:vAlign w:val="center"/>
          </w:tcPr>
          <w:p w14:paraId="457B389F" w14:textId="29296EFB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118 (9.3)</w:t>
            </w:r>
          </w:p>
        </w:tc>
        <w:tc>
          <w:tcPr>
            <w:tcW w:w="2520" w:type="dxa"/>
            <w:noWrap/>
            <w:vAlign w:val="center"/>
          </w:tcPr>
          <w:p w14:paraId="23381629" w14:textId="35936621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BD0B7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18 (4.9)</w:t>
            </w:r>
          </w:p>
        </w:tc>
        <w:tc>
          <w:tcPr>
            <w:tcW w:w="1024" w:type="dxa"/>
            <w:noWrap/>
            <w:vAlign w:val="center"/>
          </w:tcPr>
          <w:p w14:paraId="39B6FA09" w14:textId="77777777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922F58" w:rsidRPr="00BD0B78" w14:paraId="3C08593B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6867B09D" w14:textId="3BD263CD" w:rsidR="00922F58" w:rsidRPr="00BD0B78" w:rsidRDefault="00922F58" w:rsidP="0038138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BD0B7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Medication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6CEF6614" w14:textId="77777777" w:rsidR="00922F58" w:rsidRPr="00BD0B78" w:rsidRDefault="00922F58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20" w:type="dxa"/>
            <w:noWrap/>
            <w:vAlign w:val="center"/>
          </w:tcPr>
          <w:p w14:paraId="372BEE73" w14:textId="77777777" w:rsidR="00922F58" w:rsidRPr="00BD0B78" w:rsidRDefault="00922F58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024" w:type="dxa"/>
            <w:noWrap/>
            <w:vAlign w:val="center"/>
          </w:tcPr>
          <w:p w14:paraId="2B677BE2" w14:textId="77777777" w:rsidR="00922F58" w:rsidRPr="00BD0B78" w:rsidRDefault="00922F58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922F58" w14:paraId="55872EB8" w14:textId="77777777" w:rsidTr="00922F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hideMark/>
          </w:tcPr>
          <w:p w14:paraId="4CDB2ED9" w14:textId="77777777" w:rsidR="00922F58" w:rsidRPr="00922F58" w:rsidRDefault="00922F58" w:rsidP="00922F58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Loop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diuretics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(%)</w:t>
            </w:r>
          </w:p>
        </w:tc>
        <w:tc>
          <w:tcPr>
            <w:tcW w:w="2835" w:type="dxa"/>
            <w:noWrap/>
            <w:hideMark/>
          </w:tcPr>
          <w:p w14:paraId="0FA11905" w14:textId="77777777" w:rsidR="00922F58" w:rsidRPr="00922F58" w:rsidRDefault="00922F58" w:rsidP="0092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922F5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1270 (99.5)</w:t>
            </w:r>
          </w:p>
        </w:tc>
        <w:tc>
          <w:tcPr>
            <w:tcW w:w="2520" w:type="dxa"/>
            <w:noWrap/>
            <w:hideMark/>
          </w:tcPr>
          <w:p w14:paraId="324994A8" w14:textId="77777777" w:rsidR="00922F58" w:rsidRPr="00922F58" w:rsidRDefault="00922F58" w:rsidP="0092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922F5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373 (100.0)</w:t>
            </w:r>
          </w:p>
        </w:tc>
        <w:tc>
          <w:tcPr>
            <w:tcW w:w="1024" w:type="dxa"/>
            <w:noWrap/>
            <w:hideMark/>
          </w:tcPr>
          <w:p w14:paraId="4BD8C194" w14:textId="77777777" w:rsidR="00922F58" w:rsidRPr="00922F58" w:rsidRDefault="00922F58" w:rsidP="0092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922F5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0.402</w:t>
            </w:r>
          </w:p>
        </w:tc>
      </w:tr>
      <w:tr w:rsidR="00922F58" w14:paraId="34A1F4DF" w14:textId="77777777" w:rsidTr="00922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hideMark/>
          </w:tcPr>
          <w:p w14:paraId="3E182E86" w14:textId="77777777" w:rsidR="00922F58" w:rsidRDefault="00922F58" w:rsidP="00922F58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Digoxin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(%)</w:t>
            </w:r>
          </w:p>
        </w:tc>
        <w:tc>
          <w:tcPr>
            <w:tcW w:w="2835" w:type="dxa"/>
            <w:noWrap/>
            <w:hideMark/>
          </w:tcPr>
          <w:p w14:paraId="40BD90D0" w14:textId="77777777" w:rsidR="00922F58" w:rsidRDefault="00922F58" w:rsidP="00922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267 (20.9)</w:t>
            </w:r>
          </w:p>
        </w:tc>
        <w:tc>
          <w:tcPr>
            <w:tcW w:w="2520" w:type="dxa"/>
            <w:noWrap/>
            <w:hideMark/>
          </w:tcPr>
          <w:p w14:paraId="43695600" w14:textId="77777777" w:rsidR="00922F58" w:rsidRDefault="00922F58" w:rsidP="00922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50 (13.4)</w:t>
            </w:r>
          </w:p>
        </w:tc>
        <w:tc>
          <w:tcPr>
            <w:tcW w:w="1024" w:type="dxa"/>
            <w:noWrap/>
            <w:hideMark/>
          </w:tcPr>
          <w:p w14:paraId="3B15210E" w14:textId="77777777" w:rsidR="00922F58" w:rsidRDefault="00922F58" w:rsidP="00922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0.002</w:t>
            </w:r>
          </w:p>
        </w:tc>
      </w:tr>
      <w:tr w:rsidR="00D4672E" w:rsidRPr="00BD0B78" w14:paraId="121E6994" w14:textId="77777777" w:rsidTr="00CF4E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2E4C9CE3" w14:textId="7B4389DA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38138C"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en-GB"/>
              </w:rPr>
              <w:t>6MWT</w:t>
            </w:r>
          </w:p>
        </w:tc>
        <w:tc>
          <w:tcPr>
            <w:tcW w:w="2835" w:type="dxa"/>
            <w:noWrap/>
            <w:vAlign w:val="center"/>
          </w:tcPr>
          <w:p w14:paraId="4C2B709A" w14:textId="77777777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20" w:type="dxa"/>
            <w:noWrap/>
            <w:vAlign w:val="center"/>
          </w:tcPr>
          <w:p w14:paraId="398BB05E" w14:textId="77777777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024" w:type="dxa"/>
            <w:noWrap/>
            <w:vAlign w:val="center"/>
          </w:tcPr>
          <w:p w14:paraId="3EF9D99E" w14:textId="77777777" w:rsidR="0038138C" w:rsidRPr="00BD0B78" w:rsidRDefault="0038138C" w:rsidP="00381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</w:p>
        </w:tc>
      </w:tr>
      <w:tr w:rsidR="00D4672E" w:rsidRPr="00BD0B78" w14:paraId="242F2CFA" w14:textId="77777777" w:rsidTr="00CF4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</w:tcPr>
          <w:p w14:paraId="74C4AAD2" w14:textId="690C6049" w:rsidR="0038138C" w:rsidRPr="00BD0B78" w:rsidRDefault="0038138C" w:rsidP="0038138C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</w:t>
            </w:r>
            <w:r w:rsidRPr="0038138C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MWT6 V1 (m)</w:t>
            </w:r>
          </w:p>
        </w:tc>
        <w:tc>
          <w:tcPr>
            <w:tcW w:w="2835" w:type="dxa"/>
            <w:noWrap/>
            <w:vAlign w:val="center"/>
          </w:tcPr>
          <w:p w14:paraId="37DA35B2" w14:textId="1AD6C689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38138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281.00 [100.00, 385.00]</w:t>
            </w:r>
          </w:p>
        </w:tc>
        <w:tc>
          <w:tcPr>
            <w:tcW w:w="2520" w:type="dxa"/>
            <w:noWrap/>
            <w:vAlign w:val="center"/>
          </w:tcPr>
          <w:p w14:paraId="494ACDCC" w14:textId="3C8B2C78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38138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180.00 [0.00, 310.00]</w:t>
            </w:r>
          </w:p>
        </w:tc>
        <w:tc>
          <w:tcPr>
            <w:tcW w:w="1024" w:type="dxa"/>
            <w:noWrap/>
            <w:vAlign w:val="center"/>
          </w:tcPr>
          <w:p w14:paraId="55C5E6AC" w14:textId="4235C1FF" w:rsidR="0038138C" w:rsidRPr="00BD0B78" w:rsidRDefault="0038138C" w:rsidP="00381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</w:pPr>
            <w:r w:rsidRPr="0038138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GB"/>
              </w:rPr>
              <w:t>&lt;0.001</w:t>
            </w:r>
          </w:p>
        </w:tc>
      </w:tr>
    </w:tbl>
    <w:p w14:paraId="3E668939" w14:textId="77777777" w:rsidR="0043045F" w:rsidRDefault="0043045F">
      <w:pPr>
        <w:rPr>
          <w:rFonts w:ascii="Times New Roman" w:hAnsi="Times New Roman" w:cs="Times New Roman"/>
          <w:bCs/>
          <w:lang w:val="en-US"/>
        </w:rPr>
      </w:pPr>
    </w:p>
    <w:p w14:paraId="5A5DA9CD" w14:textId="2CE1253D" w:rsidR="005B548D" w:rsidRDefault="0043045F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Legend: </w:t>
      </w:r>
      <w:r w:rsidR="0038138C" w:rsidRPr="0038138C">
        <w:rPr>
          <w:rFonts w:ascii="Times New Roman" w:hAnsi="Times New Roman" w:cs="Times New Roman"/>
          <w:bCs/>
          <w:lang w:val="en-US"/>
        </w:rPr>
        <w:t>6MWT= 6-min walk test</w:t>
      </w:r>
      <w:r w:rsidR="0038138C">
        <w:rPr>
          <w:rFonts w:ascii="Times New Roman" w:hAnsi="Times New Roman" w:cs="Times New Roman"/>
          <w:bCs/>
          <w:lang w:val="en-US"/>
        </w:rPr>
        <w:t xml:space="preserve">, </w:t>
      </w:r>
      <w:r w:rsidR="0038138C" w:rsidRPr="0038138C">
        <w:rPr>
          <w:rFonts w:ascii="Times New Roman" w:hAnsi="Times New Roman" w:cs="Times New Roman"/>
          <w:bCs/>
          <w:lang w:val="en-US"/>
        </w:rPr>
        <w:t>CABG=coronary artery by-pass graft, CRT=cardiac resynchronization therapy</w:t>
      </w:r>
      <w:r w:rsidR="0038138C">
        <w:rPr>
          <w:rFonts w:ascii="Times New Roman" w:hAnsi="Times New Roman" w:cs="Times New Roman"/>
          <w:bCs/>
          <w:lang w:val="en-US"/>
        </w:rPr>
        <w:t xml:space="preserve">, </w:t>
      </w:r>
      <w:r w:rsidR="0038138C" w:rsidRPr="0038138C">
        <w:rPr>
          <w:rFonts w:ascii="Times New Roman" w:hAnsi="Times New Roman" w:cs="Times New Roman"/>
          <w:bCs/>
          <w:lang w:val="en-US"/>
        </w:rPr>
        <w:t>ICD=implantable cardioverter defibrillator,</w:t>
      </w:r>
      <w:r w:rsidR="0038138C">
        <w:rPr>
          <w:rFonts w:ascii="Times New Roman" w:hAnsi="Times New Roman" w:cs="Times New Roman"/>
          <w:bCs/>
          <w:lang w:val="en-US"/>
        </w:rPr>
        <w:t xml:space="preserve"> </w:t>
      </w:r>
      <w:r w:rsidR="0038138C" w:rsidRPr="0038138C">
        <w:rPr>
          <w:rFonts w:ascii="Times New Roman" w:hAnsi="Times New Roman" w:cs="Times New Roman"/>
          <w:bCs/>
          <w:lang w:val="en-US"/>
        </w:rPr>
        <w:t>PCI=percutaneous coronary intervention</w:t>
      </w:r>
      <w:r w:rsidR="00E54D41">
        <w:rPr>
          <w:rFonts w:ascii="Times New Roman" w:hAnsi="Times New Roman" w:cs="Times New Roman"/>
          <w:bCs/>
          <w:lang w:val="en-US"/>
        </w:rPr>
        <w:t>.</w:t>
      </w:r>
    </w:p>
    <w:p w14:paraId="2FC27A7F" w14:textId="06D39A40" w:rsidR="00E54D41" w:rsidRPr="0038138C" w:rsidRDefault="00E54D41">
      <w:pPr>
        <w:rPr>
          <w:rFonts w:ascii="Times New Roman" w:hAnsi="Times New Roman" w:cs="Times New Roman"/>
          <w:bCs/>
          <w:lang w:val="en-US"/>
        </w:rPr>
      </w:pPr>
      <w:r w:rsidRPr="00E54D41">
        <w:rPr>
          <w:rFonts w:ascii="Times New Roman" w:hAnsi="Times New Roman" w:cs="Times New Roman"/>
          <w:bCs/>
          <w:lang w:val="en-US"/>
        </w:rPr>
        <w:t xml:space="preserve">Continuous variables are presented </w:t>
      </w:r>
      <w:proofErr w:type="gramStart"/>
      <w:r w:rsidRPr="00E54D41">
        <w:rPr>
          <w:rFonts w:ascii="Times New Roman" w:hAnsi="Times New Roman" w:cs="Times New Roman"/>
          <w:bCs/>
          <w:lang w:val="en-US"/>
        </w:rPr>
        <w:t>either as means ± standard deviation when normally distributed, or median</w:t>
      </w:r>
      <w:proofErr w:type="gramEnd"/>
      <w:r w:rsidRPr="00E54D41">
        <w:rPr>
          <w:rFonts w:ascii="Times New Roman" w:hAnsi="Times New Roman" w:cs="Times New Roman"/>
          <w:bCs/>
          <w:lang w:val="en-US"/>
        </w:rPr>
        <w:t xml:space="preserve"> (interquartile range) for non-normally distributed variables. Categorical variables </w:t>
      </w:r>
      <w:proofErr w:type="gramStart"/>
      <w:r w:rsidRPr="00E54D41">
        <w:rPr>
          <w:rFonts w:ascii="Times New Roman" w:hAnsi="Times New Roman" w:cs="Times New Roman"/>
          <w:bCs/>
          <w:lang w:val="en-US"/>
        </w:rPr>
        <w:t>are shown</w:t>
      </w:r>
      <w:proofErr w:type="gramEnd"/>
      <w:r w:rsidRPr="00E54D41">
        <w:rPr>
          <w:rFonts w:ascii="Times New Roman" w:hAnsi="Times New Roman" w:cs="Times New Roman"/>
          <w:bCs/>
          <w:lang w:val="en-US"/>
        </w:rPr>
        <w:t xml:space="preserve"> as numbers (percentages).</w:t>
      </w:r>
    </w:p>
    <w:p w14:paraId="390868FA" w14:textId="77777777" w:rsidR="003D3009" w:rsidRPr="00FD6161" w:rsidRDefault="003D3009" w:rsidP="003D3009">
      <w:pPr>
        <w:rPr>
          <w:b/>
        </w:rPr>
        <w:sectPr w:rsidR="003D3009" w:rsidRPr="00FD6161" w:rsidSect="005A7122">
          <w:footerReference w:type="default" r:id="rId8"/>
          <w:pgSz w:w="11906" w:h="16838"/>
          <w:pgMar w:top="1417" w:right="1134" w:bottom="1134" w:left="1134" w:header="709" w:footer="709" w:gutter="0"/>
          <w:pgNumType w:fmt="numberInDash" w:start="1"/>
          <w:cols w:space="708"/>
          <w:docGrid w:linePitch="360"/>
        </w:sectPr>
      </w:pPr>
    </w:p>
    <w:p w14:paraId="30BB593F" w14:textId="4A8A9142" w:rsidR="003D3009" w:rsidRPr="003D3009" w:rsidRDefault="003D3009" w:rsidP="003D3009">
      <w:pPr>
        <w:rPr>
          <w:rFonts w:ascii="Times New Roman" w:hAnsi="Times New Roman" w:cs="Times New Roman"/>
          <w:lang w:val="en-US"/>
        </w:rPr>
      </w:pPr>
      <w:r w:rsidRPr="003D3009">
        <w:rPr>
          <w:rFonts w:ascii="Times New Roman" w:hAnsi="Times New Roman" w:cs="Times New Roman"/>
          <w:b/>
          <w:bCs/>
          <w:lang w:val="en-US"/>
        </w:rPr>
        <w:t xml:space="preserve"> Table </w:t>
      </w:r>
      <w:r w:rsidR="00323B9C">
        <w:rPr>
          <w:rFonts w:ascii="Times New Roman" w:hAnsi="Times New Roman" w:cs="Times New Roman"/>
          <w:b/>
          <w:bCs/>
          <w:lang w:val="en-US"/>
        </w:rPr>
        <w:t>S</w:t>
      </w:r>
      <w:r w:rsidR="004B388D">
        <w:rPr>
          <w:rFonts w:ascii="Times New Roman" w:hAnsi="Times New Roman" w:cs="Times New Roman"/>
          <w:b/>
          <w:bCs/>
          <w:lang w:val="en-US"/>
        </w:rPr>
        <w:t>3</w:t>
      </w:r>
      <w:r w:rsidRPr="003D3009">
        <w:rPr>
          <w:rFonts w:ascii="Times New Roman" w:hAnsi="Times New Roman" w:cs="Times New Roman"/>
          <w:b/>
          <w:bCs/>
          <w:lang w:val="en-US"/>
        </w:rPr>
        <w:t>.</w:t>
      </w:r>
      <w:r w:rsidRPr="003D3009">
        <w:rPr>
          <w:rFonts w:ascii="Times New Roman" w:hAnsi="Times New Roman" w:cs="Times New Roman"/>
          <w:lang w:val="en-US"/>
        </w:rPr>
        <w:t xml:space="preserve"> Variation in </w:t>
      </w:r>
      <w:r w:rsidR="004A6ED3">
        <w:rPr>
          <w:rFonts w:ascii="Times New Roman" w:hAnsi="Times New Roman" w:cs="Times New Roman"/>
          <w:lang w:val="en-US"/>
        </w:rPr>
        <w:t>quality of life</w:t>
      </w:r>
      <w:r w:rsidRPr="003D3009">
        <w:rPr>
          <w:rFonts w:ascii="Times New Roman" w:hAnsi="Times New Roman" w:cs="Times New Roman"/>
          <w:lang w:val="en-US"/>
        </w:rPr>
        <w:t xml:space="preserve"> summary scores between baseline and </w:t>
      </w:r>
      <w:r w:rsidR="00FD6161">
        <w:rPr>
          <w:rFonts w:ascii="Times New Roman" w:hAnsi="Times New Roman" w:cs="Times New Roman"/>
          <w:lang w:val="en-US"/>
        </w:rPr>
        <w:t>nine</w:t>
      </w:r>
      <w:r w:rsidRPr="003D3009">
        <w:rPr>
          <w:rFonts w:ascii="Times New Roman" w:hAnsi="Times New Roman" w:cs="Times New Roman"/>
          <w:lang w:val="en-US"/>
        </w:rPr>
        <w:t xml:space="preserve"> months in the </w:t>
      </w:r>
      <w:r w:rsidR="000A0BA2">
        <w:rPr>
          <w:rFonts w:ascii="Times New Roman" w:hAnsi="Times New Roman" w:cs="Times New Roman"/>
          <w:lang w:val="en-US"/>
        </w:rPr>
        <w:t>total</w:t>
      </w:r>
      <w:r w:rsidRPr="003D3009">
        <w:rPr>
          <w:rFonts w:ascii="Times New Roman" w:hAnsi="Times New Roman" w:cs="Times New Roman"/>
          <w:lang w:val="en-US"/>
        </w:rPr>
        <w:t xml:space="preserve"> population (a), and in men (b) and women (c) separately, who received 0, 1–49%, 50–99%, or 100% or more of guideline-recommended β blocker dose</w:t>
      </w:r>
      <w:r w:rsidR="00E54D41">
        <w:rPr>
          <w:rFonts w:ascii="Times New Roman" w:hAnsi="Times New Roman" w:cs="Times New Roman"/>
          <w:lang w:val="en-US"/>
        </w:rPr>
        <w:t>, median [interquartile range].</w:t>
      </w:r>
    </w:p>
    <w:p w14:paraId="1E5B95B0" w14:textId="77777777" w:rsidR="003D3009" w:rsidRPr="003D3009" w:rsidRDefault="003D3009" w:rsidP="003D3009">
      <w:pPr>
        <w:rPr>
          <w:rFonts w:ascii="Times New Roman" w:hAnsi="Times New Roman" w:cs="Times New Roman"/>
          <w:lang w:val="es-ES"/>
        </w:rPr>
      </w:pPr>
      <w:r w:rsidRPr="003D3009">
        <w:rPr>
          <w:rFonts w:ascii="Times New Roman" w:hAnsi="Times New Roman" w:cs="Times New Roman"/>
          <w:lang w:val="es-ES"/>
        </w:rPr>
        <w:t>(a)</w:t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1951"/>
        <w:gridCol w:w="2540"/>
        <w:gridCol w:w="2134"/>
        <w:gridCol w:w="2134"/>
        <w:gridCol w:w="2136"/>
        <w:gridCol w:w="2138"/>
        <w:gridCol w:w="1187"/>
      </w:tblGrid>
      <w:tr w:rsidR="003D3009" w:rsidRPr="003D3009" w14:paraId="1274D01B" w14:textId="77777777" w:rsidTr="003D3009">
        <w:trPr>
          <w:trHeight w:val="251"/>
        </w:trPr>
        <w:tc>
          <w:tcPr>
            <w:tcW w:w="4491" w:type="dxa"/>
            <w:gridSpan w:val="2"/>
            <w:vMerge w:val="restart"/>
          </w:tcPr>
          <w:p w14:paraId="3A8A4593" w14:textId="0B3771DF" w:rsidR="003D3009" w:rsidRPr="003D3009" w:rsidRDefault="003D3009" w:rsidP="00FD6161">
            <w:pPr>
              <w:rPr>
                <w:rFonts w:ascii="Times New Roman" w:hAnsi="Times New Roman" w:cs="Times New Roman"/>
                <w:b/>
              </w:rPr>
            </w:pPr>
            <w:r w:rsidRPr="003D3009">
              <w:rPr>
                <w:rFonts w:ascii="Times New Roman" w:hAnsi="Times New Roman" w:cs="Times New Roman"/>
                <w:b/>
              </w:rPr>
              <w:t xml:space="preserve">HFrEF </w:t>
            </w:r>
            <w:r w:rsidR="00FD6161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="00FD6161">
              <w:rPr>
                <w:rFonts w:ascii="Times New Roman" w:hAnsi="Times New Roman" w:cs="Times New Roman"/>
                <w:b/>
              </w:rPr>
              <w:t>population</w:t>
            </w:r>
            <w:proofErr w:type="spellEnd"/>
          </w:p>
        </w:tc>
        <w:tc>
          <w:tcPr>
            <w:tcW w:w="8542" w:type="dxa"/>
            <w:gridSpan w:val="4"/>
            <w:shd w:val="clear" w:color="auto" w:fill="D9D9D9" w:themeFill="background1" w:themeFillShade="D9"/>
          </w:tcPr>
          <w:p w14:paraId="659BDA90" w14:textId="45A57A10" w:rsidR="003D3009" w:rsidRPr="003D3009" w:rsidRDefault="003D3009" w:rsidP="00FD61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Fraction target dose </w:t>
            </w:r>
            <w:r w:rsidRPr="003D3009">
              <w:rPr>
                <w:rFonts w:ascii="Times New Roman" w:hAnsi="Times New Roman" w:cs="Times New Roman"/>
                <w:b/>
                <w:lang w:val="es-ES"/>
              </w:rPr>
              <w:t>β</w:t>
            </w:r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 blockers </w:t>
            </w:r>
            <w:r w:rsidR="00FD6161">
              <w:rPr>
                <w:rFonts w:ascii="Times New Roman" w:hAnsi="Times New Roman" w:cs="Times New Roman"/>
                <w:b/>
                <w:lang w:val="en-US"/>
              </w:rPr>
              <w:t>after up-titration</w:t>
            </w:r>
            <w:r w:rsidR="000A0BA2">
              <w:rPr>
                <w:rFonts w:ascii="Times New Roman" w:hAnsi="Times New Roman" w:cs="Times New Roman"/>
                <w:b/>
                <w:lang w:val="en-US"/>
              </w:rPr>
              <w:t xml:space="preserve"> phase</w:t>
            </w:r>
          </w:p>
        </w:tc>
        <w:tc>
          <w:tcPr>
            <w:tcW w:w="1187" w:type="dxa"/>
            <w:vMerge w:val="restart"/>
            <w:vAlign w:val="center"/>
          </w:tcPr>
          <w:p w14:paraId="271CAF1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D3009">
              <w:rPr>
                <w:rFonts w:ascii="Times New Roman" w:hAnsi="Times New Roman" w:cs="Times New Roman"/>
                <w:lang w:val="es-ES"/>
              </w:rPr>
              <w:t>p</w:t>
            </w:r>
          </w:p>
        </w:tc>
      </w:tr>
      <w:tr w:rsidR="003D3009" w:rsidRPr="003D3009" w14:paraId="7338709B" w14:textId="77777777" w:rsidTr="003D3009">
        <w:trPr>
          <w:trHeight w:val="279"/>
        </w:trPr>
        <w:tc>
          <w:tcPr>
            <w:tcW w:w="4491" w:type="dxa"/>
            <w:gridSpan w:val="2"/>
            <w:vMerge/>
          </w:tcPr>
          <w:p w14:paraId="266066BD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5B522CB6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 xml:space="preserve"> 0%</w:t>
            </w: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7A8A29F7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1-49%</w:t>
            </w:r>
          </w:p>
        </w:tc>
        <w:tc>
          <w:tcPr>
            <w:tcW w:w="2136" w:type="dxa"/>
            <w:shd w:val="clear" w:color="auto" w:fill="D9D9D9" w:themeFill="background1" w:themeFillShade="D9"/>
            <w:noWrap/>
            <w:vAlign w:val="center"/>
            <w:hideMark/>
          </w:tcPr>
          <w:p w14:paraId="2178DF7E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50-99%</w:t>
            </w:r>
          </w:p>
        </w:tc>
        <w:tc>
          <w:tcPr>
            <w:tcW w:w="2138" w:type="dxa"/>
            <w:shd w:val="clear" w:color="auto" w:fill="D9D9D9" w:themeFill="background1" w:themeFillShade="D9"/>
            <w:noWrap/>
            <w:vAlign w:val="center"/>
            <w:hideMark/>
          </w:tcPr>
          <w:p w14:paraId="3522BADE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≥ 100%</w:t>
            </w:r>
          </w:p>
        </w:tc>
        <w:tc>
          <w:tcPr>
            <w:tcW w:w="1187" w:type="dxa"/>
            <w:vMerge/>
            <w:noWrap/>
            <w:vAlign w:val="center"/>
            <w:hideMark/>
          </w:tcPr>
          <w:p w14:paraId="1067A52D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3D3009" w:rsidRPr="003D3009" w14:paraId="6CA03560" w14:textId="77777777" w:rsidTr="003D3009">
        <w:trPr>
          <w:trHeight w:val="279"/>
        </w:trPr>
        <w:tc>
          <w:tcPr>
            <w:tcW w:w="4491" w:type="dxa"/>
            <w:gridSpan w:val="2"/>
          </w:tcPr>
          <w:p w14:paraId="5744F287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</w:t>
            </w:r>
          </w:p>
        </w:tc>
        <w:tc>
          <w:tcPr>
            <w:tcW w:w="2134" w:type="dxa"/>
            <w:noWrap/>
            <w:vAlign w:val="center"/>
            <w:hideMark/>
          </w:tcPr>
          <w:p w14:paraId="0B190794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69</w:t>
            </w:r>
          </w:p>
        </w:tc>
        <w:tc>
          <w:tcPr>
            <w:tcW w:w="2134" w:type="dxa"/>
            <w:noWrap/>
            <w:vAlign w:val="center"/>
            <w:hideMark/>
          </w:tcPr>
          <w:p w14:paraId="5A4466C5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704</w:t>
            </w:r>
          </w:p>
        </w:tc>
        <w:tc>
          <w:tcPr>
            <w:tcW w:w="2136" w:type="dxa"/>
            <w:noWrap/>
            <w:vAlign w:val="center"/>
            <w:hideMark/>
          </w:tcPr>
          <w:p w14:paraId="0D2781A4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327</w:t>
            </w:r>
          </w:p>
        </w:tc>
        <w:tc>
          <w:tcPr>
            <w:tcW w:w="2138" w:type="dxa"/>
            <w:noWrap/>
            <w:vAlign w:val="center"/>
            <w:hideMark/>
          </w:tcPr>
          <w:p w14:paraId="3FA51D89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142</w:t>
            </w:r>
          </w:p>
        </w:tc>
        <w:tc>
          <w:tcPr>
            <w:tcW w:w="1187" w:type="dxa"/>
            <w:noWrap/>
            <w:vAlign w:val="center"/>
            <w:hideMark/>
          </w:tcPr>
          <w:p w14:paraId="3C6AEA02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3D3009" w:rsidRPr="003D3009" w14:paraId="4B89DF33" w14:textId="77777777" w:rsidTr="003D3009">
        <w:trPr>
          <w:trHeight w:val="409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592C9E3B" w14:textId="3E050179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</w:pPr>
            <w:proofErr w:type="spellStart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QoL</w:t>
            </w:r>
            <w:proofErr w:type="spellEnd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variation between baseline and </w:t>
            </w:r>
            <w:r w:rsidR="000A0BA2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nine</w:t>
            </w: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months</w:t>
            </w: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  <w:hideMark/>
          </w:tcPr>
          <w:p w14:paraId="1FBF2F1A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KCCQ overall score</w:t>
            </w:r>
          </w:p>
        </w:tc>
        <w:tc>
          <w:tcPr>
            <w:tcW w:w="2134" w:type="dxa"/>
            <w:noWrap/>
            <w:vAlign w:val="center"/>
            <w:hideMark/>
          </w:tcPr>
          <w:p w14:paraId="047EC0FB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7.29 [0.00, 30.21]</w:t>
            </w:r>
          </w:p>
        </w:tc>
        <w:tc>
          <w:tcPr>
            <w:tcW w:w="2134" w:type="dxa"/>
            <w:noWrap/>
            <w:vAlign w:val="center"/>
            <w:hideMark/>
          </w:tcPr>
          <w:p w14:paraId="0DBE0A12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10.94 [1.04, 26.04]</w:t>
            </w:r>
          </w:p>
        </w:tc>
        <w:tc>
          <w:tcPr>
            <w:tcW w:w="2136" w:type="dxa"/>
            <w:noWrap/>
            <w:vAlign w:val="center"/>
            <w:hideMark/>
          </w:tcPr>
          <w:p w14:paraId="4E950072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10.42 [0.00, 25.00]</w:t>
            </w:r>
          </w:p>
        </w:tc>
        <w:tc>
          <w:tcPr>
            <w:tcW w:w="2138" w:type="dxa"/>
            <w:noWrap/>
            <w:vAlign w:val="center"/>
            <w:hideMark/>
          </w:tcPr>
          <w:p w14:paraId="453F0030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18.23 [0.00, 35.42]</w:t>
            </w:r>
          </w:p>
        </w:tc>
        <w:tc>
          <w:tcPr>
            <w:tcW w:w="1187" w:type="dxa"/>
            <w:noWrap/>
            <w:vAlign w:val="center"/>
            <w:hideMark/>
          </w:tcPr>
          <w:p w14:paraId="1CF7050F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0.468</w:t>
            </w:r>
          </w:p>
        </w:tc>
      </w:tr>
      <w:tr w:rsidR="003D3009" w:rsidRPr="003D3009" w14:paraId="1AFDD08A" w14:textId="77777777" w:rsidTr="003D3009">
        <w:trPr>
          <w:trHeight w:val="41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03447DB3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  <w:hideMark/>
          </w:tcPr>
          <w:p w14:paraId="7596EB28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  <w:t>EQ-5D utility score</w:t>
            </w:r>
          </w:p>
        </w:tc>
        <w:tc>
          <w:tcPr>
            <w:tcW w:w="2134" w:type="dxa"/>
            <w:noWrap/>
            <w:vAlign w:val="center"/>
            <w:hideMark/>
          </w:tcPr>
          <w:p w14:paraId="39C8410A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0.07 [-0.05, 0.19]</w:t>
            </w:r>
          </w:p>
        </w:tc>
        <w:tc>
          <w:tcPr>
            <w:tcW w:w="2134" w:type="dxa"/>
            <w:noWrap/>
            <w:vAlign w:val="center"/>
            <w:hideMark/>
          </w:tcPr>
          <w:p w14:paraId="5273EF94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0.03 [-0.05, 0.20]</w:t>
            </w:r>
          </w:p>
        </w:tc>
        <w:tc>
          <w:tcPr>
            <w:tcW w:w="2136" w:type="dxa"/>
            <w:noWrap/>
            <w:vAlign w:val="center"/>
            <w:hideMark/>
          </w:tcPr>
          <w:p w14:paraId="44BADD87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 [-0.05, 0.15]</w:t>
            </w:r>
          </w:p>
        </w:tc>
        <w:tc>
          <w:tcPr>
            <w:tcW w:w="2138" w:type="dxa"/>
            <w:noWrap/>
            <w:vAlign w:val="center"/>
            <w:hideMark/>
          </w:tcPr>
          <w:p w14:paraId="4FD158F0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 [-0.07, 0.19]</w:t>
            </w:r>
          </w:p>
        </w:tc>
        <w:tc>
          <w:tcPr>
            <w:tcW w:w="1187" w:type="dxa"/>
            <w:noWrap/>
            <w:vAlign w:val="center"/>
            <w:hideMark/>
          </w:tcPr>
          <w:p w14:paraId="2D4DC14F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0.201</w:t>
            </w:r>
          </w:p>
        </w:tc>
      </w:tr>
      <w:tr w:rsidR="003D3009" w:rsidRPr="003D3009" w14:paraId="06936022" w14:textId="77777777" w:rsidTr="003D3009">
        <w:trPr>
          <w:trHeight w:val="435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1635F3A2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  <w:hideMark/>
          </w:tcPr>
          <w:p w14:paraId="2ED05BDA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  <w:t>EQ-5D VAS</w:t>
            </w:r>
          </w:p>
        </w:tc>
        <w:tc>
          <w:tcPr>
            <w:tcW w:w="2134" w:type="dxa"/>
            <w:noWrap/>
            <w:vAlign w:val="center"/>
            <w:hideMark/>
          </w:tcPr>
          <w:p w14:paraId="0A609769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5.00 [0.00, 20.00]</w:t>
            </w:r>
          </w:p>
        </w:tc>
        <w:tc>
          <w:tcPr>
            <w:tcW w:w="2134" w:type="dxa"/>
            <w:noWrap/>
            <w:vAlign w:val="center"/>
            <w:hideMark/>
          </w:tcPr>
          <w:p w14:paraId="369D491F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9.00 [0.00, 20.00]</w:t>
            </w:r>
          </w:p>
        </w:tc>
        <w:tc>
          <w:tcPr>
            <w:tcW w:w="2136" w:type="dxa"/>
            <w:noWrap/>
            <w:vAlign w:val="center"/>
            <w:hideMark/>
          </w:tcPr>
          <w:p w14:paraId="4B0B0A05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5.00 [-5.00, 20.00]</w:t>
            </w:r>
          </w:p>
        </w:tc>
        <w:tc>
          <w:tcPr>
            <w:tcW w:w="2138" w:type="dxa"/>
            <w:noWrap/>
            <w:vAlign w:val="center"/>
            <w:hideMark/>
          </w:tcPr>
          <w:p w14:paraId="018C40E8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5.00 [-5.00, 20.00]</w:t>
            </w:r>
          </w:p>
        </w:tc>
        <w:tc>
          <w:tcPr>
            <w:tcW w:w="1187" w:type="dxa"/>
            <w:noWrap/>
            <w:vAlign w:val="center"/>
            <w:hideMark/>
          </w:tcPr>
          <w:p w14:paraId="7CA2A4A6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0.104</w:t>
            </w:r>
          </w:p>
        </w:tc>
      </w:tr>
    </w:tbl>
    <w:p w14:paraId="5EDB9FB0" w14:textId="77777777" w:rsidR="003D3009" w:rsidRPr="003D3009" w:rsidRDefault="003D3009" w:rsidP="003D3009">
      <w:pPr>
        <w:rPr>
          <w:rFonts w:ascii="Times New Roman" w:hAnsi="Times New Roman" w:cs="Times New Roman"/>
          <w:lang w:val="es-ES"/>
        </w:rPr>
      </w:pPr>
    </w:p>
    <w:p w14:paraId="2A8A0AA4" w14:textId="77777777" w:rsidR="003D3009" w:rsidRPr="003D3009" w:rsidRDefault="003D3009" w:rsidP="003D3009">
      <w:pPr>
        <w:rPr>
          <w:rFonts w:ascii="Times New Roman" w:hAnsi="Times New Roman" w:cs="Times New Roman"/>
          <w:lang w:val="es-ES"/>
        </w:rPr>
      </w:pPr>
      <w:r w:rsidRPr="003D3009">
        <w:rPr>
          <w:rFonts w:ascii="Times New Roman" w:hAnsi="Times New Roman" w:cs="Times New Roman"/>
          <w:lang w:val="es-ES"/>
        </w:rPr>
        <w:t>(b)</w:t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1951"/>
        <w:gridCol w:w="2540"/>
        <w:gridCol w:w="2134"/>
        <w:gridCol w:w="2134"/>
        <w:gridCol w:w="2136"/>
        <w:gridCol w:w="2138"/>
        <w:gridCol w:w="1187"/>
      </w:tblGrid>
      <w:tr w:rsidR="003D3009" w:rsidRPr="003D3009" w14:paraId="4E4B616D" w14:textId="77777777" w:rsidTr="003D3009">
        <w:trPr>
          <w:trHeight w:val="251"/>
        </w:trPr>
        <w:tc>
          <w:tcPr>
            <w:tcW w:w="4491" w:type="dxa"/>
            <w:gridSpan w:val="2"/>
            <w:vMerge w:val="restart"/>
          </w:tcPr>
          <w:p w14:paraId="0CC6F80B" w14:textId="77777777" w:rsidR="003D3009" w:rsidRPr="003D3009" w:rsidRDefault="003D3009" w:rsidP="003D3009">
            <w:pPr>
              <w:rPr>
                <w:rFonts w:ascii="Times New Roman" w:hAnsi="Times New Roman" w:cs="Times New Roman"/>
                <w:b/>
              </w:rPr>
            </w:pPr>
            <w:r w:rsidRPr="003D3009">
              <w:rPr>
                <w:rFonts w:ascii="Times New Roman" w:hAnsi="Times New Roman" w:cs="Times New Roman"/>
                <w:b/>
              </w:rPr>
              <w:t>HFrEF Men</w:t>
            </w:r>
          </w:p>
        </w:tc>
        <w:tc>
          <w:tcPr>
            <w:tcW w:w="8542" w:type="dxa"/>
            <w:gridSpan w:val="4"/>
            <w:shd w:val="clear" w:color="auto" w:fill="D9D9D9" w:themeFill="background1" w:themeFillShade="D9"/>
          </w:tcPr>
          <w:p w14:paraId="482675E4" w14:textId="4ACA6AAE" w:rsidR="003D3009" w:rsidRPr="003D3009" w:rsidRDefault="003D3009" w:rsidP="00FD61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Fraction target dose </w:t>
            </w:r>
            <w:r w:rsidRPr="003D3009">
              <w:rPr>
                <w:rFonts w:ascii="Times New Roman" w:hAnsi="Times New Roman" w:cs="Times New Roman"/>
                <w:b/>
                <w:lang w:val="es-ES"/>
              </w:rPr>
              <w:t>β</w:t>
            </w:r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 blockers </w:t>
            </w:r>
            <w:r w:rsidR="00FD6161">
              <w:rPr>
                <w:rFonts w:ascii="Times New Roman" w:hAnsi="Times New Roman" w:cs="Times New Roman"/>
                <w:b/>
                <w:lang w:val="en-US"/>
              </w:rPr>
              <w:t>after up-titration</w:t>
            </w:r>
            <w:r w:rsidR="000A0BA2">
              <w:rPr>
                <w:rFonts w:ascii="Times New Roman" w:hAnsi="Times New Roman" w:cs="Times New Roman"/>
                <w:b/>
                <w:lang w:val="en-US"/>
              </w:rPr>
              <w:t xml:space="preserve"> phase</w:t>
            </w:r>
          </w:p>
        </w:tc>
        <w:tc>
          <w:tcPr>
            <w:tcW w:w="1187" w:type="dxa"/>
            <w:vMerge w:val="restart"/>
            <w:vAlign w:val="center"/>
          </w:tcPr>
          <w:p w14:paraId="06859901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D3009">
              <w:rPr>
                <w:rFonts w:ascii="Times New Roman" w:hAnsi="Times New Roman" w:cs="Times New Roman"/>
                <w:lang w:val="es-ES"/>
              </w:rPr>
              <w:t>p</w:t>
            </w:r>
          </w:p>
        </w:tc>
      </w:tr>
      <w:tr w:rsidR="003D3009" w:rsidRPr="003D3009" w14:paraId="6BDEB4CE" w14:textId="77777777" w:rsidTr="003D3009">
        <w:trPr>
          <w:trHeight w:val="65"/>
        </w:trPr>
        <w:tc>
          <w:tcPr>
            <w:tcW w:w="4491" w:type="dxa"/>
            <w:gridSpan w:val="2"/>
            <w:vMerge/>
          </w:tcPr>
          <w:p w14:paraId="3CE576ED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4A104441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 xml:space="preserve"> 0%</w:t>
            </w: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6D174980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1-49%</w:t>
            </w:r>
          </w:p>
        </w:tc>
        <w:tc>
          <w:tcPr>
            <w:tcW w:w="2136" w:type="dxa"/>
            <w:shd w:val="clear" w:color="auto" w:fill="D9D9D9" w:themeFill="background1" w:themeFillShade="D9"/>
            <w:noWrap/>
            <w:vAlign w:val="center"/>
            <w:hideMark/>
          </w:tcPr>
          <w:p w14:paraId="316BB62D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50-99%</w:t>
            </w:r>
          </w:p>
        </w:tc>
        <w:tc>
          <w:tcPr>
            <w:tcW w:w="2138" w:type="dxa"/>
            <w:shd w:val="clear" w:color="auto" w:fill="D9D9D9" w:themeFill="background1" w:themeFillShade="D9"/>
            <w:noWrap/>
            <w:vAlign w:val="center"/>
            <w:hideMark/>
          </w:tcPr>
          <w:p w14:paraId="0C38ADCC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≥ 100%</w:t>
            </w:r>
          </w:p>
        </w:tc>
        <w:tc>
          <w:tcPr>
            <w:tcW w:w="1187" w:type="dxa"/>
            <w:vMerge/>
            <w:noWrap/>
            <w:vAlign w:val="center"/>
            <w:hideMark/>
          </w:tcPr>
          <w:p w14:paraId="75702F97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3D3009" w:rsidRPr="003D3009" w14:paraId="0D6317AC" w14:textId="77777777" w:rsidTr="003D3009">
        <w:trPr>
          <w:trHeight w:val="279"/>
        </w:trPr>
        <w:tc>
          <w:tcPr>
            <w:tcW w:w="4491" w:type="dxa"/>
            <w:gridSpan w:val="2"/>
          </w:tcPr>
          <w:p w14:paraId="59CB33E7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</w:t>
            </w:r>
          </w:p>
        </w:tc>
        <w:tc>
          <w:tcPr>
            <w:tcW w:w="2134" w:type="dxa"/>
            <w:noWrap/>
            <w:vAlign w:val="center"/>
          </w:tcPr>
          <w:p w14:paraId="6393028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134" w:type="dxa"/>
            <w:noWrap/>
            <w:vAlign w:val="center"/>
          </w:tcPr>
          <w:p w14:paraId="19D3E3AF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2136" w:type="dxa"/>
            <w:noWrap/>
            <w:vAlign w:val="center"/>
          </w:tcPr>
          <w:p w14:paraId="70D27BBA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138" w:type="dxa"/>
            <w:noWrap/>
            <w:vAlign w:val="center"/>
          </w:tcPr>
          <w:p w14:paraId="55E16F87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87" w:type="dxa"/>
            <w:noWrap/>
            <w:vAlign w:val="center"/>
          </w:tcPr>
          <w:p w14:paraId="448069AE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3009" w:rsidRPr="003D3009" w14:paraId="73E909D7" w14:textId="77777777" w:rsidTr="003D3009">
        <w:trPr>
          <w:trHeight w:val="409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2D8FE4B2" w14:textId="35D39C33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</w:pPr>
            <w:proofErr w:type="spellStart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QoL</w:t>
            </w:r>
            <w:proofErr w:type="spellEnd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variation between baseline and </w:t>
            </w:r>
            <w:r w:rsidR="000A0BA2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nine</w:t>
            </w: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months</w:t>
            </w: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044557E2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KCCQ overall score</w:t>
            </w:r>
          </w:p>
        </w:tc>
        <w:tc>
          <w:tcPr>
            <w:tcW w:w="2134" w:type="dxa"/>
            <w:noWrap/>
            <w:vAlign w:val="center"/>
          </w:tcPr>
          <w:p w14:paraId="73493D0F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6.25 [-0.52, 30.21]</w:t>
            </w:r>
          </w:p>
        </w:tc>
        <w:tc>
          <w:tcPr>
            <w:tcW w:w="2134" w:type="dxa"/>
            <w:noWrap/>
            <w:vAlign w:val="center"/>
          </w:tcPr>
          <w:p w14:paraId="5BB85EFC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11.46 [0.00, 26.04]</w:t>
            </w:r>
          </w:p>
        </w:tc>
        <w:tc>
          <w:tcPr>
            <w:tcW w:w="2136" w:type="dxa"/>
            <w:noWrap/>
            <w:vAlign w:val="center"/>
          </w:tcPr>
          <w:p w14:paraId="4B20D12C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10.42 [0.00, 24.22]</w:t>
            </w:r>
          </w:p>
        </w:tc>
        <w:tc>
          <w:tcPr>
            <w:tcW w:w="2138" w:type="dxa"/>
            <w:noWrap/>
            <w:vAlign w:val="center"/>
          </w:tcPr>
          <w:p w14:paraId="450566D7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16.15 [-3.65, 34.64]</w:t>
            </w:r>
          </w:p>
        </w:tc>
        <w:tc>
          <w:tcPr>
            <w:tcW w:w="1187" w:type="dxa"/>
            <w:noWrap/>
            <w:vAlign w:val="center"/>
          </w:tcPr>
          <w:p w14:paraId="7B47287C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0.954</w:t>
            </w:r>
          </w:p>
        </w:tc>
      </w:tr>
      <w:tr w:rsidR="003D3009" w:rsidRPr="003D3009" w14:paraId="553A6B35" w14:textId="77777777" w:rsidTr="003D3009">
        <w:trPr>
          <w:trHeight w:val="41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4E2B736B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73F7A284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  <w:t>EQ-5D utility score</w:t>
            </w:r>
          </w:p>
        </w:tc>
        <w:tc>
          <w:tcPr>
            <w:tcW w:w="2134" w:type="dxa"/>
            <w:noWrap/>
            <w:vAlign w:val="center"/>
          </w:tcPr>
          <w:p w14:paraId="7E228933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0.07 [-0.04, 0.19]</w:t>
            </w:r>
          </w:p>
        </w:tc>
        <w:tc>
          <w:tcPr>
            <w:tcW w:w="2134" w:type="dxa"/>
            <w:noWrap/>
            <w:vAlign w:val="center"/>
          </w:tcPr>
          <w:p w14:paraId="0DF6756C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[-0.05, 0.19]</w:t>
            </w:r>
          </w:p>
        </w:tc>
        <w:tc>
          <w:tcPr>
            <w:tcW w:w="2136" w:type="dxa"/>
            <w:noWrap/>
            <w:vAlign w:val="center"/>
          </w:tcPr>
          <w:p w14:paraId="43036881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[-0.04, 0.15]</w:t>
            </w:r>
          </w:p>
        </w:tc>
        <w:tc>
          <w:tcPr>
            <w:tcW w:w="2138" w:type="dxa"/>
            <w:noWrap/>
            <w:vAlign w:val="center"/>
          </w:tcPr>
          <w:p w14:paraId="74CD0682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[-0.11, 0.17]</w:t>
            </w:r>
          </w:p>
        </w:tc>
        <w:tc>
          <w:tcPr>
            <w:tcW w:w="1187" w:type="dxa"/>
            <w:noWrap/>
            <w:vAlign w:val="center"/>
          </w:tcPr>
          <w:p w14:paraId="787FADC6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0.189</w:t>
            </w:r>
          </w:p>
        </w:tc>
      </w:tr>
      <w:tr w:rsidR="003D3009" w:rsidRPr="003D3009" w14:paraId="2C8045AF" w14:textId="77777777" w:rsidTr="003D3009">
        <w:trPr>
          <w:trHeight w:val="435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3D2FA7D8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6846F045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  <w:t>EQ-5D VAS</w:t>
            </w:r>
          </w:p>
        </w:tc>
        <w:tc>
          <w:tcPr>
            <w:tcW w:w="2134" w:type="dxa"/>
            <w:noWrap/>
            <w:vAlign w:val="center"/>
          </w:tcPr>
          <w:p w14:paraId="047C690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[-2.50, 20.00]</w:t>
            </w:r>
          </w:p>
        </w:tc>
        <w:tc>
          <w:tcPr>
            <w:tcW w:w="2134" w:type="dxa"/>
            <w:noWrap/>
            <w:vAlign w:val="center"/>
          </w:tcPr>
          <w:p w14:paraId="33D4E7FD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10.00 [0.00, 20.00]</w:t>
            </w:r>
          </w:p>
        </w:tc>
        <w:tc>
          <w:tcPr>
            <w:tcW w:w="2136" w:type="dxa"/>
            <w:noWrap/>
            <w:vAlign w:val="center"/>
          </w:tcPr>
          <w:p w14:paraId="09D4973A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[-5.50, 20.00]</w:t>
            </w:r>
          </w:p>
        </w:tc>
        <w:tc>
          <w:tcPr>
            <w:tcW w:w="2138" w:type="dxa"/>
            <w:noWrap/>
            <w:vAlign w:val="center"/>
          </w:tcPr>
          <w:p w14:paraId="3BBA3608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[-8.75, 15.75]</w:t>
            </w:r>
          </w:p>
        </w:tc>
        <w:tc>
          <w:tcPr>
            <w:tcW w:w="1187" w:type="dxa"/>
            <w:noWrap/>
            <w:vAlign w:val="center"/>
          </w:tcPr>
          <w:p w14:paraId="71B79FF4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0.043</w:t>
            </w:r>
          </w:p>
        </w:tc>
      </w:tr>
    </w:tbl>
    <w:p w14:paraId="4FFE0FBB" w14:textId="77777777" w:rsidR="003D3009" w:rsidRPr="003D3009" w:rsidRDefault="003D3009" w:rsidP="003D3009">
      <w:pPr>
        <w:rPr>
          <w:rFonts w:ascii="Times New Roman" w:hAnsi="Times New Roman" w:cs="Times New Roman"/>
          <w:lang w:val="es-ES"/>
        </w:rPr>
      </w:pPr>
    </w:p>
    <w:p w14:paraId="60AE6BDF" w14:textId="77777777" w:rsidR="003D3009" w:rsidRPr="003D3009" w:rsidRDefault="003D3009" w:rsidP="003D3009">
      <w:pPr>
        <w:rPr>
          <w:rFonts w:ascii="Times New Roman" w:hAnsi="Times New Roman" w:cs="Times New Roman"/>
          <w:lang w:val="es-ES"/>
        </w:rPr>
      </w:pPr>
      <w:r w:rsidRPr="003D3009">
        <w:rPr>
          <w:rFonts w:ascii="Times New Roman" w:hAnsi="Times New Roman" w:cs="Times New Roman"/>
          <w:lang w:val="es-ES"/>
        </w:rPr>
        <w:t>(c)</w:t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1951"/>
        <w:gridCol w:w="2540"/>
        <w:gridCol w:w="2134"/>
        <w:gridCol w:w="2134"/>
        <w:gridCol w:w="2136"/>
        <w:gridCol w:w="2138"/>
        <w:gridCol w:w="1187"/>
      </w:tblGrid>
      <w:tr w:rsidR="003D3009" w:rsidRPr="003D3009" w14:paraId="2A2D60F6" w14:textId="77777777" w:rsidTr="003D3009">
        <w:trPr>
          <w:trHeight w:val="251"/>
        </w:trPr>
        <w:tc>
          <w:tcPr>
            <w:tcW w:w="4491" w:type="dxa"/>
            <w:gridSpan w:val="2"/>
            <w:vMerge w:val="restart"/>
          </w:tcPr>
          <w:p w14:paraId="1E6D3C48" w14:textId="77777777" w:rsidR="003D3009" w:rsidRPr="003D3009" w:rsidRDefault="003D3009" w:rsidP="003D3009">
            <w:pPr>
              <w:rPr>
                <w:rFonts w:ascii="Times New Roman" w:hAnsi="Times New Roman" w:cs="Times New Roman"/>
                <w:b/>
              </w:rPr>
            </w:pPr>
            <w:r w:rsidRPr="003D3009">
              <w:rPr>
                <w:rFonts w:ascii="Times New Roman" w:hAnsi="Times New Roman" w:cs="Times New Roman"/>
                <w:b/>
              </w:rPr>
              <w:t xml:space="preserve">HFrEF </w:t>
            </w:r>
            <w:proofErr w:type="spellStart"/>
            <w:r w:rsidRPr="003D3009">
              <w:rPr>
                <w:rFonts w:ascii="Times New Roman" w:hAnsi="Times New Roman" w:cs="Times New Roman"/>
                <w:b/>
              </w:rPr>
              <w:t>Women</w:t>
            </w:r>
            <w:proofErr w:type="spellEnd"/>
          </w:p>
        </w:tc>
        <w:tc>
          <w:tcPr>
            <w:tcW w:w="8542" w:type="dxa"/>
            <w:gridSpan w:val="4"/>
            <w:shd w:val="clear" w:color="auto" w:fill="D9D9D9" w:themeFill="background1" w:themeFillShade="D9"/>
          </w:tcPr>
          <w:p w14:paraId="5FAE49B5" w14:textId="366B16B4" w:rsidR="003D3009" w:rsidRPr="003D3009" w:rsidRDefault="003D3009" w:rsidP="00FD61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Fraction target dose </w:t>
            </w:r>
            <w:r w:rsidRPr="003D3009">
              <w:rPr>
                <w:rFonts w:ascii="Times New Roman" w:hAnsi="Times New Roman" w:cs="Times New Roman"/>
                <w:b/>
                <w:lang w:val="es-ES"/>
              </w:rPr>
              <w:t>β</w:t>
            </w:r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 blockers </w:t>
            </w:r>
            <w:r w:rsidR="00FD6161">
              <w:rPr>
                <w:rFonts w:ascii="Times New Roman" w:hAnsi="Times New Roman" w:cs="Times New Roman"/>
                <w:b/>
                <w:lang w:val="en-US"/>
              </w:rPr>
              <w:t>after up-titration</w:t>
            </w:r>
            <w:r w:rsidR="000A0BA2">
              <w:rPr>
                <w:rFonts w:ascii="Times New Roman" w:hAnsi="Times New Roman" w:cs="Times New Roman"/>
                <w:b/>
                <w:lang w:val="en-US"/>
              </w:rPr>
              <w:t xml:space="preserve"> phase</w:t>
            </w:r>
          </w:p>
        </w:tc>
        <w:tc>
          <w:tcPr>
            <w:tcW w:w="1187" w:type="dxa"/>
            <w:vAlign w:val="center"/>
          </w:tcPr>
          <w:p w14:paraId="3C4E7D6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D3009">
              <w:rPr>
                <w:rFonts w:ascii="Times New Roman" w:hAnsi="Times New Roman" w:cs="Times New Roman"/>
                <w:lang w:val="es-ES"/>
              </w:rPr>
              <w:t>p</w:t>
            </w:r>
          </w:p>
        </w:tc>
      </w:tr>
      <w:tr w:rsidR="003D3009" w:rsidRPr="003D3009" w14:paraId="7B45251F" w14:textId="77777777" w:rsidTr="003D3009">
        <w:trPr>
          <w:trHeight w:val="279"/>
        </w:trPr>
        <w:tc>
          <w:tcPr>
            <w:tcW w:w="4491" w:type="dxa"/>
            <w:gridSpan w:val="2"/>
            <w:vMerge/>
          </w:tcPr>
          <w:p w14:paraId="29ED8BF8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191F7154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 xml:space="preserve"> 0%</w:t>
            </w: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664B5AE3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1-49%</w:t>
            </w:r>
          </w:p>
        </w:tc>
        <w:tc>
          <w:tcPr>
            <w:tcW w:w="2136" w:type="dxa"/>
            <w:shd w:val="clear" w:color="auto" w:fill="D9D9D9" w:themeFill="background1" w:themeFillShade="D9"/>
            <w:noWrap/>
            <w:vAlign w:val="center"/>
            <w:hideMark/>
          </w:tcPr>
          <w:p w14:paraId="73EA9938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50-99%</w:t>
            </w:r>
          </w:p>
        </w:tc>
        <w:tc>
          <w:tcPr>
            <w:tcW w:w="2138" w:type="dxa"/>
            <w:shd w:val="clear" w:color="auto" w:fill="D9D9D9" w:themeFill="background1" w:themeFillShade="D9"/>
            <w:noWrap/>
            <w:vAlign w:val="center"/>
            <w:hideMark/>
          </w:tcPr>
          <w:p w14:paraId="0A04E29F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≥ 100%</w:t>
            </w:r>
          </w:p>
        </w:tc>
        <w:tc>
          <w:tcPr>
            <w:tcW w:w="1187" w:type="dxa"/>
            <w:noWrap/>
            <w:vAlign w:val="center"/>
            <w:hideMark/>
          </w:tcPr>
          <w:p w14:paraId="7876A92D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3D3009" w:rsidRPr="003D3009" w14:paraId="0DA5F76F" w14:textId="77777777" w:rsidTr="003D3009">
        <w:trPr>
          <w:trHeight w:val="279"/>
        </w:trPr>
        <w:tc>
          <w:tcPr>
            <w:tcW w:w="4491" w:type="dxa"/>
            <w:gridSpan w:val="2"/>
          </w:tcPr>
          <w:p w14:paraId="26AE072E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</w:t>
            </w:r>
          </w:p>
        </w:tc>
        <w:tc>
          <w:tcPr>
            <w:tcW w:w="2134" w:type="dxa"/>
            <w:noWrap/>
            <w:vAlign w:val="center"/>
          </w:tcPr>
          <w:p w14:paraId="7D563F5B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34" w:type="dxa"/>
            <w:noWrap/>
            <w:vAlign w:val="center"/>
          </w:tcPr>
          <w:p w14:paraId="70C9897B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136" w:type="dxa"/>
            <w:noWrap/>
            <w:vAlign w:val="center"/>
          </w:tcPr>
          <w:p w14:paraId="7EAC2499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38" w:type="dxa"/>
            <w:noWrap/>
            <w:vAlign w:val="center"/>
          </w:tcPr>
          <w:p w14:paraId="2D04F798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87" w:type="dxa"/>
            <w:noWrap/>
            <w:vAlign w:val="center"/>
          </w:tcPr>
          <w:p w14:paraId="329B5F5B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3009" w:rsidRPr="003D3009" w14:paraId="234F54EC" w14:textId="77777777" w:rsidTr="003D3009">
        <w:trPr>
          <w:trHeight w:val="409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33121AD7" w14:textId="4F633416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</w:pPr>
            <w:proofErr w:type="spellStart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QoL</w:t>
            </w:r>
            <w:proofErr w:type="spellEnd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variation between baseline and </w:t>
            </w:r>
            <w:r w:rsidR="000A0BA2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nine</w:t>
            </w: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months</w:t>
            </w: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589C88D0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KCCQ overall score</w:t>
            </w:r>
          </w:p>
        </w:tc>
        <w:tc>
          <w:tcPr>
            <w:tcW w:w="2134" w:type="dxa"/>
            <w:noWrap/>
            <w:vAlign w:val="center"/>
          </w:tcPr>
          <w:p w14:paraId="0839842F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10.42 [2.60, 30.47]</w:t>
            </w:r>
          </w:p>
        </w:tc>
        <w:tc>
          <w:tcPr>
            <w:tcW w:w="2134" w:type="dxa"/>
            <w:noWrap/>
            <w:vAlign w:val="center"/>
          </w:tcPr>
          <w:p w14:paraId="2190B2C7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10.42 [2.08, 28.12]</w:t>
            </w:r>
          </w:p>
        </w:tc>
        <w:tc>
          <w:tcPr>
            <w:tcW w:w="2136" w:type="dxa"/>
            <w:noWrap/>
            <w:vAlign w:val="center"/>
          </w:tcPr>
          <w:p w14:paraId="47273C82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10.42 [-1.04, 27.08]</w:t>
            </w:r>
          </w:p>
        </w:tc>
        <w:tc>
          <w:tcPr>
            <w:tcW w:w="2138" w:type="dxa"/>
            <w:noWrap/>
            <w:vAlign w:val="center"/>
          </w:tcPr>
          <w:p w14:paraId="47491441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21.35 [8.07, 35.68]</w:t>
            </w:r>
          </w:p>
        </w:tc>
        <w:tc>
          <w:tcPr>
            <w:tcW w:w="1187" w:type="dxa"/>
            <w:noWrap/>
            <w:vAlign w:val="center"/>
          </w:tcPr>
          <w:p w14:paraId="599AD0F6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0.126</w:t>
            </w:r>
          </w:p>
        </w:tc>
      </w:tr>
      <w:tr w:rsidR="003D3009" w:rsidRPr="003D3009" w14:paraId="24692A2B" w14:textId="77777777" w:rsidTr="003D3009">
        <w:trPr>
          <w:trHeight w:val="41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35799643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1486487B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  <w:t>EQ-5D utility score</w:t>
            </w:r>
          </w:p>
        </w:tc>
        <w:tc>
          <w:tcPr>
            <w:tcW w:w="2134" w:type="dxa"/>
            <w:noWrap/>
            <w:vAlign w:val="center"/>
          </w:tcPr>
          <w:p w14:paraId="7E975CBD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0.08 [-0.06, 0.19]</w:t>
            </w:r>
          </w:p>
        </w:tc>
        <w:tc>
          <w:tcPr>
            <w:tcW w:w="2134" w:type="dxa"/>
            <w:noWrap/>
            <w:vAlign w:val="center"/>
          </w:tcPr>
          <w:p w14:paraId="0FCDB87F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0.05 [-0.04, 0.22]</w:t>
            </w:r>
          </w:p>
        </w:tc>
        <w:tc>
          <w:tcPr>
            <w:tcW w:w="2136" w:type="dxa"/>
            <w:noWrap/>
            <w:vAlign w:val="center"/>
          </w:tcPr>
          <w:p w14:paraId="622BA119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[-0.11, 0.12]</w:t>
            </w:r>
          </w:p>
        </w:tc>
        <w:tc>
          <w:tcPr>
            <w:tcW w:w="2138" w:type="dxa"/>
            <w:noWrap/>
            <w:vAlign w:val="center"/>
          </w:tcPr>
          <w:p w14:paraId="3ED0286E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0.10 [0.00, 0.43]</w:t>
            </w:r>
          </w:p>
        </w:tc>
        <w:tc>
          <w:tcPr>
            <w:tcW w:w="1187" w:type="dxa"/>
            <w:noWrap/>
            <w:vAlign w:val="center"/>
          </w:tcPr>
          <w:p w14:paraId="52ABD076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</w:tr>
      <w:tr w:rsidR="003D3009" w:rsidRPr="003D3009" w14:paraId="5F79C13E" w14:textId="77777777" w:rsidTr="003D3009">
        <w:trPr>
          <w:trHeight w:val="435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71836B4A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59B7F483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  <w:t>EQ-5D VAS</w:t>
            </w:r>
          </w:p>
        </w:tc>
        <w:tc>
          <w:tcPr>
            <w:tcW w:w="2134" w:type="dxa"/>
            <w:noWrap/>
            <w:vAlign w:val="center"/>
          </w:tcPr>
          <w:p w14:paraId="012C1E89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[0.00, 25.00]</w:t>
            </w:r>
          </w:p>
        </w:tc>
        <w:tc>
          <w:tcPr>
            <w:tcW w:w="2134" w:type="dxa"/>
            <w:noWrap/>
            <w:vAlign w:val="center"/>
          </w:tcPr>
          <w:p w14:paraId="149C123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[-4.00, 20.00]</w:t>
            </w:r>
          </w:p>
        </w:tc>
        <w:tc>
          <w:tcPr>
            <w:tcW w:w="2136" w:type="dxa"/>
            <w:noWrap/>
            <w:vAlign w:val="center"/>
          </w:tcPr>
          <w:p w14:paraId="4272798E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7.00 [-1.00, 20.00]</w:t>
            </w:r>
          </w:p>
        </w:tc>
        <w:tc>
          <w:tcPr>
            <w:tcW w:w="2138" w:type="dxa"/>
            <w:noWrap/>
            <w:vAlign w:val="center"/>
          </w:tcPr>
          <w:p w14:paraId="3CAE11D1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11.00 [0.00, 20.00]</w:t>
            </w:r>
          </w:p>
        </w:tc>
        <w:tc>
          <w:tcPr>
            <w:tcW w:w="1187" w:type="dxa"/>
            <w:noWrap/>
            <w:vAlign w:val="center"/>
          </w:tcPr>
          <w:p w14:paraId="7CEE5D2F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0.734</w:t>
            </w:r>
          </w:p>
        </w:tc>
      </w:tr>
    </w:tbl>
    <w:p w14:paraId="5CF75A63" w14:textId="67FE36E4" w:rsidR="003D3009" w:rsidRPr="003D3009" w:rsidRDefault="003D3009" w:rsidP="003D3009">
      <w:pPr>
        <w:rPr>
          <w:rFonts w:ascii="Times New Roman" w:hAnsi="Times New Roman" w:cs="Times New Roman"/>
          <w:lang w:val="en-US"/>
        </w:rPr>
      </w:pPr>
      <w:r w:rsidRPr="003D3009">
        <w:rPr>
          <w:rFonts w:ascii="Times New Roman" w:hAnsi="Times New Roman" w:cs="Times New Roman"/>
          <w:lang w:val="en-US"/>
        </w:rPr>
        <w:t xml:space="preserve">Legend: EQ-5D= </w:t>
      </w:r>
      <w:proofErr w:type="spellStart"/>
      <w:r w:rsidR="002C4130">
        <w:rPr>
          <w:rFonts w:ascii="Times New Roman" w:hAnsi="Times New Roman" w:cs="Times New Roman"/>
          <w:lang w:val="en-US"/>
        </w:rPr>
        <w:t>EuroQoL</w:t>
      </w:r>
      <w:proofErr w:type="spellEnd"/>
      <w:r w:rsidR="002C4130">
        <w:rPr>
          <w:rFonts w:ascii="Times New Roman" w:hAnsi="Times New Roman" w:cs="Times New Roman"/>
          <w:lang w:val="en-US"/>
        </w:rPr>
        <w:t xml:space="preserve"> 5 dimensions</w:t>
      </w:r>
      <w:proofErr w:type="gramStart"/>
      <w:r w:rsidRPr="003D3009">
        <w:rPr>
          <w:rFonts w:ascii="Times New Roman" w:hAnsi="Times New Roman" w:cs="Times New Roman"/>
          <w:lang w:val="en-US"/>
        </w:rPr>
        <w:t>;  HFrEF</w:t>
      </w:r>
      <w:proofErr w:type="gramEnd"/>
      <w:r w:rsidRPr="003D3009">
        <w:rPr>
          <w:rFonts w:ascii="Times New Roman" w:hAnsi="Times New Roman" w:cs="Times New Roman"/>
          <w:lang w:val="en-US"/>
        </w:rPr>
        <w:t xml:space="preserve">= heart failure with reduced left ventricular ejection fraction; KCCQ= Kansas City Cardiomyopathy Questionnaire;  </w:t>
      </w:r>
      <w:proofErr w:type="spellStart"/>
      <w:r w:rsidR="00934B04" w:rsidRPr="003D3009">
        <w:rPr>
          <w:rFonts w:ascii="Times New Roman" w:hAnsi="Times New Roman" w:cs="Times New Roman"/>
          <w:lang w:val="en-US"/>
        </w:rPr>
        <w:t>QoL</w:t>
      </w:r>
      <w:proofErr w:type="spellEnd"/>
      <w:r w:rsidR="00934B04" w:rsidRPr="003D3009">
        <w:rPr>
          <w:rFonts w:ascii="Times New Roman" w:hAnsi="Times New Roman" w:cs="Times New Roman"/>
          <w:lang w:val="en-US"/>
        </w:rPr>
        <w:t xml:space="preserve">= quality of life; </w:t>
      </w:r>
      <w:r w:rsidRPr="003D3009">
        <w:rPr>
          <w:rFonts w:ascii="Times New Roman" w:hAnsi="Times New Roman" w:cs="Times New Roman"/>
          <w:lang w:val="en-US"/>
        </w:rPr>
        <w:t>VAS= visual analogue scale.</w:t>
      </w:r>
      <w:r w:rsidRPr="003D3009">
        <w:rPr>
          <w:rFonts w:ascii="Times New Roman" w:hAnsi="Times New Roman" w:cs="Times New Roman"/>
          <w:lang w:val="en-US"/>
        </w:rPr>
        <w:br w:type="page"/>
      </w:r>
    </w:p>
    <w:p w14:paraId="18537344" w14:textId="56191CCD" w:rsidR="003D3009" w:rsidRPr="003D3009" w:rsidRDefault="003D3009" w:rsidP="003D300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Table</w:t>
      </w:r>
      <w:r w:rsidRPr="003D3009">
        <w:rPr>
          <w:rFonts w:ascii="Times New Roman" w:hAnsi="Times New Roman" w:cs="Times New Roman"/>
          <w:b/>
          <w:lang w:val="en-US"/>
        </w:rPr>
        <w:t xml:space="preserve"> </w:t>
      </w:r>
      <w:r w:rsidR="00323B9C">
        <w:rPr>
          <w:rFonts w:ascii="Times New Roman" w:hAnsi="Times New Roman" w:cs="Times New Roman"/>
          <w:b/>
          <w:lang w:val="en-US"/>
        </w:rPr>
        <w:t>S</w:t>
      </w:r>
      <w:r w:rsidR="004B388D">
        <w:rPr>
          <w:rFonts w:ascii="Times New Roman" w:hAnsi="Times New Roman" w:cs="Times New Roman"/>
          <w:b/>
          <w:lang w:val="en-US"/>
        </w:rPr>
        <w:t>4</w:t>
      </w:r>
      <w:r w:rsidRPr="003D3009">
        <w:rPr>
          <w:rFonts w:ascii="Times New Roman" w:hAnsi="Times New Roman" w:cs="Times New Roman"/>
          <w:b/>
          <w:lang w:val="en-US"/>
        </w:rPr>
        <w:t>.</w:t>
      </w:r>
      <w:r w:rsidRPr="003D3009">
        <w:rPr>
          <w:rFonts w:ascii="Times New Roman" w:hAnsi="Times New Roman" w:cs="Times New Roman"/>
          <w:lang w:val="en-US"/>
        </w:rPr>
        <w:t xml:space="preserve"> Variation in </w:t>
      </w:r>
      <w:r w:rsidR="004A6ED3">
        <w:rPr>
          <w:rFonts w:ascii="Times New Roman" w:hAnsi="Times New Roman" w:cs="Times New Roman"/>
          <w:lang w:val="en-US"/>
        </w:rPr>
        <w:t>quality of life</w:t>
      </w:r>
      <w:r w:rsidRPr="003D3009">
        <w:rPr>
          <w:rFonts w:ascii="Times New Roman" w:hAnsi="Times New Roman" w:cs="Times New Roman"/>
          <w:lang w:val="en-US"/>
        </w:rPr>
        <w:t xml:space="preserve"> summary scores between baseline and </w:t>
      </w:r>
      <w:r w:rsidR="00FD6161">
        <w:rPr>
          <w:rFonts w:ascii="Times New Roman" w:hAnsi="Times New Roman" w:cs="Times New Roman"/>
          <w:lang w:val="en-US"/>
        </w:rPr>
        <w:t>nine</w:t>
      </w:r>
      <w:r w:rsidRPr="003D3009">
        <w:rPr>
          <w:rFonts w:ascii="Times New Roman" w:hAnsi="Times New Roman" w:cs="Times New Roman"/>
          <w:lang w:val="en-US"/>
        </w:rPr>
        <w:t xml:space="preserve"> months in the </w:t>
      </w:r>
      <w:r w:rsidR="000A0BA2">
        <w:rPr>
          <w:rFonts w:ascii="Times New Roman" w:hAnsi="Times New Roman" w:cs="Times New Roman"/>
          <w:lang w:val="en-US"/>
        </w:rPr>
        <w:t>total</w:t>
      </w:r>
      <w:r w:rsidRPr="003D3009">
        <w:rPr>
          <w:rFonts w:ascii="Times New Roman" w:hAnsi="Times New Roman" w:cs="Times New Roman"/>
          <w:lang w:val="en-US"/>
        </w:rPr>
        <w:t xml:space="preserve"> population (a), and in men (b) and women (c) separately, who received 0, 1–49%, 50–99%, or 100% or more of guideline-recommended </w:t>
      </w:r>
      <w:r w:rsidR="00961CCD" w:rsidRPr="004A6ED3">
        <w:rPr>
          <w:rFonts w:ascii="Times New Roman" w:hAnsi="Times New Roman" w:cs="Times New Roman"/>
          <w:bCs/>
          <w:lang w:val="en-US"/>
        </w:rPr>
        <w:t>angiotensin-converting enzyme inhibitors (</w:t>
      </w:r>
      <w:proofErr w:type="spellStart"/>
      <w:r w:rsidR="00961CCD" w:rsidRPr="004A6ED3">
        <w:rPr>
          <w:rFonts w:ascii="Times New Roman" w:hAnsi="Times New Roman" w:cs="Times New Roman"/>
          <w:bCs/>
          <w:lang w:val="en-US"/>
        </w:rPr>
        <w:t>ACEi</w:t>
      </w:r>
      <w:proofErr w:type="spellEnd"/>
      <w:r w:rsidR="00961CCD" w:rsidRPr="004A6ED3">
        <w:rPr>
          <w:rFonts w:ascii="Times New Roman" w:hAnsi="Times New Roman" w:cs="Times New Roman"/>
          <w:bCs/>
          <w:lang w:val="en-US"/>
        </w:rPr>
        <w:t>) or angiotensin receptor blockers (ARB)</w:t>
      </w:r>
      <w:r w:rsidR="00961CCD">
        <w:rPr>
          <w:rFonts w:ascii="Times New Roman" w:hAnsi="Times New Roman" w:cs="Times New Roman"/>
          <w:bCs/>
          <w:lang w:val="en-US"/>
        </w:rPr>
        <w:t xml:space="preserve"> </w:t>
      </w:r>
      <w:r w:rsidRPr="003D3009">
        <w:rPr>
          <w:rFonts w:ascii="Times New Roman" w:hAnsi="Times New Roman" w:cs="Times New Roman"/>
          <w:lang w:val="en-US"/>
        </w:rPr>
        <w:t>dose</w:t>
      </w:r>
      <w:r w:rsidR="00E54D41">
        <w:rPr>
          <w:rFonts w:ascii="Times New Roman" w:hAnsi="Times New Roman" w:cs="Times New Roman"/>
          <w:lang w:val="en-US"/>
        </w:rPr>
        <w:t xml:space="preserve"> median [interquartile range].</w:t>
      </w:r>
    </w:p>
    <w:p w14:paraId="5479AF60" w14:textId="77777777" w:rsidR="003D3009" w:rsidRPr="003D3009" w:rsidRDefault="003D3009" w:rsidP="003D3009">
      <w:pPr>
        <w:rPr>
          <w:rFonts w:ascii="Times New Roman" w:hAnsi="Times New Roman" w:cs="Times New Roman"/>
          <w:lang w:val="en-US"/>
        </w:rPr>
      </w:pPr>
      <w:r w:rsidRPr="003D3009">
        <w:rPr>
          <w:rFonts w:ascii="Times New Roman" w:hAnsi="Times New Roman" w:cs="Times New Roman"/>
          <w:lang w:val="en-US"/>
        </w:rPr>
        <w:t>(a)</w:t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1951"/>
        <w:gridCol w:w="2540"/>
        <w:gridCol w:w="2134"/>
        <w:gridCol w:w="2134"/>
        <w:gridCol w:w="2136"/>
        <w:gridCol w:w="2138"/>
        <w:gridCol w:w="1187"/>
      </w:tblGrid>
      <w:tr w:rsidR="003D3009" w:rsidRPr="003D3009" w14:paraId="4B77ADEA" w14:textId="77777777" w:rsidTr="003D3009">
        <w:trPr>
          <w:trHeight w:val="251"/>
        </w:trPr>
        <w:tc>
          <w:tcPr>
            <w:tcW w:w="4491" w:type="dxa"/>
            <w:gridSpan w:val="2"/>
            <w:vMerge w:val="restart"/>
          </w:tcPr>
          <w:p w14:paraId="5B49CE24" w14:textId="6B395AB1" w:rsidR="003D3009" w:rsidRPr="003D3009" w:rsidRDefault="003D3009" w:rsidP="003D3009">
            <w:pPr>
              <w:rPr>
                <w:rFonts w:ascii="Times New Roman" w:hAnsi="Times New Roman" w:cs="Times New Roman"/>
                <w:b/>
              </w:rPr>
            </w:pPr>
            <w:r w:rsidRPr="003D3009">
              <w:rPr>
                <w:rFonts w:ascii="Times New Roman" w:hAnsi="Times New Roman" w:cs="Times New Roman"/>
                <w:b/>
              </w:rPr>
              <w:t xml:space="preserve">HFrEF </w:t>
            </w:r>
            <w:r w:rsidR="000A0BA2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="000A0BA2">
              <w:rPr>
                <w:rFonts w:ascii="Times New Roman" w:hAnsi="Times New Roman" w:cs="Times New Roman"/>
                <w:b/>
              </w:rPr>
              <w:t>population</w:t>
            </w:r>
            <w:proofErr w:type="spellEnd"/>
          </w:p>
        </w:tc>
        <w:tc>
          <w:tcPr>
            <w:tcW w:w="8542" w:type="dxa"/>
            <w:gridSpan w:val="4"/>
            <w:shd w:val="clear" w:color="auto" w:fill="D9D9D9" w:themeFill="background1" w:themeFillShade="D9"/>
          </w:tcPr>
          <w:p w14:paraId="397613DE" w14:textId="0EC4E657" w:rsidR="003D3009" w:rsidRPr="003D3009" w:rsidRDefault="003D3009" w:rsidP="00FD61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Fraction target dose </w:t>
            </w:r>
            <w:proofErr w:type="spellStart"/>
            <w:r w:rsidRPr="003D3009">
              <w:rPr>
                <w:rFonts w:ascii="Times New Roman" w:hAnsi="Times New Roman" w:cs="Times New Roman"/>
                <w:b/>
                <w:lang w:val="en-US"/>
              </w:rPr>
              <w:t>ACEi</w:t>
            </w:r>
            <w:proofErr w:type="spellEnd"/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/ARB </w:t>
            </w:r>
            <w:r w:rsidR="00FD6161">
              <w:rPr>
                <w:rFonts w:ascii="Times New Roman" w:hAnsi="Times New Roman" w:cs="Times New Roman"/>
                <w:b/>
                <w:lang w:val="en-US"/>
              </w:rPr>
              <w:t>after up-titration</w:t>
            </w:r>
            <w:r w:rsidR="000A0BA2">
              <w:rPr>
                <w:rFonts w:ascii="Times New Roman" w:hAnsi="Times New Roman" w:cs="Times New Roman"/>
                <w:b/>
                <w:lang w:val="en-US"/>
              </w:rPr>
              <w:t xml:space="preserve"> phase</w:t>
            </w:r>
          </w:p>
        </w:tc>
        <w:tc>
          <w:tcPr>
            <w:tcW w:w="1187" w:type="dxa"/>
            <w:vAlign w:val="center"/>
          </w:tcPr>
          <w:p w14:paraId="01E50EDC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D3009">
              <w:rPr>
                <w:rFonts w:ascii="Times New Roman" w:hAnsi="Times New Roman" w:cs="Times New Roman"/>
                <w:lang w:val="es-ES"/>
              </w:rPr>
              <w:t>p</w:t>
            </w:r>
          </w:p>
        </w:tc>
      </w:tr>
      <w:tr w:rsidR="003D3009" w:rsidRPr="003D3009" w14:paraId="1F28210C" w14:textId="77777777" w:rsidTr="003D3009">
        <w:trPr>
          <w:trHeight w:val="279"/>
        </w:trPr>
        <w:tc>
          <w:tcPr>
            <w:tcW w:w="4491" w:type="dxa"/>
            <w:gridSpan w:val="2"/>
            <w:vMerge/>
          </w:tcPr>
          <w:p w14:paraId="4957D95A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4A3A3F64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0%</w:t>
            </w: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379EB62C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1-49%</w:t>
            </w:r>
          </w:p>
        </w:tc>
        <w:tc>
          <w:tcPr>
            <w:tcW w:w="2136" w:type="dxa"/>
            <w:shd w:val="clear" w:color="auto" w:fill="D9D9D9" w:themeFill="background1" w:themeFillShade="D9"/>
            <w:noWrap/>
            <w:vAlign w:val="center"/>
            <w:hideMark/>
          </w:tcPr>
          <w:p w14:paraId="5EBF7D77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50-99%</w:t>
            </w:r>
          </w:p>
        </w:tc>
        <w:tc>
          <w:tcPr>
            <w:tcW w:w="2138" w:type="dxa"/>
            <w:shd w:val="clear" w:color="auto" w:fill="D9D9D9" w:themeFill="background1" w:themeFillShade="D9"/>
            <w:noWrap/>
            <w:vAlign w:val="center"/>
            <w:hideMark/>
          </w:tcPr>
          <w:p w14:paraId="733D2302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≥ 100%</w:t>
            </w:r>
          </w:p>
        </w:tc>
        <w:tc>
          <w:tcPr>
            <w:tcW w:w="1187" w:type="dxa"/>
            <w:noWrap/>
            <w:vAlign w:val="center"/>
            <w:hideMark/>
          </w:tcPr>
          <w:p w14:paraId="0B74E955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3D3009" w:rsidRPr="003D3009" w14:paraId="44DE62E0" w14:textId="77777777" w:rsidTr="003D3009">
        <w:trPr>
          <w:trHeight w:val="279"/>
        </w:trPr>
        <w:tc>
          <w:tcPr>
            <w:tcW w:w="4491" w:type="dxa"/>
            <w:gridSpan w:val="2"/>
          </w:tcPr>
          <w:p w14:paraId="6188818E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</w:t>
            </w:r>
          </w:p>
        </w:tc>
        <w:tc>
          <w:tcPr>
            <w:tcW w:w="2134" w:type="dxa"/>
            <w:noWrap/>
            <w:vAlign w:val="center"/>
          </w:tcPr>
          <w:p w14:paraId="4CDF0744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34" w:type="dxa"/>
            <w:noWrap/>
            <w:vAlign w:val="center"/>
          </w:tcPr>
          <w:p w14:paraId="23269E03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2136" w:type="dxa"/>
            <w:noWrap/>
            <w:vAlign w:val="center"/>
          </w:tcPr>
          <w:p w14:paraId="1B88988F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138" w:type="dxa"/>
            <w:noWrap/>
            <w:vAlign w:val="center"/>
          </w:tcPr>
          <w:p w14:paraId="625153A7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187" w:type="dxa"/>
            <w:noWrap/>
            <w:vAlign w:val="center"/>
          </w:tcPr>
          <w:p w14:paraId="6503263A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3009" w:rsidRPr="003D3009" w14:paraId="2129AA13" w14:textId="77777777" w:rsidTr="003D3009">
        <w:trPr>
          <w:trHeight w:val="409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2284031E" w14:textId="6C4C31BE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</w:pPr>
            <w:proofErr w:type="spellStart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HRQoL</w:t>
            </w:r>
            <w:proofErr w:type="spellEnd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variation between baseline and </w:t>
            </w:r>
            <w:r w:rsidR="000A0BA2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nine</w:t>
            </w: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months</w:t>
            </w: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3D786446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KCCQ overall score</w:t>
            </w:r>
          </w:p>
        </w:tc>
        <w:tc>
          <w:tcPr>
            <w:tcW w:w="2134" w:type="dxa"/>
            <w:noWrap/>
            <w:vAlign w:val="center"/>
          </w:tcPr>
          <w:p w14:paraId="4EABAB1E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14.58 [3.12, 31.25]</w:t>
            </w:r>
          </w:p>
        </w:tc>
        <w:tc>
          <w:tcPr>
            <w:tcW w:w="2134" w:type="dxa"/>
            <w:noWrap/>
            <w:vAlign w:val="center"/>
          </w:tcPr>
          <w:p w14:paraId="2AD0880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9.38 [-1.04, 26.04]</w:t>
            </w:r>
          </w:p>
        </w:tc>
        <w:tc>
          <w:tcPr>
            <w:tcW w:w="2136" w:type="dxa"/>
            <w:noWrap/>
            <w:vAlign w:val="center"/>
          </w:tcPr>
          <w:p w14:paraId="1CFE234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13.54 [2.08, 27.08]</w:t>
            </w:r>
          </w:p>
        </w:tc>
        <w:tc>
          <w:tcPr>
            <w:tcW w:w="2138" w:type="dxa"/>
            <w:noWrap/>
            <w:vAlign w:val="center"/>
          </w:tcPr>
          <w:p w14:paraId="5C9BDB8A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9.38 [0.00, 27.08]</w:t>
            </w:r>
          </w:p>
        </w:tc>
        <w:tc>
          <w:tcPr>
            <w:tcW w:w="1187" w:type="dxa"/>
            <w:noWrap/>
            <w:vAlign w:val="center"/>
          </w:tcPr>
          <w:p w14:paraId="6242364A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0.054</w:t>
            </w:r>
          </w:p>
        </w:tc>
      </w:tr>
      <w:tr w:rsidR="003D3009" w:rsidRPr="003D3009" w14:paraId="1B5E42FB" w14:textId="77777777" w:rsidTr="003D3009">
        <w:trPr>
          <w:trHeight w:val="41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566E51AD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61402B38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  <w:t>EQ-5D utility score</w:t>
            </w:r>
          </w:p>
        </w:tc>
        <w:tc>
          <w:tcPr>
            <w:tcW w:w="2134" w:type="dxa"/>
            <w:noWrap/>
            <w:vAlign w:val="center"/>
          </w:tcPr>
          <w:p w14:paraId="75C6E738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0.04 [-0.05, 0.23]</w:t>
            </w:r>
          </w:p>
        </w:tc>
        <w:tc>
          <w:tcPr>
            <w:tcW w:w="2134" w:type="dxa"/>
            <w:noWrap/>
            <w:vAlign w:val="center"/>
          </w:tcPr>
          <w:p w14:paraId="6AA1546A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[-0.04, 0.19]</w:t>
            </w:r>
          </w:p>
        </w:tc>
        <w:tc>
          <w:tcPr>
            <w:tcW w:w="2136" w:type="dxa"/>
            <w:noWrap/>
            <w:vAlign w:val="center"/>
          </w:tcPr>
          <w:p w14:paraId="4A30572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[-0.07, 0.19]</w:t>
            </w:r>
          </w:p>
        </w:tc>
        <w:tc>
          <w:tcPr>
            <w:tcW w:w="2138" w:type="dxa"/>
            <w:noWrap/>
            <w:vAlign w:val="center"/>
          </w:tcPr>
          <w:p w14:paraId="3B8B40B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[-0.04, 0.15]</w:t>
            </w:r>
          </w:p>
        </w:tc>
        <w:tc>
          <w:tcPr>
            <w:tcW w:w="1187" w:type="dxa"/>
            <w:noWrap/>
            <w:vAlign w:val="center"/>
          </w:tcPr>
          <w:p w14:paraId="683D8683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0.774</w:t>
            </w:r>
          </w:p>
        </w:tc>
      </w:tr>
      <w:tr w:rsidR="003D3009" w:rsidRPr="003D3009" w14:paraId="4433BBBD" w14:textId="77777777" w:rsidTr="003D3009">
        <w:trPr>
          <w:trHeight w:val="435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0A3C6689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4A3656F5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  <w:t>EQ-5D VAS</w:t>
            </w:r>
          </w:p>
        </w:tc>
        <w:tc>
          <w:tcPr>
            <w:tcW w:w="2134" w:type="dxa"/>
            <w:noWrap/>
            <w:vAlign w:val="center"/>
          </w:tcPr>
          <w:p w14:paraId="21B2CFE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9.00 [-5.00, 20.00]</w:t>
            </w:r>
          </w:p>
        </w:tc>
        <w:tc>
          <w:tcPr>
            <w:tcW w:w="2134" w:type="dxa"/>
            <w:noWrap/>
            <w:vAlign w:val="center"/>
          </w:tcPr>
          <w:p w14:paraId="63DE4454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[-5.00, 20.00]</w:t>
            </w:r>
          </w:p>
        </w:tc>
        <w:tc>
          <w:tcPr>
            <w:tcW w:w="2136" w:type="dxa"/>
            <w:noWrap/>
            <w:vAlign w:val="center"/>
          </w:tcPr>
          <w:p w14:paraId="60F036EF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10.00 [0.00, 20.00]</w:t>
            </w:r>
          </w:p>
        </w:tc>
        <w:tc>
          <w:tcPr>
            <w:tcW w:w="2138" w:type="dxa"/>
            <w:noWrap/>
            <w:vAlign w:val="center"/>
          </w:tcPr>
          <w:p w14:paraId="7A7868A8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[-4.00, 20.00]</w:t>
            </w:r>
          </w:p>
        </w:tc>
        <w:tc>
          <w:tcPr>
            <w:tcW w:w="1187" w:type="dxa"/>
            <w:noWrap/>
            <w:vAlign w:val="center"/>
          </w:tcPr>
          <w:p w14:paraId="7853DC34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0.296</w:t>
            </w:r>
          </w:p>
        </w:tc>
      </w:tr>
    </w:tbl>
    <w:p w14:paraId="0FB61D73" w14:textId="77777777" w:rsidR="003D3009" w:rsidRPr="003D3009" w:rsidRDefault="003D3009" w:rsidP="003D3009">
      <w:pPr>
        <w:rPr>
          <w:rFonts w:ascii="Times New Roman" w:hAnsi="Times New Roman" w:cs="Times New Roman"/>
          <w:lang w:val="es-ES"/>
        </w:rPr>
      </w:pPr>
    </w:p>
    <w:p w14:paraId="58948BCF" w14:textId="77777777" w:rsidR="003D3009" w:rsidRPr="003D3009" w:rsidRDefault="003D3009" w:rsidP="003D3009">
      <w:pPr>
        <w:rPr>
          <w:rFonts w:ascii="Times New Roman" w:hAnsi="Times New Roman" w:cs="Times New Roman"/>
          <w:lang w:val="es-ES"/>
        </w:rPr>
      </w:pPr>
      <w:r w:rsidRPr="003D3009">
        <w:rPr>
          <w:rFonts w:ascii="Times New Roman" w:hAnsi="Times New Roman" w:cs="Times New Roman"/>
          <w:lang w:val="es-ES"/>
        </w:rPr>
        <w:t>(b)</w:t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1951"/>
        <w:gridCol w:w="2540"/>
        <w:gridCol w:w="2134"/>
        <w:gridCol w:w="2134"/>
        <w:gridCol w:w="2136"/>
        <w:gridCol w:w="2138"/>
        <w:gridCol w:w="1187"/>
      </w:tblGrid>
      <w:tr w:rsidR="003D3009" w:rsidRPr="003D3009" w14:paraId="30883613" w14:textId="77777777" w:rsidTr="003D3009">
        <w:trPr>
          <w:trHeight w:val="251"/>
        </w:trPr>
        <w:tc>
          <w:tcPr>
            <w:tcW w:w="4491" w:type="dxa"/>
            <w:gridSpan w:val="2"/>
            <w:vMerge w:val="restart"/>
          </w:tcPr>
          <w:p w14:paraId="55C46588" w14:textId="77777777" w:rsidR="003D3009" w:rsidRPr="003D3009" w:rsidRDefault="003D3009" w:rsidP="003D3009">
            <w:pPr>
              <w:rPr>
                <w:rFonts w:ascii="Times New Roman" w:hAnsi="Times New Roman" w:cs="Times New Roman"/>
                <w:b/>
              </w:rPr>
            </w:pPr>
            <w:r w:rsidRPr="003D3009">
              <w:rPr>
                <w:rFonts w:ascii="Times New Roman" w:hAnsi="Times New Roman" w:cs="Times New Roman"/>
                <w:b/>
              </w:rPr>
              <w:t>HFrEF Men</w:t>
            </w:r>
          </w:p>
        </w:tc>
        <w:tc>
          <w:tcPr>
            <w:tcW w:w="8542" w:type="dxa"/>
            <w:gridSpan w:val="4"/>
            <w:shd w:val="clear" w:color="auto" w:fill="D9D9D9" w:themeFill="background1" w:themeFillShade="D9"/>
          </w:tcPr>
          <w:p w14:paraId="6A77EA5F" w14:textId="689D616C" w:rsidR="003D3009" w:rsidRPr="003D3009" w:rsidRDefault="003D3009" w:rsidP="00FD61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Fraction target dose </w:t>
            </w:r>
            <w:proofErr w:type="spellStart"/>
            <w:r w:rsidRPr="003D3009">
              <w:rPr>
                <w:rFonts w:ascii="Times New Roman" w:hAnsi="Times New Roman" w:cs="Times New Roman"/>
                <w:b/>
                <w:lang w:val="en-US"/>
              </w:rPr>
              <w:t>ACEi</w:t>
            </w:r>
            <w:proofErr w:type="spellEnd"/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/ARB </w:t>
            </w:r>
            <w:r w:rsidR="00FD6161">
              <w:rPr>
                <w:rFonts w:ascii="Times New Roman" w:hAnsi="Times New Roman" w:cs="Times New Roman"/>
                <w:b/>
                <w:lang w:val="en-US"/>
              </w:rPr>
              <w:t>after up-titration</w:t>
            </w:r>
            <w:r w:rsidR="000A0BA2">
              <w:rPr>
                <w:rFonts w:ascii="Times New Roman" w:hAnsi="Times New Roman" w:cs="Times New Roman"/>
                <w:b/>
                <w:lang w:val="en-US"/>
              </w:rPr>
              <w:t xml:space="preserve"> phase</w:t>
            </w:r>
          </w:p>
        </w:tc>
        <w:tc>
          <w:tcPr>
            <w:tcW w:w="1187" w:type="dxa"/>
            <w:vAlign w:val="center"/>
          </w:tcPr>
          <w:p w14:paraId="156721CB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D3009">
              <w:rPr>
                <w:rFonts w:ascii="Times New Roman" w:hAnsi="Times New Roman" w:cs="Times New Roman"/>
                <w:lang w:val="es-ES"/>
              </w:rPr>
              <w:t>p</w:t>
            </w:r>
          </w:p>
        </w:tc>
      </w:tr>
      <w:tr w:rsidR="003D3009" w:rsidRPr="003D3009" w14:paraId="254181F2" w14:textId="77777777" w:rsidTr="003D3009">
        <w:trPr>
          <w:trHeight w:val="279"/>
        </w:trPr>
        <w:tc>
          <w:tcPr>
            <w:tcW w:w="4491" w:type="dxa"/>
            <w:gridSpan w:val="2"/>
            <w:vMerge/>
          </w:tcPr>
          <w:p w14:paraId="748F3BC2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35F47EE8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0%</w:t>
            </w: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7FB566D0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1-49%</w:t>
            </w:r>
          </w:p>
        </w:tc>
        <w:tc>
          <w:tcPr>
            <w:tcW w:w="2136" w:type="dxa"/>
            <w:shd w:val="clear" w:color="auto" w:fill="D9D9D9" w:themeFill="background1" w:themeFillShade="D9"/>
            <w:noWrap/>
            <w:vAlign w:val="center"/>
            <w:hideMark/>
          </w:tcPr>
          <w:p w14:paraId="6D364647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50-99%</w:t>
            </w:r>
          </w:p>
        </w:tc>
        <w:tc>
          <w:tcPr>
            <w:tcW w:w="2138" w:type="dxa"/>
            <w:shd w:val="clear" w:color="auto" w:fill="D9D9D9" w:themeFill="background1" w:themeFillShade="D9"/>
            <w:noWrap/>
            <w:vAlign w:val="center"/>
            <w:hideMark/>
          </w:tcPr>
          <w:p w14:paraId="5632F06D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≥ 100%</w:t>
            </w:r>
          </w:p>
        </w:tc>
        <w:tc>
          <w:tcPr>
            <w:tcW w:w="1187" w:type="dxa"/>
            <w:noWrap/>
            <w:vAlign w:val="center"/>
            <w:hideMark/>
          </w:tcPr>
          <w:p w14:paraId="7B3E6F51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3D3009" w:rsidRPr="003D3009" w14:paraId="71D3174F" w14:textId="77777777" w:rsidTr="003D3009">
        <w:trPr>
          <w:trHeight w:val="279"/>
        </w:trPr>
        <w:tc>
          <w:tcPr>
            <w:tcW w:w="4491" w:type="dxa"/>
            <w:gridSpan w:val="2"/>
          </w:tcPr>
          <w:p w14:paraId="5D22DCC8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</w:t>
            </w:r>
          </w:p>
        </w:tc>
        <w:tc>
          <w:tcPr>
            <w:tcW w:w="2134" w:type="dxa"/>
            <w:noWrap/>
            <w:vAlign w:val="center"/>
          </w:tcPr>
          <w:p w14:paraId="1D7CC38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34" w:type="dxa"/>
            <w:noWrap/>
            <w:vAlign w:val="center"/>
          </w:tcPr>
          <w:p w14:paraId="5665772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136" w:type="dxa"/>
            <w:noWrap/>
            <w:vAlign w:val="center"/>
          </w:tcPr>
          <w:p w14:paraId="0D989844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138" w:type="dxa"/>
            <w:noWrap/>
            <w:vAlign w:val="center"/>
          </w:tcPr>
          <w:p w14:paraId="321629AB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187" w:type="dxa"/>
            <w:noWrap/>
            <w:vAlign w:val="center"/>
          </w:tcPr>
          <w:p w14:paraId="17494B1B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3009" w:rsidRPr="003D3009" w14:paraId="1F20C78D" w14:textId="77777777" w:rsidTr="003D3009">
        <w:trPr>
          <w:trHeight w:val="409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4A321CFF" w14:textId="125FED18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</w:pPr>
            <w:proofErr w:type="spellStart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HRQoL</w:t>
            </w:r>
            <w:proofErr w:type="spellEnd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variation between baseline and </w:t>
            </w:r>
            <w:r w:rsidR="000A0BA2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nine</w:t>
            </w: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months</w:t>
            </w: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7F8F40AB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KCCQ overall score</w:t>
            </w:r>
          </w:p>
        </w:tc>
        <w:tc>
          <w:tcPr>
            <w:tcW w:w="2134" w:type="dxa"/>
            <w:noWrap/>
            <w:vAlign w:val="center"/>
          </w:tcPr>
          <w:p w14:paraId="35B0DEC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14.06 [3.12, 30.21]</w:t>
            </w:r>
          </w:p>
        </w:tc>
        <w:tc>
          <w:tcPr>
            <w:tcW w:w="2134" w:type="dxa"/>
            <w:noWrap/>
            <w:vAlign w:val="center"/>
          </w:tcPr>
          <w:p w14:paraId="5D5E44B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9.38 [-1.04, 25.00]</w:t>
            </w:r>
          </w:p>
        </w:tc>
        <w:tc>
          <w:tcPr>
            <w:tcW w:w="2136" w:type="dxa"/>
            <w:noWrap/>
            <w:vAlign w:val="center"/>
          </w:tcPr>
          <w:p w14:paraId="047E051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13.54 [2.08, 27.08]</w:t>
            </w:r>
          </w:p>
        </w:tc>
        <w:tc>
          <w:tcPr>
            <w:tcW w:w="2138" w:type="dxa"/>
            <w:noWrap/>
            <w:vAlign w:val="center"/>
          </w:tcPr>
          <w:p w14:paraId="7195B4BE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8.33 [0.00, 24.74]</w:t>
            </w:r>
          </w:p>
        </w:tc>
        <w:tc>
          <w:tcPr>
            <w:tcW w:w="1187" w:type="dxa"/>
            <w:noWrap/>
            <w:vAlign w:val="center"/>
          </w:tcPr>
          <w:p w14:paraId="1743CD1E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0.034</w:t>
            </w:r>
          </w:p>
        </w:tc>
      </w:tr>
      <w:tr w:rsidR="003D3009" w:rsidRPr="003D3009" w14:paraId="0F010FC9" w14:textId="77777777" w:rsidTr="003D3009">
        <w:trPr>
          <w:trHeight w:val="41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479422EC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190C8224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  <w:t>EQ-5D utility score</w:t>
            </w:r>
          </w:p>
        </w:tc>
        <w:tc>
          <w:tcPr>
            <w:tcW w:w="2134" w:type="dxa"/>
            <w:noWrap/>
            <w:vAlign w:val="center"/>
          </w:tcPr>
          <w:p w14:paraId="0FE960B8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0.05 [-0.03, 0.24]</w:t>
            </w:r>
          </w:p>
        </w:tc>
        <w:tc>
          <w:tcPr>
            <w:tcW w:w="2134" w:type="dxa"/>
            <w:noWrap/>
            <w:vAlign w:val="center"/>
          </w:tcPr>
          <w:p w14:paraId="07302AD2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[-0.05, 0.18]</w:t>
            </w:r>
          </w:p>
        </w:tc>
        <w:tc>
          <w:tcPr>
            <w:tcW w:w="2136" w:type="dxa"/>
            <w:noWrap/>
            <w:vAlign w:val="center"/>
          </w:tcPr>
          <w:p w14:paraId="5DE761B3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[-0.05, 0.19]</w:t>
            </w:r>
          </w:p>
        </w:tc>
        <w:tc>
          <w:tcPr>
            <w:tcW w:w="2138" w:type="dxa"/>
            <w:noWrap/>
            <w:vAlign w:val="center"/>
          </w:tcPr>
          <w:p w14:paraId="109BFEB3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[-0.07, 0.14]</w:t>
            </w:r>
          </w:p>
        </w:tc>
        <w:tc>
          <w:tcPr>
            <w:tcW w:w="1187" w:type="dxa"/>
            <w:noWrap/>
            <w:vAlign w:val="center"/>
          </w:tcPr>
          <w:p w14:paraId="4B86D75E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0.225</w:t>
            </w:r>
          </w:p>
        </w:tc>
      </w:tr>
      <w:tr w:rsidR="003D3009" w:rsidRPr="003D3009" w14:paraId="4B269899" w14:textId="77777777" w:rsidTr="003D3009">
        <w:trPr>
          <w:trHeight w:val="435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36C7554E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18206F86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  <w:t>EQ-5D VAS</w:t>
            </w:r>
          </w:p>
        </w:tc>
        <w:tc>
          <w:tcPr>
            <w:tcW w:w="2134" w:type="dxa"/>
            <w:noWrap/>
            <w:vAlign w:val="center"/>
          </w:tcPr>
          <w:p w14:paraId="2F63278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9.00 [-5.00, 20.00]</w:t>
            </w:r>
          </w:p>
        </w:tc>
        <w:tc>
          <w:tcPr>
            <w:tcW w:w="2134" w:type="dxa"/>
            <w:noWrap/>
            <w:vAlign w:val="center"/>
          </w:tcPr>
          <w:p w14:paraId="09EFE9DE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[-5.00, 20.00]</w:t>
            </w:r>
          </w:p>
        </w:tc>
        <w:tc>
          <w:tcPr>
            <w:tcW w:w="2136" w:type="dxa"/>
            <w:noWrap/>
            <w:vAlign w:val="center"/>
          </w:tcPr>
          <w:p w14:paraId="53EBA73D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10.00 [0.00, 20.00]</w:t>
            </w:r>
          </w:p>
        </w:tc>
        <w:tc>
          <w:tcPr>
            <w:tcW w:w="2138" w:type="dxa"/>
            <w:noWrap/>
            <w:vAlign w:val="center"/>
          </w:tcPr>
          <w:p w14:paraId="127BB4D7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[-5.00, 20.00]</w:t>
            </w:r>
          </w:p>
        </w:tc>
        <w:tc>
          <w:tcPr>
            <w:tcW w:w="1187" w:type="dxa"/>
            <w:noWrap/>
            <w:vAlign w:val="center"/>
          </w:tcPr>
          <w:p w14:paraId="2ED5623D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0.252</w:t>
            </w:r>
          </w:p>
        </w:tc>
      </w:tr>
    </w:tbl>
    <w:p w14:paraId="22B908A4" w14:textId="77777777" w:rsidR="003D3009" w:rsidRPr="003D3009" w:rsidRDefault="003D3009" w:rsidP="003D3009">
      <w:pPr>
        <w:rPr>
          <w:rFonts w:ascii="Times New Roman" w:hAnsi="Times New Roman" w:cs="Times New Roman"/>
          <w:lang w:val="es-ES"/>
        </w:rPr>
      </w:pPr>
    </w:p>
    <w:p w14:paraId="2F8D3400" w14:textId="77777777" w:rsidR="003D3009" w:rsidRPr="003D3009" w:rsidRDefault="003D3009" w:rsidP="003D3009">
      <w:pPr>
        <w:rPr>
          <w:rFonts w:ascii="Times New Roman" w:hAnsi="Times New Roman" w:cs="Times New Roman"/>
          <w:lang w:val="es-ES"/>
        </w:rPr>
      </w:pPr>
      <w:r w:rsidRPr="003D3009">
        <w:rPr>
          <w:rFonts w:ascii="Times New Roman" w:hAnsi="Times New Roman" w:cs="Times New Roman"/>
          <w:lang w:val="es-ES"/>
        </w:rPr>
        <w:t>(c)</w:t>
      </w: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1951"/>
        <w:gridCol w:w="2540"/>
        <w:gridCol w:w="2134"/>
        <w:gridCol w:w="2134"/>
        <w:gridCol w:w="2136"/>
        <w:gridCol w:w="2138"/>
        <w:gridCol w:w="1187"/>
      </w:tblGrid>
      <w:tr w:rsidR="003D3009" w:rsidRPr="003D3009" w14:paraId="2EBDE17C" w14:textId="77777777" w:rsidTr="003D3009">
        <w:trPr>
          <w:trHeight w:val="251"/>
        </w:trPr>
        <w:tc>
          <w:tcPr>
            <w:tcW w:w="4491" w:type="dxa"/>
            <w:gridSpan w:val="2"/>
            <w:vMerge w:val="restart"/>
          </w:tcPr>
          <w:p w14:paraId="5710B539" w14:textId="77777777" w:rsidR="003D3009" w:rsidRPr="003D3009" w:rsidRDefault="003D3009" w:rsidP="003D3009">
            <w:pPr>
              <w:rPr>
                <w:rFonts w:ascii="Times New Roman" w:hAnsi="Times New Roman" w:cs="Times New Roman"/>
                <w:b/>
              </w:rPr>
            </w:pPr>
            <w:r w:rsidRPr="003D3009">
              <w:rPr>
                <w:rFonts w:ascii="Times New Roman" w:hAnsi="Times New Roman" w:cs="Times New Roman"/>
                <w:b/>
              </w:rPr>
              <w:t xml:space="preserve">HFrEF </w:t>
            </w:r>
            <w:proofErr w:type="spellStart"/>
            <w:r w:rsidRPr="003D3009">
              <w:rPr>
                <w:rFonts w:ascii="Times New Roman" w:hAnsi="Times New Roman" w:cs="Times New Roman"/>
                <w:b/>
              </w:rPr>
              <w:t>Women</w:t>
            </w:r>
            <w:proofErr w:type="spellEnd"/>
          </w:p>
        </w:tc>
        <w:tc>
          <w:tcPr>
            <w:tcW w:w="8542" w:type="dxa"/>
            <w:gridSpan w:val="4"/>
            <w:shd w:val="clear" w:color="auto" w:fill="D9D9D9" w:themeFill="background1" w:themeFillShade="D9"/>
          </w:tcPr>
          <w:p w14:paraId="370521A7" w14:textId="3B005862" w:rsidR="003D3009" w:rsidRPr="003D3009" w:rsidRDefault="003D3009" w:rsidP="00FD61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Fraction target dose </w:t>
            </w:r>
            <w:proofErr w:type="spellStart"/>
            <w:r w:rsidRPr="003D3009">
              <w:rPr>
                <w:rFonts w:ascii="Times New Roman" w:hAnsi="Times New Roman" w:cs="Times New Roman"/>
                <w:b/>
                <w:lang w:val="en-US"/>
              </w:rPr>
              <w:t>ACEi</w:t>
            </w:r>
            <w:proofErr w:type="spellEnd"/>
            <w:r w:rsidRPr="003D3009">
              <w:rPr>
                <w:rFonts w:ascii="Times New Roman" w:hAnsi="Times New Roman" w:cs="Times New Roman"/>
                <w:b/>
                <w:lang w:val="en-US"/>
              </w:rPr>
              <w:t xml:space="preserve">/ARB </w:t>
            </w:r>
            <w:r w:rsidR="00FD6161">
              <w:rPr>
                <w:rFonts w:ascii="Times New Roman" w:hAnsi="Times New Roman" w:cs="Times New Roman"/>
                <w:b/>
                <w:lang w:val="en-US"/>
              </w:rPr>
              <w:t>after up-titration</w:t>
            </w:r>
            <w:r w:rsidR="000A0BA2">
              <w:rPr>
                <w:rFonts w:ascii="Times New Roman" w:hAnsi="Times New Roman" w:cs="Times New Roman"/>
                <w:b/>
                <w:lang w:val="en-US"/>
              </w:rPr>
              <w:t xml:space="preserve"> phase</w:t>
            </w:r>
          </w:p>
        </w:tc>
        <w:tc>
          <w:tcPr>
            <w:tcW w:w="1187" w:type="dxa"/>
            <w:vAlign w:val="center"/>
          </w:tcPr>
          <w:p w14:paraId="5AE8C441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D3009">
              <w:rPr>
                <w:rFonts w:ascii="Times New Roman" w:hAnsi="Times New Roman" w:cs="Times New Roman"/>
                <w:lang w:val="es-ES"/>
              </w:rPr>
              <w:t>p</w:t>
            </w:r>
          </w:p>
        </w:tc>
      </w:tr>
      <w:tr w:rsidR="003D3009" w:rsidRPr="003D3009" w14:paraId="3191AB35" w14:textId="77777777" w:rsidTr="003D3009">
        <w:trPr>
          <w:trHeight w:val="279"/>
        </w:trPr>
        <w:tc>
          <w:tcPr>
            <w:tcW w:w="4491" w:type="dxa"/>
            <w:gridSpan w:val="2"/>
            <w:vMerge/>
          </w:tcPr>
          <w:p w14:paraId="45800CCA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5C778ACE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 xml:space="preserve"> 0%</w:t>
            </w:r>
          </w:p>
        </w:tc>
        <w:tc>
          <w:tcPr>
            <w:tcW w:w="2134" w:type="dxa"/>
            <w:shd w:val="clear" w:color="auto" w:fill="D9D9D9" w:themeFill="background1" w:themeFillShade="D9"/>
            <w:noWrap/>
            <w:vAlign w:val="center"/>
            <w:hideMark/>
          </w:tcPr>
          <w:p w14:paraId="7114F07A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1-49%</w:t>
            </w:r>
          </w:p>
        </w:tc>
        <w:tc>
          <w:tcPr>
            <w:tcW w:w="2136" w:type="dxa"/>
            <w:shd w:val="clear" w:color="auto" w:fill="D9D9D9" w:themeFill="background1" w:themeFillShade="D9"/>
            <w:noWrap/>
            <w:vAlign w:val="center"/>
            <w:hideMark/>
          </w:tcPr>
          <w:p w14:paraId="4B5A6AE3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50-99%</w:t>
            </w:r>
          </w:p>
        </w:tc>
        <w:tc>
          <w:tcPr>
            <w:tcW w:w="2138" w:type="dxa"/>
            <w:shd w:val="clear" w:color="auto" w:fill="D9D9D9" w:themeFill="background1" w:themeFillShade="D9"/>
            <w:noWrap/>
            <w:vAlign w:val="center"/>
            <w:hideMark/>
          </w:tcPr>
          <w:p w14:paraId="66C355F6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≥ 100%</w:t>
            </w:r>
          </w:p>
        </w:tc>
        <w:tc>
          <w:tcPr>
            <w:tcW w:w="1187" w:type="dxa"/>
            <w:noWrap/>
            <w:vAlign w:val="center"/>
            <w:hideMark/>
          </w:tcPr>
          <w:p w14:paraId="6EC5B3DA" w14:textId="77777777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3D3009" w:rsidRPr="003D3009" w14:paraId="3F25314F" w14:textId="77777777" w:rsidTr="003D3009">
        <w:trPr>
          <w:trHeight w:val="279"/>
        </w:trPr>
        <w:tc>
          <w:tcPr>
            <w:tcW w:w="4491" w:type="dxa"/>
            <w:gridSpan w:val="2"/>
          </w:tcPr>
          <w:p w14:paraId="3C61D138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</w:t>
            </w:r>
          </w:p>
        </w:tc>
        <w:tc>
          <w:tcPr>
            <w:tcW w:w="2134" w:type="dxa"/>
            <w:noWrap/>
            <w:vAlign w:val="center"/>
          </w:tcPr>
          <w:p w14:paraId="0FA41754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34" w:type="dxa"/>
            <w:noWrap/>
            <w:vAlign w:val="center"/>
          </w:tcPr>
          <w:p w14:paraId="251FBE0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136" w:type="dxa"/>
            <w:noWrap/>
            <w:vAlign w:val="center"/>
          </w:tcPr>
          <w:p w14:paraId="4DC98AC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38" w:type="dxa"/>
            <w:noWrap/>
            <w:vAlign w:val="center"/>
          </w:tcPr>
          <w:p w14:paraId="47DCC5C9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87" w:type="dxa"/>
            <w:noWrap/>
            <w:vAlign w:val="center"/>
          </w:tcPr>
          <w:p w14:paraId="7B9C8848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3009" w:rsidRPr="003D3009" w14:paraId="22E42C0A" w14:textId="77777777" w:rsidTr="003D3009">
        <w:trPr>
          <w:trHeight w:val="409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10E186FB" w14:textId="1605A602" w:rsidR="003D3009" w:rsidRPr="003D3009" w:rsidRDefault="003D3009" w:rsidP="003D30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</w:pPr>
            <w:proofErr w:type="spellStart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HRQoL</w:t>
            </w:r>
            <w:proofErr w:type="spellEnd"/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variation between baseline and </w:t>
            </w:r>
            <w:r w:rsidR="000A0BA2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>nine</w:t>
            </w: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n-US" w:eastAsia="nl-NL"/>
              </w:rPr>
              <w:t xml:space="preserve"> months</w:t>
            </w: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37041883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KCCQ overall score</w:t>
            </w:r>
          </w:p>
        </w:tc>
        <w:tc>
          <w:tcPr>
            <w:tcW w:w="2134" w:type="dxa"/>
            <w:noWrap/>
            <w:vAlign w:val="center"/>
          </w:tcPr>
          <w:p w14:paraId="332D1E73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20.83 [4.17, 36.46]</w:t>
            </w:r>
          </w:p>
        </w:tc>
        <w:tc>
          <w:tcPr>
            <w:tcW w:w="2134" w:type="dxa"/>
            <w:noWrap/>
            <w:vAlign w:val="center"/>
          </w:tcPr>
          <w:p w14:paraId="64F5F8D8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9.90 [1.04, 28.12]</w:t>
            </w:r>
          </w:p>
        </w:tc>
        <w:tc>
          <w:tcPr>
            <w:tcW w:w="2136" w:type="dxa"/>
            <w:noWrap/>
            <w:vAlign w:val="center"/>
          </w:tcPr>
          <w:p w14:paraId="4B5852DB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10.94 [1.82, 28.13]</w:t>
            </w:r>
          </w:p>
        </w:tc>
        <w:tc>
          <w:tcPr>
            <w:tcW w:w="2138" w:type="dxa"/>
            <w:noWrap/>
            <w:vAlign w:val="center"/>
          </w:tcPr>
          <w:p w14:paraId="166F73FA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12.50 [5.21, 30.21]</w:t>
            </w:r>
          </w:p>
        </w:tc>
        <w:tc>
          <w:tcPr>
            <w:tcW w:w="1187" w:type="dxa"/>
            <w:noWrap/>
            <w:vAlign w:val="center"/>
          </w:tcPr>
          <w:p w14:paraId="4CC0FE2F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0.654</w:t>
            </w:r>
          </w:p>
        </w:tc>
      </w:tr>
      <w:tr w:rsidR="003D3009" w:rsidRPr="003D3009" w14:paraId="128AA8A2" w14:textId="77777777" w:rsidTr="003D3009">
        <w:trPr>
          <w:trHeight w:val="41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267A42BE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3B5F34F6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it-IT" w:eastAsia="nl-NL"/>
              </w:rPr>
              <w:t>EQ-5D utility score</w:t>
            </w:r>
          </w:p>
        </w:tc>
        <w:tc>
          <w:tcPr>
            <w:tcW w:w="2134" w:type="dxa"/>
            <w:noWrap/>
            <w:vAlign w:val="center"/>
          </w:tcPr>
          <w:p w14:paraId="4E7F9536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[-0.12, 0.12]</w:t>
            </w:r>
          </w:p>
        </w:tc>
        <w:tc>
          <w:tcPr>
            <w:tcW w:w="2134" w:type="dxa"/>
            <w:noWrap/>
            <w:vAlign w:val="center"/>
          </w:tcPr>
          <w:p w14:paraId="0F8C1C46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0.05 [-0.03, 0.23]</w:t>
            </w:r>
          </w:p>
        </w:tc>
        <w:tc>
          <w:tcPr>
            <w:tcW w:w="2136" w:type="dxa"/>
            <w:noWrap/>
            <w:vAlign w:val="center"/>
          </w:tcPr>
          <w:p w14:paraId="0D25733D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0.00 [-0.13, 0.12]</w:t>
            </w:r>
          </w:p>
        </w:tc>
        <w:tc>
          <w:tcPr>
            <w:tcW w:w="2138" w:type="dxa"/>
            <w:noWrap/>
            <w:vAlign w:val="center"/>
          </w:tcPr>
          <w:p w14:paraId="70C29B69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0.10 [0.00, 0.20]</w:t>
            </w:r>
          </w:p>
        </w:tc>
        <w:tc>
          <w:tcPr>
            <w:tcW w:w="1187" w:type="dxa"/>
            <w:noWrap/>
            <w:vAlign w:val="center"/>
          </w:tcPr>
          <w:p w14:paraId="74D10A72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0.065</w:t>
            </w:r>
          </w:p>
        </w:tc>
      </w:tr>
      <w:tr w:rsidR="003D3009" w:rsidRPr="003D3009" w14:paraId="5BB2A3DA" w14:textId="77777777" w:rsidTr="003D3009">
        <w:trPr>
          <w:trHeight w:val="435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6C741402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noWrap/>
            <w:vAlign w:val="center"/>
          </w:tcPr>
          <w:p w14:paraId="3C3083AB" w14:textId="77777777" w:rsidR="003D3009" w:rsidRPr="003D3009" w:rsidRDefault="003D3009" w:rsidP="003D3009">
            <w:pPr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</w:pPr>
            <w:r w:rsidRPr="003D3009">
              <w:rPr>
                <w:rFonts w:ascii="Times New Roman" w:eastAsia="Times New Roman" w:hAnsi="Times New Roman" w:cs="Times New Roman"/>
                <w:b/>
                <w:color w:val="000000"/>
                <w:lang w:val="es-ES" w:eastAsia="nl-NL"/>
              </w:rPr>
              <w:t>EQ-5D VAS</w:t>
            </w:r>
          </w:p>
        </w:tc>
        <w:tc>
          <w:tcPr>
            <w:tcW w:w="2134" w:type="dxa"/>
            <w:noWrap/>
            <w:vAlign w:val="center"/>
          </w:tcPr>
          <w:p w14:paraId="2C38032D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2.00 [0.00, 20.00]</w:t>
            </w:r>
          </w:p>
        </w:tc>
        <w:tc>
          <w:tcPr>
            <w:tcW w:w="2134" w:type="dxa"/>
            <w:noWrap/>
            <w:vAlign w:val="center"/>
          </w:tcPr>
          <w:p w14:paraId="7BDE96D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[-5.50, 25.00]</w:t>
            </w:r>
          </w:p>
        </w:tc>
        <w:tc>
          <w:tcPr>
            <w:tcW w:w="2136" w:type="dxa"/>
            <w:noWrap/>
            <w:vAlign w:val="center"/>
          </w:tcPr>
          <w:p w14:paraId="254D6024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8.50 [0.00, 20.00]</w:t>
            </w:r>
          </w:p>
        </w:tc>
        <w:tc>
          <w:tcPr>
            <w:tcW w:w="2138" w:type="dxa"/>
            <w:noWrap/>
            <w:vAlign w:val="center"/>
          </w:tcPr>
          <w:p w14:paraId="246E1B2C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5.00 [-1.00, 20.00]</w:t>
            </w:r>
          </w:p>
        </w:tc>
        <w:tc>
          <w:tcPr>
            <w:tcW w:w="1187" w:type="dxa"/>
            <w:noWrap/>
            <w:vAlign w:val="center"/>
          </w:tcPr>
          <w:p w14:paraId="2F153583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009">
              <w:rPr>
                <w:rFonts w:ascii="Times New Roman" w:hAnsi="Times New Roman" w:cs="Times New Roman"/>
                <w:color w:val="000000"/>
              </w:rPr>
              <w:t>0.989</w:t>
            </w:r>
          </w:p>
        </w:tc>
      </w:tr>
    </w:tbl>
    <w:p w14:paraId="062AFA0A" w14:textId="67D652E4" w:rsidR="003D3009" w:rsidRPr="00FD6161" w:rsidRDefault="003D3009">
      <w:pPr>
        <w:rPr>
          <w:rFonts w:ascii="Times New Roman" w:hAnsi="Times New Roman" w:cs="Times New Roman"/>
          <w:lang w:val="en-GB"/>
        </w:rPr>
        <w:sectPr w:rsidR="003D3009" w:rsidRPr="00FD6161" w:rsidSect="003D3009">
          <w:pgSz w:w="16838" w:h="11906" w:orient="landscape"/>
          <w:pgMar w:top="1134" w:right="1418" w:bottom="992" w:left="1418" w:header="709" w:footer="709" w:gutter="0"/>
          <w:cols w:space="708"/>
          <w:docGrid w:linePitch="360"/>
        </w:sectPr>
      </w:pPr>
      <w:r w:rsidRPr="00FD6161">
        <w:rPr>
          <w:rFonts w:ascii="Times New Roman" w:hAnsi="Times New Roman" w:cs="Times New Roman"/>
          <w:lang w:val="en-GB"/>
        </w:rPr>
        <w:t xml:space="preserve">Legend: </w:t>
      </w:r>
      <w:proofErr w:type="spellStart"/>
      <w:r w:rsidRPr="00FD6161">
        <w:rPr>
          <w:rFonts w:ascii="Times New Roman" w:hAnsi="Times New Roman" w:cs="Times New Roman"/>
          <w:lang w:val="en-GB"/>
        </w:rPr>
        <w:t>ACEi</w:t>
      </w:r>
      <w:proofErr w:type="spellEnd"/>
      <w:r w:rsidRPr="00FD6161">
        <w:rPr>
          <w:rFonts w:ascii="Times New Roman" w:hAnsi="Times New Roman" w:cs="Times New Roman"/>
          <w:lang w:val="en-GB"/>
        </w:rPr>
        <w:t xml:space="preserve">= </w:t>
      </w:r>
      <w:proofErr w:type="spellStart"/>
      <w:r w:rsidRPr="00FD6161">
        <w:rPr>
          <w:rFonts w:ascii="Times New Roman" w:hAnsi="Times New Roman" w:cs="Times New Roman"/>
          <w:lang w:val="en-GB"/>
        </w:rPr>
        <w:t>Angiontensin</w:t>
      </w:r>
      <w:proofErr w:type="spellEnd"/>
      <w:r w:rsidRPr="00FD6161">
        <w:rPr>
          <w:rFonts w:ascii="Times New Roman" w:hAnsi="Times New Roman" w:cs="Times New Roman"/>
          <w:lang w:val="en-GB"/>
        </w:rPr>
        <w:t xml:space="preserve"> converting enzyme inhibitors; ARB= Angiotensin receptor blockers; EQ-5D= </w:t>
      </w:r>
      <w:proofErr w:type="spellStart"/>
      <w:r w:rsidR="002C4130">
        <w:rPr>
          <w:rFonts w:ascii="Times New Roman" w:hAnsi="Times New Roman" w:cs="Times New Roman"/>
          <w:lang w:val="en-GB"/>
        </w:rPr>
        <w:t>EuroQoL</w:t>
      </w:r>
      <w:proofErr w:type="spellEnd"/>
      <w:r w:rsidR="002C4130">
        <w:rPr>
          <w:rFonts w:ascii="Times New Roman" w:hAnsi="Times New Roman" w:cs="Times New Roman"/>
          <w:lang w:val="en-GB"/>
        </w:rPr>
        <w:t xml:space="preserve"> 5 dimensions</w:t>
      </w:r>
      <w:proofErr w:type="gramStart"/>
      <w:r w:rsidRPr="00FD6161">
        <w:rPr>
          <w:rFonts w:ascii="Times New Roman" w:hAnsi="Times New Roman" w:cs="Times New Roman"/>
          <w:lang w:val="en-GB"/>
        </w:rPr>
        <w:t>;  HFrEF</w:t>
      </w:r>
      <w:proofErr w:type="gramEnd"/>
      <w:r w:rsidRPr="00FD6161">
        <w:rPr>
          <w:rFonts w:ascii="Times New Roman" w:hAnsi="Times New Roman" w:cs="Times New Roman"/>
          <w:lang w:val="en-GB"/>
        </w:rPr>
        <w:t xml:space="preserve">= heart failure with reduced left ventricular ejection fraction; KCCQ= Kansas City Cardiomyopathy Questionnaire;  </w:t>
      </w:r>
      <w:proofErr w:type="spellStart"/>
      <w:r w:rsidR="00934B04" w:rsidRPr="00FD6161">
        <w:rPr>
          <w:rFonts w:ascii="Times New Roman" w:hAnsi="Times New Roman" w:cs="Times New Roman"/>
          <w:lang w:val="en-GB"/>
        </w:rPr>
        <w:t>QoL</w:t>
      </w:r>
      <w:proofErr w:type="spellEnd"/>
      <w:r w:rsidR="00934B04" w:rsidRPr="00FD6161">
        <w:rPr>
          <w:rFonts w:ascii="Times New Roman" w:hAnsi="Times New Roman" w:cs="Times New Roman"/>
          <w:lang w:val="en-GB"/>
        </w:rPr>
        <w:t xml:space="preserve">= quality of life; </w:t>
      </w:r>
      <w:r w:rsidRPr="00FD6161">
        <w:rPr>
          <w:rFonts w:ascii="Times New Roman" w:hAnsi="Times New Roman" w:cs="Times New Roman"/>
          <w:lang w:val="en-GB"/>
        </w:rPr>
        <w:t>VAS= visual analogue scale</w:t>
      </w:r>
    </w:p>
    <w:p w14:paraId="58CA0DB0" w14:textId="1A1711CF" w:rsidR="000E4DAF" w:rsidRDefault="000E4DAF" w:rsidP="000E4DAF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</w:t>
      </w:r>
      <w:r w:rsidRPr="003D300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</w:t>
      </w:r>
      <w:r w:rsidR="004B388D">
        <w:rPr>
          <w:rFonts w:ascii="Times New Roman" w:hAnsi="Times New Roman" w:cs="Times New Roman"/>
          <w:b/>
          <w:lang w:val="en-US"/>
        </w:rPr>
        <w:t>5</w:t>
      </w:r>
      <w:r w:rsidRPr="00FB35A4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Cs/>
          <w:lang w:val="en-US"/>
        </w:rPr>
        <w:t>Variation of parameters of functional capacity between baseline and 9 months in the total study population and in men and women separately</w:t>
      </w:r>
      <w:r w:rsidR="00E54D41">
        <w:rPr>
          <w:rFonts w:ascii="Times New Roman" w:hAnsi="Times New Roman" w:cs="Times New Roman"/>
          <w:bCs/>
          <w:lang w:val="en-US"/>
        </w:rPr>
        <w:t xml:space="preserve">, </w:t>
      </w:r>
      <w:r>
        <w:rPr>
          <w:rFonts w:ascii="Times New Roman" w:hAnsi="Times New Roman" w:cs="Times New Roman"/>
          <w:bCs/>
          <w:lang w:val="en-US"/>
        </w:rPr>
        <w:t>me</w:t>
      </w:r>
      <w:r w:rsidR="00423512">
        <w:rPr>
          <w:rFonts w:ascii="Times New Roman" w:hAnsi="Times New Roman" w:cs="Times New Roman"/>
          <w:bCs/>
          <w:lang w:val="en-US"/>
        </w:rPr>
        <w:t>dian</w:t>
      </w:r>
      <w:r w:rsidR="00E54D41">
        <w:rPr>
          <w:rFonts w:ascii="Times New Roman" w:hAnsi="Times New Roman" w:cs="Times New Roman"/>
          <w:bCs/>
          <w:lang w:val="en-US"/>
        </w:rPr>
        <w:t xml:space="preserve"> (interquartile range</w:t>
      </w:r>
      <w:r>
        <w:rPr>
          <w:rFonts w:ascii="Times New Roman" w:hAnsi="Times New Roman" w:cs="Times New Roman"/>
          <w:bCs/>
          <w:lang w:val="en-US"/>
        </w:rPr>
        <w:t>)</w:t>
      </w:r>
      <w:r w:rsidR="00423512">
        <w:rPr>
          <w:rFonts w:ascii="Times New Roman" w:hAnsi="Times New Roman" w:cs="Times New Roman"/>
          <w:bCs/>
          <w:lang w:val="en-US"/>
        </w:rPr>
        <w:t>.</w:t>
      </w:r>
    </w:p>
    <w:p w14:paraId="3541CB08" w14:textId="3816B079" w:rsidR="00C1044C" w:rsidRDefault="00C1044C" w:rsidP="000E4DAF">
      <w:pPr>
        <w:rPr>
          <w:rFonts w:ascii="Times New Roman" w:hAnsi="Times New Roman" w:cs="Times New Roman"/>
          <w:bCs/>
          <w:lang w:val="en-US"/>
        </w:rPr>
      </w:pPr>
    </w:p>
    <w:tbl>
      <w:tblPr>
        <w:tblStyle w:val="Ombrageclair"/>
        <w:tblW w:w="1091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74"/>
        <w:gridCol w:w="2227"/>
        <w:gridCol w:w="1003"/>
        <w:gridCol w:w="1842"/>
        <w:gridCol w:w="933"/>
        <w:gridCol w:w="2011"/>
        <w:gridCol w:w="1026"/>
      </w:tblGrid>
      <w:tr w:rsidR="00C1044C" w:rsidRPr="00C1044C" w14:paraId="06D625EC" w14:textId="77777777" w:rsidTr="00890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07EBB86" w14:textId="77777777" w:rsidR="00C1044C" w:rsidRPr="008902BF" w:rsidRDefault="00C1044C" w:rsidP="00C1044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7" w:type="dxa"/>
            <w:vAlign w:val="center"/>
          </w:tcPr>
          <w:p w14:paraId="48ECF14D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Total population</w:t>
            </w:r>
          </w:p>
        </w:tc>
        <w:tc>
          <w:tcPr>
            <w:tcW w:w="1003" w:type="dxa"/>
            <w:vAlign w:val="center"/>
          </w:tcPr>
          <w:p w14:paraId="44F1E6EC" w14:textId="6C8921FF" w:rsidR="00C1044C" w:rsidRPr="008902BF" w:rsidRDefault="00C1044C" w:rsidP="00E80E7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value</w:t>
            </w:r>
          </w:p>
        </w:tc>
        <w:tc>
          <w:tcPr>
            <w:tcW w:w="1842" w:type="dxa"/>
            <w:vAlign w:val="center"/>
          </w:tcPr>
          <w:p w14:paraId="0F34BE4F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Men</w:t>
            </w:r>
          </w:p>
        </w:tc>
        <w:tc>
          <w:tcPr>
            <w:tcW w:w="933" w:type="dxa"/>
            <w:vAlign w:val="center"/>
          </w:tcPr>
          <w:p w14:paraId="7575969E" w14:textId="48699131" w:rsidR="00C1044C" w:rsidRPr="008902BF" w:rsidRDefault="00C1044C" w:rsidP="00E80E7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value</w:t>
            </w:r>
          </w:p>
        </w:tc>
        <w:tc>
          <w:tcPr>
            <w:tcW w:w="2011" w:type="dxa"/>
            <w:vAlign w:val="center"/>
          </w:tcPr>
          <w:p w14:paraId="3B2014E6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Women</w:t>
            </w:r>
          </w:p>
        </w:tc>
        <w:tc>
          <w:tcPr>
            <w:tcW w:w="1026" w:type="dxa"/>
            <w:vAlign w:val="center"/>
          </w:tcPr>
          <w:p w14:paraId="58CE8BCD" w14:textId="6B790F22" w:rsidR="00C1044C" w:rsidRPr="008902BF" w:rsidRDefault="00C1044C" w:rsidP="00E80E7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value</w:t>
            </w:r>
          </w:p>
        </w:tc>
      </w:tr>
      <w:tr w:rsidR="00C1044C" w:rsidRPr="00C1044C" w14:paraId="39E20224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079782B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KCCQ Overall score</w:t>
            </w:r>
          </w:p>
        </w:tc>
        <w:tc>
          <w:tcPr>
            <w:tcW w:w="2227" w:type="dxa"/>
            <w:vAlign w:val="center"/>
          </w:tcPr>
          <w:p w14:paraId="2F03F49F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13.8 (12.6-15.1)</w:t>
            </w:r>
          </w:p>
        </w:tc>
        <w:tc>
          <w:tcPr>
            <w:tcW w:w="1003" w:type="dxa"/>
            <w:vAlign w:val="center"/>
          </w:tcPr>
          <w:p w14:paraId="45CC39EC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46D6FB7C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13.4 (11.9-14.8)</w:t>
            </w:r>
          </w:p>
        </w:tc>
        <w:tc>
          <w:tcPr>
            <w:tcW w:w="933" w:type="dxa"/>
            <w:vAlign w:val="center"/>
          </w:tcPr>
          <w:p w14:paraId="407A9B57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3AA62389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15.4 (13.0-17.9)</w:t>
            </w:r>
          </w:p>
        </w:tc>
        <w:tc>
          <w:tcPr>
            <w:tcW w:w="1026" w:type="dxa"/>
            <w:vAlign w:val="center"/>
          </w:tcPr>
          <w:p w14:paraId="12AE0AD3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2C16D8BE" w14:textId="77777777" w:rsidTr="008902B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E78EF7A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KCCQ Clinical summary score</w:t>
            </w:r>
          </w:p>
        </w:tc>
        <w:tc>
          <w:tcPr>
            <w:tcW w:w="2227" w:type="dxa"/>
            <w:vAlign w:val="center"/>
          </w:tcPr>
          <w:p w14:paraId="7087F156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14.5 (13.1-15.8)</w:t>
            </w:r>
          </w:p>
        </w:tc>
        <w:tc>
          <w:tcPr>
            <w:tcW w:w="1003" w:type="dxa"/>
            <w:vAlign w:val="center"/>
          </w:tcPr>
          <w:p w14:paraId="2A425E2A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4F2336B7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14.0 (12.4-15.6)</w:t>
            </w:r>
          </w:p>
        </w:tc>
        <w:tc>
          <w:tcPr>
            <w:tcW w:w="933" w:type="dxa"/>
            <w:vAlign w:val="center"/>
          </w:tcPr>
          <w:p w14:paraId="14F6F2EF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60D2763E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16.1 (13.4-18.7)</w:t>
            </w:r>
          </w:p>
        </w:tc>
        <w:tc>
          <w:tcPr>
            <w:tcW w:w="1026" w:type="dxa"/>
            <w:vAlign w:val="center"/>
          </w:tcPr>
          <w:p w14:paraId="050F03F1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15A07A13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0385C09A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KCCQ Functional status score</w:t>
            </w:r>
          </w:p>
        </w:tc>
        <w:tc>
          <w:tcPr>
            <w:tcW w:w="2227" w:type="dxa"/>
            <w:vAlign w:val="center"/>
          </w:tcPr>
          <w:p w14:paraId="3D3A83AD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14.1 (12.8-15.5)</w:t>
            </w:r>
          </w:p>
        </w:tc>
        <w:tc>
          <w:tcPr>
            <w:tcW w:w="1003" w:type="dxa"/>
            <w:vAlign w:val="center"/>
          </w:tcPr>
          <w:p w14:paraId="08DA5260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3A96EE23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13.8 (12.2-15.4)</w:t>
            </w:r>
          </w:p>
        </w:tc>
        <w:tc>
          <w:tcPr>
            <w:tcW w:w="933" w:type="dxa"/>
            <w:vAlign w:val="center"/>
          </w:tcPr>
          <w:p w14:paraId="4B3A9692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21AF416C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15.4 (12.7-18.2)</w:t>
            </w:r>
          </w:p>
        </w:tc>
        <w:tc>
          <w:tcPr>
            <w:tcW w:w="1026" w:type="dxa"/>
            <w:vAlign w:val="center"/>
          </w:tcPr>
          <w:p w14:paraId="5B6D92AA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6E81A89A" w14:textId="77777777" w:rsidTr="008902B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4877D71C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KCCQ domain, Physical limitation</w:t>
            </w:r>
          </w:p>
        </w:tc>
        <w:tc>
          <w:tcPr>
            <w:tcW w:w="2227" w:type="dxa"/>
            <w:vAlign w:val="center"/>
          </w:tcPr>
          <w:p w14:paraId="38842D75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8.9 (7.4-10.3)</w:t>
            </w:r>
          </w:p>
        </w:tc>
        <w:tc>
          <w:tcPr>
            <w:tcW w:w="1003" w:type="dxa"/>
            <w:vAlign w:val="center"/>
          </w:tcPr>
          <w:p w14:paraId="41D0A4A4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7C48F7D3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8.4 (6.7-10.1)</w:t>
            </w:r>
          </w:p>
        </w:tc>
        <w:tc>
          <w:tcPr>
            <w:tcW w:w="933" w:type="dxa"/>
            <w:vAlign w:val="center"/>
          </w:tcPr>
          <w:p w14:paraId="16584819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53D2B708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10.6 (7.7-13.5)</w:t>
            </w:r>
          </w:p>
        </w:tc>
        <w:tc>
          <w:tcPr>
            <w:tcW w:w="1026" w:type="dxa"/>
            <w:vAlign w:val="center"/>
          </w:tcPr>
          <w:p w14:paraId="55C4807A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121FD807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F2E0571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KCCQ domain, Symptom frequency</w:t>
            </w:r>
          </w:p>
        </w:tc>
        <w:tc>
          <w:tcPr>
            <w:tcW w:w="2227" w:type="dxa"/>
            <w:vAlign w:val="center"/>
          </w:tcPr>
          <w:p w14:paraId="2393B6AA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18.7 (17.0-20.3)</w:t>
            </w:r>
          </w:p>
        </w:tc>
        <w:tc>
          <w:tcPr>
            <w:tcW w:w="1003" w:type="dxa"/>
            <w:vAlign w:val="center"/>
          </w:tcPr>
          <w:p w14:paraId="74D35FE9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6C136AC6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18.4 (16.5-20.3)</w:t>
            </w:r>
          </w:p>
        </w:tc>
        <w:tc>
          <w:tcPr>
            <w:tcW w:w="933" w:type="dxa"/>
            <w:vAlign w:val="center"/>
          </w:tcPr>
          <w:p w14:paraId="3FF414F5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11D4CB8E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19.5 (16.1-23.0)</w:t>
            </w:r>
          </w:p>
        </w:tc>
        <w:tc>
          <w:tcPr>
            <w:tcW w:w="1026" w:type="dxa"/>
            <w:vAlign w:val="center"/>
          </w:tcPr>
          <w:p w14:paraId="2B91C42E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7E5882AA" w14:textId="77777777" w:rsidTr="008902B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AAF4AAC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KCCQ domain, Symptom severity</w:t>
            </w:r>
          </w:p>
        </w:tc>
        <w:tc>
          <w:tcPr>
            <w:tcW w:w="2227" w:type="dxa"/>
            <w:vAlign w:val="center"/>
          </w:tcPr>
          <w:p w14:paraId="61D0A949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17.2 (15.5-18.8)</w:t>
            </w:r>
          </w:p>
        </w:tc>
        <w:tc>
          <w:tcPr>
            <w:tcW w:w="1003" w:type="dxa"/>
            <w:vAlign w:val="center"/>
          </w:tcPr>
          <w:p w14:paraId="1CFB3894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6CB63E2F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17.0 (15.1-18.8)</w:t>
            </w:r>
          </w:p>
        </w:tc>
        <w:tc>
          <w:tcPr>
            <w:tcW w:w="933" w:type="dxa"/>
            <w:vAlign w:val="center"/>
          </w:tcPr>
          <w:p w14:paraId="267C88A9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12939157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17.8 (14.4-21.2)</w:t>
            </w:r>
          </w:p>
        </w:tc>
        <w:tc>
          <w:tcPr>
            <w:tcW w:w="1026" w:type="dxa"/>
            <w:vAlign w:val="center"/>
          </w:tcPr>
          <w:p w14:paraId="423B7732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1B056021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499BB3B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KCCQ domain, Symptom change over time</w:t>
            </w:r>
          </w:p>
        </w:tc>
        <w:tc>
          <w:tcPr>
            <w:tcW w:w="2227" w:type="dxa"/>
            <w:vAlign w:val="center"/>
          </w:tcPr>
          <w:p w14:paraId="38B0897F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6.9 (4.8-9.1)</w:t>
            </w:r>
          </w:p>
        </w:tc>
        <w:tc>
          <w:tcPr>
            <w:tcW w:w="1003" w:type="dxa"/>
            <w:vAlign w:val="center"/>
          </w:tcPr>
          <w:p w14:paraId="6797966A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3D725313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7.5 (5.1-10.0)</w:t>
            </w:r>
          </w:p>
        </w:tc>
        <w:tc>
          <w:tcPr>
            <w:tcW w:w="933" w:type="dxa"/>
            <w:vAlign w:val="center"/>
          </w:tcPr>
          <w:p w14:paraId="65E9CF53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55C391AC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4.9 (0.2-9.5)</w:t>
            </w:r>
          </w:p>
        </w:tc>
        <w:tc>
          <w:tcPr>
            <w:tcW w:w="1026" w:type="dxa"/>
            <w:vAlign w:val="center"/>
          </w:tcPr>
          <w:p w14:paraId="4AB84A40" w14:textId="77777777" w:rsidR="00C1044C" w:rsidRPr="008902BF" w:rsidRDefault="00C1044C" w:rsidP="008902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0,041</w:t>
            </w:r>
          </w:p>
        </w:tc>
      </w:tr>
      <w:tr w:rsidR="00C1044C" w:rsidRPr="00C1044C" w14:paraId="25A29EB7" w14:textId="77777777" w:rsidTr="008902B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38459487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KCCQ domain, Self-efficacy</w:t>
            </w:r>
          </w:p>
        </w:tc>
        <w:tc>
          <w:tcPr>
            <w:tcW w:w="2227" w:type="dxa"/>
            <w:vAlign w:val="center"/>
          </w:tcPr>
          <w:p w14:paraId="605FBDE8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10.7 (9.1-12.2)</w:t>
            </w:r>
          </w:p>
        </w:tc>
        <w:tc>
          <w:tcPr>
            <w:tcW w:w="1003" w:type="dxa"/>
            <w:vAlign w:val="center"/>
          </w:tcPr>
          <w:p w14:paraId="54055654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6BCDC7AE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9.7 (8.0-11.5)</w:t>
            </w:r>
          </w:p>
        </w:tc>
        <w:tc>
          <w:tcPr>
            <w:tcW w:w="933" w:type="dxa"/>
            <w:vAlign w:val="center"/>
          </w:tcPr>
          <w:p w14:paraId="50723F05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49E8705E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14.0 (10.6-17.4)</w:t>
            </w:r>
          </w:p>
        </w:tc>
        <w:tc>
          <w:tcPr>
            <w:tcW w:w="1026" w:type="dxa"/>
            <w:vAlign w:val="center"/>
          </w:tcPr>
          <w:p w14:paraId="752B9FE9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2F29B33B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AAF89B3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KCCQ domain, Social limitation</w:t>
            </w:r>
          </w:p>
        </w:tc>
        <w:tc>
          <w:tcPr>
            <w:tcW w:w="2227" w:type="dxa"/>
            <w:vAlign w:val="center"/>
          </w:tcPr>
          <w:p w14:paraId="6B429335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13.6 (11.8-15.4)</w:t>
            </w:r>
          </w:p>
        </w:tc>
        <w:tc>
          <w:tcPr>
            <w:tcW w:w="1003" w:type="dxa"/>
            <w:vAlign w:val="center"/>
          </w:tcPr>
          <w:p w14:paraId="741649C4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1618EB9A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12.7 (10.6-14.8)</w:t>
            </w:r>
          </w:p>
        </w:tc>
        <w:tc>
          <w:tcPr>
            <w:tcW w:w="933" w:type="dxa"/>
            <w:vAlign w:val="center"/>
          </w:tcPr>
          <w:p w14:paraId="55132F1D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5C033FE7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16.9 (13.1-20.6)</w:t>
            </w:r>
          </w:p>
        </w:tc>
        <w:tc>
          <w:tcPr>
            <w:tcW w:w="1026" w:type="dxa"/>
            <w:vAlign w:val="center"/>
          </w:tcPr>
          <w:p w14:paraId="03B76EFE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68FD0393" w14:textId="77777777" w:rsidTr="008902B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DCDB7AC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KCCQ domain, Quality of life</w:t>
            </w:r>
          </w:p>
        </w:tc>
        <w:tc>
          <w:tcPr>
            <w:tcW w:w="2227" w:type="dxa"/>
            <w:vAlign w:val="center"/>
          </w:tcPr>
          <w:p w14:paraId="080C2824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17.0 (15.4-18.6)</w:t>
            </w:r>
          </w:p>
        </w:tc>
        <w:tc>
          <w:tcPr>
            <w:tcW w:w="1003" w:type="dxa"/>
            <w:vAlign w:val="center"/>
          </w:tcPr>
          <w:p w14:paraId="556C9ADC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427DC316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16.7 (14.9-18.5)</w:t>
            </w:r>
          </w:p>
        </w:tc>
        <w:tc>
          <w:tcPr>
            <w:tcW w:w="933" w:type="dxa"/>
            <w:vAlign w:val="center"/>
          </w:tcPr>
          <w:p w14:paraId="6DB202AC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611D7EF6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18.0 (15.0-21.1)</w:t>
            </w:r>
          </w:p>
        </w:tc>
        <w:tc>
          <w:tcPr>
            <w:tcW w:w="1026" w:type="dxa"/>
            <w:vAlign w:val="center"/>
          </w:tcPr>
          <w:p w14:paraId="439C9495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65C723E1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4D7F0A60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EQ-5D VAS</w:t>
            </w:r>
          </w:p>
        </w:tc>
        <w:tc>
          <w:tcPr>
            <w:tcW w:w="2227" w:type="dxa"/>
            <w:vAlign w:val="center"/>
          </w:tcPr>
          <w:p w14:paraId="1DBDD4E7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8.0 (6.7-9.3)</w:t>
            </w:r>
          </w:p>
        </w:tc>
        <w:tc>
          <w:tcPr>
            <w:tcW w:w="1003" w:type="dxa"/>
            <w:vAlign w:val="center"/>
          </w:tcPr>
          <w:p w14:paraId="169D5519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2CD655E2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7.9 (6.4-9.3)</w:t>
            </w:r>
          </w:p>
        </w:tc>
        <w:tc>
          <w:tcPr>
            <w:tcW w:w="933" w:type="dxa"/>
            <w:vAlign w:val="center"/>
          </w:tcPr>
          <w:p w14:paraId="35A9829D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43048DC3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8.4 (5.7-11.1)</w:t>
            </w:r>
          </w:p>
        </w:tc>
        <w:tc>
          <w:tcPr>
            <w:tcW w:w="1026" w:type="dxa"/>
            <w:vAlign w:val="center"/>
          </w:tcPr>
          <w:p w14:paraId="20BF4BAE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C1044C" w14:paraId="0B5CC036" w14:textId="77777777" w:rsidTr="008902B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3B86E7E" w14:textId="77777777" w:rsidR="00C1044C" w:rsidRPr="008902BF" w:rsidRDefault="00C1044C" w:rsidP="00C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EQ-5D Utility score</w:t>
            </w:r>
          </w:p>
        </w:tc>
        <w:tc>
          <w:tcPr>
            <w:tcW w:w="2227" w:type="dxa"/>
            <w:vAlign w:val="center"/>
          </w:tcPr>
          <w:p w14:paraId="7573A5FF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0.06 (0.05-0.08)</w:t>
            </w:r>
          </w:p>
        </w:tc>
        <w:tc>
          <w:tcPr>
            <w:tcW w:w="1003" w:type="dxa"/>
            <w:vAlign w:val="center"/>
          </w:tcPr>
          <w:p w14:paraId="70B419C0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1842" w:type="dxa"/>
            <w:vAlign w:val="center"/>
          </w:tcPr>
          <w:p w14:paraId="484CCD2A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0.06 (0.04-0.08)</w:t>
            </w:r>
          </w:p>
        </w:tc>
        <w:tc>
          <w:tcPr>
            <w:tcW w:w="933" w:type="dxa"/>
            <w:vAlign w:val="center"/>
          </w:tcPr>
          <w:p w14:paraId="4567AC2F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  <w:tc>
          <w:tcPr>
            <w:tcW w:w="2011" w:type="dxa"/>
            <w:vAlign w:val="center"/>
          </w:tcPr>
          <w:p w14:paraId="35455E71" w14:textId="77777777" w:rsidR="00C1044C" w:rsidRPr="008902BF" w:rsidRDefault="00C1044C" w:rsidP="008902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0.07 (0.03-0.10)</w:t>
            </w:r>
          </w:p>
        </w:tc>
        <w:tc>
          <w:tcPr>
            <w:tcW w:w="1026" w:type="dxa"/>
            <w:vAlign w:val="center"/>
          </w:tcPr>
          <w:p w14:paraId="4144E6F3" w14:textId="77777777" w:rsidR="00C1044C" w:rsidRPr="008902BF" w:rsidRDefault="00C1044C" w:rsidP="00E80E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02BF">
              <w:rPr>
                <w:rFonts w:ascii="Times New Roman" w:hAnsi="Times New Roman" w:cs="Times New Roman"/>
                <w:color w:val="000000"/>
                <w:lang w:val="en-US"/>
              </w:rPr>
              <w:t>&lt; 0.001</w:t>
            </w:r>
          </w:p>
        </w:tc>
      </w:tr>
      <w:tr w:rsidR="00C1044C" w:rsidRPr="00FB35A4" w14:paraId="6FA40B18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tcBorders>
              <w:bottom w:val="single" w:sz="8" w:space="0" w:color="000000" w:themeColor="text1"/>
            </w:tcBorders>
            <w:vAlign w:val="center"/>
          </w:tcPr>
          <w:p w14:paraId="69BA39E8" w14:textId="4B122C34" w:rsidR="00423512" w:rsidRPr="008902BF" w:rsidRDefault="00423512" w:rsidP="008902BF">
            <w:pPr>
              <w:rPr>
                <w:rFonts w:ascii="Times New Roman" w:hAnsi="Times New Roman" w:cs="Times New Roman"/>
                <w:bCs w:val="0"/>
                <w:color w:val="auto"/>
                <w:lang w:val="en-US"/>
              </w:rPr>
            </w:pPr>
            <w:r w:rsidRPr="00E80E79">
              <w:rPr>
                <w:rFonts w:ascii="Times New Roman" w:hAnsi="Times New Roman" w:cs="Times New Roman"/>
                <w:bCs w:val="0"/>
                <w:color w:val="auto"/>
                <w:lang w:val="en-US"/>
              </w:rPr>
              <w:t xml:space="preserve">6MWT </w:t>
            </w:r>
            <w:r w:rsidRPr="008902B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(m)</w:t>
            </w:r>
          </w:p>
        </w:tc>
        <w:tc>
          <w:tcPr>
            <w:tcW w:w="2227" w:type="dxa"/>
            <w:tcBorders>
              <w:bottom w:val="single" w:sz="8" w:space="0" w:color="000000" w:themeColor="text1"/>
            </w:tcBorders>
            <w:vAlign w:val="center"/>
          </w:tcPr>
          <w:p w14:paraId="284C6CBF" w14:textId="7DE6AAE1" w:rsidR="00423512" w:rsidRPr="00E80E79" w:rsidRDefault="00423512" w:rsidP="0089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E80E79">
              <w:rPr>
                <w:rFonts w:ascii="Times New Roman" w:hAnsi="Times New Roman" w:cs="Times New Roman"/>
                <w:bCs/>
                <w:color w:val="auto"/>
                <w:lang w:val="en-US"/>
              </w:rPr>
              <w:t>69 (59-79)</w:t>
            </w:r>
          </w:p>
        </w:tc>
        <w:tc>
          <w:tcPr>
            <w:tcW w:w="1003" w:type="dxa"/>
            <w:tcBorders>
              <w:bottom w:val="single" w:sz="8" w:space="0" w:color="000000" w:themeColor="text1"/>
            </w:tcBorders>
            <w:vAlign w:val="center"/>
          </w:tcPr>
          <w:p w14:paraId="16F4B1B5" w14:textId="425686A8" w:rsidR="00423512" w:rsidRPr="008902BF" w:rsidRDefault="00423512" w:rsidP="0089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E80E79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  <w:tc>
          <w:tcPr>
            <w:tcW w:w="1842" w:type="dxa"/>
            <w:tcBorders>
              <w:bottom w:val="single" w:sz="8" w:space="0" w:color="000000" w:themeColor="text1"/>
            </w:tcBorders>
            <w:vAlign w:val="center"/>
          </w:tcPr>
          <w:p w14:paraId="445229D2" w14:textId="15366CFB" w:rsidR="00423512" w:rsidRPr="008902BF" w:rsidRDefault="00423512" w:rsidP="00E80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Cs/>
                <w:color w:val="auto"/>
                <w:lang w:val="en-US"/>
              </w:rPr>
              <w:t>69 (57-81)</w:t>
            </w:r>
          </w:p>
        </w:tc>
        <w:tc>
          <w:tcPr>
            <w:tcW w:w="933" w:type="dxa"/>
            <w:tcBorders>
              <w:bottom w:val="single" w:sz="8" w:space="0" w:color="000000" w:themeColor="text1"/>
            </w:tcBorders>
            <w:vAlign w:val="center"/>
          </w:tcPr>
          <w:p w14:paraId="1F1B388E" w14:textId="138DB0F6" w:rsidR="00423512" w:rsidRPr="008902BF" w:rsidRDefault="00423512" w:rsidP="0089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  <w:tc>
          <w:tcPr>
            <w:tcW w:w="2011" w:type="dxa"/>
            <w:tcBorders>
              <w:bottom w:val="single" w:sz="8" w:space="0" w:color="000000" w:themeColor="text1"/>
            </w:tcBorders>
            <w:vAlign w:val="center"/>
          </w:tcPr>
          <w:p w14:paraId="72555C33" w14:textId="63FF9ABE" w:rsidR="00423512" w:rsidRPr="008902BF" w:rsidRDefault="00423512" w:rsidP="00E80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Cs/>
                <w:color w:val="auto"/>
                <w:lang w:val="en-US"/>
              </w:rPr>
              <w:t>69 (50-89)</w:t>
            </w:r>
          </w:p>
        </w:tc>
        <w:tc>
          <w:tcPr>
            <w:tcW w:w="1026" w:type="dxa"/>
            <w:tcBorders>
              <w:bottom w:val="single" w:sz="8" w:space="0" w:color="000000" w:themeColor="text1"/>
            </w:tcBorders>
            <w:vAlign w:val="center"/>
          </w:tcPr>
          <w:p w14:paraId="4FBF0EB5" w14:textId="550EAA46" w:rsidR="00423512" w:rsidRPr="008902BF" w:rsidRDefault="00423512" w:rsidP="0089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</w:tr>
    </w:tbl>
    <w:p w14:paraId="5F0F31ED" w14:textId="77777777" w:rsidR="000E4DAF" w:rsidRDefault="000E4DAF" w:rsidP="000E4DAF">
      <w:pPr>
        <w:rPr>
          <w:rFonts w:ascii="Times New Roman" w:hAnsi="Times New Roman" w:cs="Times New Roman"/>
          <w:bCs/>
          <w:lang w:val="en-US"/>
        </w:rPr>
      </w:pPr>
    </w:p>
    <w:p w14:paraId="64FB3D25" w14:textId="321FD299" w:rsidR="000E4DAF" w:rsidRPr="00FB35A4" w:rsidRDefault="000E4DAF" w:rsidP="000E4DAF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Legend: </w:t>
      </w:r>
      <w:r w:rsidRPr="0038138C">
        <w:rPr>
          <w:rFonts w:ascii="Times New Roman" w:hAnsi="Times New Roman" w:cs="Times New Roman"/>
          <w:bCs/>
          <w:lang w:val="en-US"/>
        </w:rPr>
        <w:t>6MWT= 6-min walk test</w:t>
      </w:r>
      <w:r>
        <w:rPr>
          <w:rFonts w:ascii="Times New Roman" w:hAnsi="Times New Roman" w:cs="Times New Roman"/>
          <w:bCs/>
          <w:lang w:val="en-US"/>
        </w:rPr>
        <w:t xml:space="preserve">; </w:t>
      </w:r>
      <w:r w:rsidR="00423512" w:rsidRPr="003D3009">
        <w:rPr>
          <w:rFonts w:ascii="Times New Roman" w:hAnsi="Times New Roman" w:cs="Times New Roman"/>
          <w:lang w:val="en-US"/>
        </w:rPr>
        <w:t xml:space="preserve">EQ-5D= </w:t>
      </w:r>
      <w:proofErr w:type="spellStart"/>
      <w:r w:rsidR="00423512">
        <w:rPr>
          <w:rFonts w:ascii="Times New Roman" w:hAnsi="Times New Roman" w:cs="Times New Roman"/>
          <w:lang w:val="en-US"/>
        </w:rPr>
        <w:t>EuroQoL</w:t>
      </w:r>
      <w:proofErr w:type="spellEnd"/>
      <w:r w:rsidR="00423512">
        <w:rPr>
          <w:rFonts w:ascii="Times New Roman" w:hAnsi="Times New Roman" w:cs="Times New Roman"/>
          <w:lang w:val="en-US"/>
        </w:rPr>
        <w:t xml:space="preserve"> 5 dimensions</w:t>
      </w:r>
      <w:proofErr w:type="gramStart"/>
      <w:r w:rsidR="00423512" w:rsidRPr="003D3009">
        <w:rPr>
          <w:rFonts w:ascii="Times New Roman" w:hAnsi="Times New Roman" w:cs="Times New Roman"/>
          <w:lang w:val="en-US"/>
        </w:rPr>
        <w:t>;  KCCQ</w:t>
      </w:r>
      <w:proofErr w:type="gramEnd"/>
      <w:r w:rsidR="00423512" w:rsidRPr="003D3009">
        <w:rPr>
          <w:rFonts w:ascii="Times New Roman" w:hAnsi="Times New Roman" w:cs="Times New Roman"/>
          <w:lang w:val="en-US"/>
        </w:rPr>
        <w:t>= Kansas City Cardiomyopathy Questionnaire;</w:t>
      </w:r>
      <w:r w:rsidR="00423512">
        <w:rPr>
          <w:rFonts w:ascii="Times New Roman" w:hAnsi="Times New Roman" w:cs="Times New Roman"/>
          <w:lang w:val="en-US"/>
        </w:rPr>
        <w:t xml:space="preserve"> US= utility score; </w:t>
      </w:r>
      <w:r w:rsidR="00423512" w:rsidRPr="003D3009">
        <w:rPr>
          <w:rFonts w:ascii="Times New Roman" w:hAnsi="Times New Roman" w:cs="Times New Roman"/>
          <w:lang w:val="en-US"/>
        </w:rPr>
        <w:t>VAS= visual analogue scale.</w:t>
      </w:r>
    </w:p>
    <w:p w14:paraId="5BFC3E6B" w14:textId="77777777" w:rsidR="000E4DAF" w:rsidRDefault="000E4DAF" w:rsidP="009F501C">
      <w:pPr>
        <w:rPr>
          <w:rFonts w:ascii="Times New Roman" w:hAnsi="Times New Roman" w:cs="Times New Roman"/>
          <w:b/>
          <w:lang w:val="en-US"/>
        </w:rPr>
      </w:pPr>
    </w:p>
    <w:p w14:paraId="72B46368" w14:textId="77777777" w:rsidR="000E4DAF" w:rsidRDefault="000E4DA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02D12639" w14:textId="4D8F6C4D" w:rsidR="009F501C" w:rsidRPr="008902BF" w:rsidRDefault="009F501C" w:rsidP="009F501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</w:t>
      </w:r>
      <w:r w:rsidRPr="003D300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</w:t>
      </w:r>
      <w:r w:rsidR="00E80E79">
        <w:rPr>
          <w:rFonts w:ascii="Times New Roman" w:hAnsi="Times New Roman" w:cs="Times New Roman"/>
          <w:b/>
          <w:lang w:val="en-US"/>
        </w:rPr>
        <w:t>6</w:t>
      </w:r>
      <w:r w:rsidRPr="008902BF">
        <w:rPr>
          <w:rFonts w:ascii="Times New Roman" w:hAnsi="Times New Roman" w:cs="Times New Roman"/>
          <w:b/>
          <w:lang w:val="en-US"/>
        </w:rPr>
        <w:t xml:space="preserve">. </w:t>
      </w:r>
      <w:r w:rsidRPr="008902BF">
        <w:rPr>
          <w:rFonts w:ascii="Times New Roman" w:hAnsi="Times New Roman" w:cs="Times New Roman"/>
          <w:bCs/>
          <w:lang w:val="en-US"/>
        </w:rPr>
        <w:t>Unadjusted and adjusted association of 6MWT distance at baseline with outcome</w:t>
      </w:r>
      <w:r>
        <w:rPr>
          <w:rFonts w:ascii="Times New Roman" w:hAnsi="Times New Roman" w:cs="Times New Roman"/>
          <w:bCs/>
          <w:lang w:val="en-US"/>
        </w:rPr>
        <w:t>.</w:t>
      </w:r>
    </w:p>
    <w:tbl>
      <w:tblPr>
        <w:tblStyle w:val="Ombrageclair"/>
        <w:tblW w:w="9666" w:type="dxa"/>
        <w:tblInd w:w="-567" w:type="dxa"/>
        <w:tblLook w:val="04A0" w:firstRow="1" w:lastRow="0" w:firstColumn="1" w:lastColumn="0" w:noHBand="0" w:noVBand="1"/>
      </w:tblPr>
      <w:tblGrid>
        <w:gridCol w:w="843"/>
        <w:gridCol w:w="2162"/>
        <w:gridCol w:w="670"/>
        <w:gridCol w:w="2137"/>
        <w:gridCol w:w="836"/>
        <w:gridCol w:w="2141"/>
        <w:gridCol w:w="877"/>
      </w:tblGrid>
      <w:tr w:rsidR="00A84095" w:rsidRPr="008902BF" w14:paraId="4DBCE7DF" w14:textId="77777777" w:rsidTr="00890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75B0BEF1" w14:textId="77777777" w:rsidR="00A84095" w:rsidRPr="00E80E79" w:rsidRDefault="00A84095" w:rsidP="00FB35A4">
            <w:pPr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2162" w:type="dxa"/>
          </w:tcPr>
          <w:p w14:paraId="10F6C7C1" w14:textId="77777777" w:rsidR="00A84095" w:rsidRPr="008902BF" w:rsidRDefault="00A84095" w:rsidP="00FB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Outcome</w:t>
            </w:r>
          </w:p>
        </w:tc>
        <w:tc>
          <w:tcPr>
            <w:tcW w:w="670" w:type="dxa"/>
          </w:tcPr>
          <w:p w14:paraId="6659EC76" w14:textId="77777777" w:rsidR="00A84095" w:rsidRPr="008902BF" w:rsidRDefault="00A84095" w:rsidP="00FB35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n</w:t>
            </w:r>
          </w:p>
        </w:tc>
        <w:tc>
          <w:tcPr>
            <w:tcW w:w="2137" w:type="dxa"/>
            <w:vAlign w:val="center"/>
          </w:tcPr>
          <w:p w14:paraId="22D1514C" w14:textId="77777777" w:rsidR="00A84095" w:rsidRPr="008902BF" w:rsidRDefault="00A84095" w:rsidP="00FB35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Unadjusted</w:t>
            </w:r>
          </w:p>
          <w:p w14:paraId="53288FB3" w14:textId="77777777" w:rsidR="00A84095" w:rsidRPr="008902BF" w:rsidRDefault="00A84095" w:rsidP="00FB35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HR (95% CI)</w:t>
            </w:r>
          </w:p>
        </w:tc>
        <w:tc>
          <w:tcPr>
            <w:tcW w:w="836" w:type="dxa"/>
            <w:vAlign w:val="center"/>
          </w:tcPr>
          <w:p w14:paraId="561D9D9E" w14:textId="77777777" w:rsidR="00A84095" w:rsidRPr="008902BF" w:rsidRDefault="00A84095" w:rsidP="00FB35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p-value</w:t>
            </w:r>
          </w:p>
        </w:tc>
        <w:tc>
          <w:tcPr>
            <w:tcW w:w="2141" w:type="dxa"/>
            <w:vAlign w:val="center"/>
          </w:tcPr>
          <w:p w14:paraId="49349D33" w14:textId="77777777" w:rsidR="00A84095" w:rsidRPr="008902BF" w:rsidRDefault="00A84095" w:rsidP="00FB35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Adjusted*</w:t>
            </w:r>
          </w:p>
          <w:p w14:paraId="027F8F76" w14:textId="77777777" w:rsidR="00A84095" w:rsidRPr="008902BF" w:rsidRDefault="00A84095" w:rsidP="00FB35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HR (95% CI)</w:t>
            </w:r>
          </w:p>
        </w:tc>
        <w:tc>
          <w:tcPr>
            <w:tcW w:w="877" w:type="dxa"/>
            <w:vAlign w:val="center"/>
          </w:tcPr>
          <w:p w14:paraId="72AF64DA" w14:textId="77777777" w:rsidR="00A84095" w:rsidRPr="008902BF" w:rsidRDefault="00A84095" w:rsidP="00FB35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p-value</w:t>
            </w:r>
          </w:p>
        </w:tc>
      </w:tr>
      <w:tr w:rsidR="00F94405" w:rsidRPr="008902BF" w14:paraId="0FB5F673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 w:val="restart"/>
            <w:textDirection w:val="btLr"/>
          </w:tcPr>
          <w:p w14:paraId="69F07097" w14:textId="3C87EA4F" w:rsidR="00F94405" w:rsidRPr="008902BF" w:rsidRDefault="00F94405" w:rsidP="008902BF">
            <w:pPr>
              <w:ind w:left="113" w:right="113"/>
              <w:rPr>
                <w:rFonts w:ascii="Times New Roman" w:hAnsi="Times New Roman" w:cs="Times New Roman"/>
                <w:b w:val="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lang w:val="en-US"/>
              </w:rPr>
              <w:t>Total population</w:t>
            </w:r>
          </w:p>
        </w:tc>
        <w:tc>
          <w:tcPr>
            <w:tcW w:w="2162" w:type="dxa"/>
            <w:vAlign w:val="center"/>
          </w:tcPr>
          <w:p w14:paraId="33F5F897" w14:textId="77777777" w:rsidR="00F94405" w:rsidRPr="008902BF" w:rsidRDefault="00F94405" w:rsidP="00F94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Cs/>
                <w:color w:val="auto"/>
                <w:lang w:val="en-US"/>
              </w:rPr>
              <w:t>Mortality</w:t>
            </w:r>
          </w:p>
        </w:tc>
        <w:tc>
          <w:tcPr>
            <w:tcW w:w="670" w:type="dxa"/>
            <w:vAlign w:val="center"/>
          </w:tcPr>
          <w:p w14:paraId="7E4E855B" w14:textId="77777777" w:rsidR="00F94405" w:rsidRPr="008902BF" w:rsidRDefault="00F94405" w:rsidP="00F94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Cs/>
                <w:color w:val="auto"/>
                <w:lang w:val="en-US"/>
              </w:rPr>
              <w:t>1611</w:t>
            </w:r>
          </w:p>
        </w:tc>
        <w:tc>
          <w:tcPr>
            <w:tcW w:w="2137" w:type="dxa"/>
            <w:vAlign w:val="center"/>
          </w:tcPr>
          <w:p w14:paraId="255EDF5C" w14:textId="1B02B0AA" w:rsidR="00F94405" w:rsidRPr="008902BF" w:rsidRDefault="00F94405" w:rsidP="00F94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0.997 (0.997-0.998)</w:t>
            </w:r>
          </w:p>
        </w:tc>
        <w:tc>
          <w:tcPr>
            <w:tcW w:w="836" w:type="dxa"/>
            <w:vAlign w:val="center"/>
          </w:tcPr>
          <w:p w14:paraId="43AB8418" w14:textId="27DBA85C" w:rsidR="00F94405" w:rsidRPr="008902BF" w:rsidRDefault="00F94405" w:rsidP="00F94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  <w:tc>
          <w:tcPr>
            <w:tcW w:w="2141" w:type="dxa"/>
            <w:vAlign w:val="center"/>
          </w:tcPr>
          <w:p w14:paraId="25F764FC" w14:textId="77D5B7DB" w:rsidR="00F94405" w:rsidRPr="008902BF" w:rsidRDefault="00F94405" w:rsidP="00F94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0.99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9 (0.998-0.999)</w:t>
            </w:r>
          </w:p>
        </w:tc>
        <w:tc>
          <w:tcPr>
            <w:tcW w:w="877" w:type="dxa"/>
            <w:vAlign w:val="center"/>
          </w:tcPr>
          <w:p w14:paraId="1EE9F057" w14:textId="2EEAD01B" w:rsidR="00F94405" w:rsidRPr="008902BF" w:rsidRDefault="00F94405" w:rsidP="00F94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</w:tr>
      <w:tr w:rsidR="00F94405" w:rsidRPr="008902BF" w14:paraId="3852478F" w14:textId="77777777" w:rsidTr="008902B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</w:tcPr>
          <w:p w14:paraId="7C1A5AC6" w14:textId="77777777" w:rsidR="00F94405" w:rsidRPr="008902BF" w:rsidRDefault="00F94405" w:rsidP="00F94405">
            <w:pPr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366EAC3D" w14:textId="7D017EA3" w:rsidR="00F94405" w:rsidRPr="00E80E79" w:rsidRDefault="00F94405" w:rsidP="00F9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4C7929">
              <w:rPr>
                <w:rFonts w:ascii="Times New Roman" w:hAnsi="Times New Roman" w:cs="Times New Roman"/>
                <w:bCs/>
                <w:color w:val="auto"/>
                <w:lang w:val="en-US"/>
              </w:rPr>
              <w:t>HF Hospitalizatio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n</w:t>
            </w:r>
          </w:p>
        </w:tc>
        <w:tc>
          <w:tcPr>
            <w:tcW w:w="670" w:type="dxa"/>
            <w:vAlign w:val="center"/>
          </w:tcPr>
          <w:p w14:paraId="4ED26A57" w14:textId="3D6426C2" w:rsidR="00F94405" w:rsidRPr="00E80E79" w:rsidRDefault="00F94405" w:rsidP="00F94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714796">
              <w:rPr>
                <w:rFonts w:ascii="Times New Roman" w:hAnsi="Times New Roman" w:cs="Times New Roman"/>
                <w:bCs/>
                <w:color w:val="auto"/>
                <w:lang w:val="en-US"/>
              </w:rPr>
              <w:t>1611</w:t>
            </w:r>
          </w:p>
        </w:tc>
        <w:tc>
          <w:tcPr>
            <w:tcW w:w="2137" w:type="dxa"/>
            <w:vAlign w:val="center"/>
          </w:tcPr>
          <w:p w14:paraId="79465EB3" w14:textId="29C25C0B" w:rsidR="00F94405" w:rsidRPr="00E80E79" w:rsidRDefault="00F94405" w:rsidP="00F94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0.999 (0.998-0.999)</w:t>
            </w:r>
          </w:p>
        </w:tc>
        <w:tc>
          <w:tcPr>
            <w:tcW w:w="836" w:type="dxa"/>
            <w:vAlign w:val="center"/>
          </w:tcPr>
          <w:p w14:paraId="1BABE3BA" w14:textId="6FB879F4" w:rsidR="00F94405" w:rsidRPr="00E80E79" w:rsidRDefault="00152CB6" w:rsidP="00F94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  <w:tc>
          <w:tcPr>
            <w:tcW w:w="2141" w:type="dxa"/>
            <w:vAlign w:val="center"/>
          </w:tcPr>
          <w:p w14:paraId="2C4C2339" w14:textId="4F910863" w:rsidR="00F94405" w:rsidRPr="00E80E79" w:rsidRDefault="00F94405" w:rsidP="00F94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1.0 (0.999-1.0)</w:t>
            </w:r>
          </w:p>
        </w:tc>
        <w:tc>
          <w:tcPr>
            <w:tcW w:w="877" w:type="dxa"/>
            <w:vAlign w:val="center"/>
          </w:tcPr>
          <w:p w14:paraId="7FF01493" w14:textId="1603DF91" w:rsidR="00F94405" w:rsidRPr="00E80E79" w:rsidRDefault="00F94405" w:rsidP="00F94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0.193</w:t>
            </w:r>
          </w:p>
        </w:tc>
      </w:tr>
      <w:tr w:rsidR="00152CB6" w:rsidRPr="008902BF" w14:paraId="2C27CB5D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</w:tcPr>
          <w:p w14:paraId="569C99CB" w14:textId="77777777" w:rsidR="00152CB6" w:rsidRPr="008902BF" w:rsidRDefault="00152CB6" w:rsidP="00152CB6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1FC0E7B3" w14:textId="06485E89" w:rsidR="00152CB6" w:rsidRPr="008902BF" w:rsidRDefault="00152CB6" w:rsidP="00152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81370B">
              <w:rPr>
                <w:rFonts w:ascii="Times New Roman" w:hAnsi="Times New Roman" w:cs="Times New Roman"/>
                <w:bCs/>
                <w:color w:val="auto"/>
                <w:lang w:val="en-US"/>
              </w:rPr>
              <w:t>Composite</w:t>
            </w:r>
          </w:p>
        </w:tc>
        <w:tc>
          <w:tcPr>
            <w:tcW w:w="670" w:type="dxa"/>
            <w:vAlign w:val="center"/>
          </w:tcPr>
          <w:p w14:paraId="46856E5B" w14:textId="77777777" w:rsidR="00152CB6" w:rsidRPr="008902BF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8902BF">
              <w:rPr>
                <w:rFonts w:ascii="Times New Roman" w:hAnsi="Times New Roman" w:cs="Times New Roman"/>
                <w:bCs/>
                <w:color w:val="auto"/>
                <w:lang w:val="en-US"/>
              </w:rPr>
              <w:t>1611</w:t>
            </w:r>
          </w:p>
        </w:tc>
        <w:tc>
          <w:tcPr>
            <w:tcW w:w="2137" w:type="dxa"/>
            <w:vAlign w:val="center"/>
          </w:tcPr>
          <w:p w14:paraId="07E778F8" w14:textId="6A2B9B22" w:rsidR="00152CB6" w:rsidRPr="008902BF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0.998 (0.998-0.999)</w:t>
            </w:r>
          </w:p>
        </w:tc>
        <w:tc>
          <w:tcPr>
            <w:tcW w:w="836" w:type="dxa"/>
            <w:vAlign w:val="center"/>
          </w:tcPr>
          <w:p w14:paraId="561888C0" w14:textId="242750DE" w:rsidR="00152CB6" w:rsidRPr="008902BF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  <w:tc>
          <w:tcPr>
            <w:tcW w:w="2141" w:type="dxa"/>
            <w:vAlign w:val="center"/>
          </w:tcPr>
          <w:p w14:paraId="0643129B" w14:textId="1A842099" w:rsidR="00152CB6" w:rsidRPr="008902BF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0.99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9 (0.999-0.999)</w:t>
            </w:r>
          </w:p>
        </w:tc>
        <w:tc>
          <w:tcPr>
            <w:tcW w:w="877" w:type="dxa"/>
            <w:vAlign w:val="center"/>
          </w:tcPr>
          <w:p w14:paraId="562D8A84" w14:textId="0134CC3E" w:rsidR="00152CB6" w:rsidRPr="008902BF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0.036</w:t>
            </w:r>
          </w:p>
        </w:tc>
      </w:tr>
      <w:tr w:rsidR="00152CB6" w:rsidRPr="008902BF" w14:paraId="0379D8AD" w14:textId="77777777" w:rsidTr="008902B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 w:val="restart"/>
            <w:textDirection w:val="btLr"/>
          </w:tcPr>
          <w:p w14:paraId="2EF370C6" w14:textId="55F94CC1" w:rsidR="00152CB6" w:rsidRPr="008902BF" w:rsidRDefault="00152CB6" w:rsidP="008902BF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lang w:val="en-US"/>
              </w:rPr>
              <w:t>Men</w:t>
            </w:r>
          </w:p>
        </w:tc>
        <w:tc>
          <w:tcPr>
            <w:tcW w:w="2162" w:type="dxa"/>
            <w:vAlign w:val="center"/>
          </w:tcPr>
          <w:p w14:paraId="69D6ED37" w14:textId="4F82D2B9" w:rsidR="00152CB6" w:rsidRPr="008902BF" w:rsidRDefault="00152CB6" w:rsidP="00152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Mortality</w:t>
            </w:r>
          </w:p>
        </w:tc>
        <w:tc>
          <w:tcPr>
            <w:tcW w:w="670" w:type="dxa"/>
            <w:vAlign w:val="center"/>
          </w:tcPr>
          <w:p w14:paraId="75574B0B" w14:textId="034B1ABC" w:rsidR="00152CB6" w:rsidRPr="008902BF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1243</w:t>
            </w:r>
          </w:p>
        </w:tc>
        <w:tc>
          <w:tcPr>
            <w:tcW w:w="2137" w:type="dxa"/>
            <w:vAlign w:val="center"/>
          </w:tcPr>
          <w:p w14:paraId="30E6CCB3" w14:textId="6F932BBE" w:rsidR="00152CB6" w:rsidRPr="008902BF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0.997 (0.997-0.998)</w:t>
            </w:r>
          </w:p>
        </w:tc>
        <w:tc>
          <w:tcPr>
            <w:tcW w:w="836" w:type="dxa"/>
            <w:vAlign w:val="center"/>
          </w:tcPr>
          <w:p w14:paraId="2147B17E" w14:textId="7C020DE2" w:rsidR="00152CB6" w:rsidRPr="008902BF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  <w:tc>
          <w:tcPr>
            <w:tcW w:w="2141" w:type="dxa"/>
            <w:vAlign w:val="center"/>
          </w:tcPr>
          <w:p w14:paraId="5670E6AB" w14:textId="618C1401" w:rsidR="00152CB6" w:rsidRPr="008902BF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0.998 (0.998-0.999)</w:t>
            </w:r>
          </w:p>
        </w:tc>
        <w:tc>
          <w:tcPr>
            <w:tcW w:w="877" w:type="dxa"/>
            <w:vAlign w:val="center"/>
          </w:tcPr>
          <w:p w14:paraId="444E1B4B" w14:textId="55E84E05" w:rsidR="00152CB6" w:rsidRPr="008902BF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</w:tr>
      <w:tr w:rsidR="00152CB6" w:rsidRPr="008902BF" w14:paraId="7969BF55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</w:tcPr>
          <w:p w14:paraId="6C0EA7B3" w14:textId="77777777" w:rsidR="00152CB6" w:rsidRPr="008902BF" w:rsidRDefault="00152CB6" w:rsidP="00152CB6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7500776C" w14:textId="68DAD733" w:rsidR="00152CB6" w:rsidRPr="00E80E79" w:rsidRDefault="00152CB6" w:rsidP="00152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4C7929">
              <w:rPr>
                <w:rFonts w:ascii="Times New Roman" w:hAnsi="Times New Roman" w:cs="Times New Roman"/>
                <w:bCs/>
                <w:color w:val="auto"/>
                <w:lang w:val="en-US"/>
              </w:rPr>
              <w:t>HF Hospitalizatio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n</w:t>
            </w:r>
          </w:p>
        </w:tc>
        <w:tc>
          <w:tcPr>
            <w:tcW w:w="670" w:type="dxa"/>
            <w:vAlign w:val="center"/>
          </w:tcPr>
          <w:p w14:paraId="2DF25B01" w14:textId="0E6E8B5C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1243</w:t>
            </w:r>
          </w:p>
        </w:tc>
        <w:tc>
          <w:tcPr>
            <w:tcW w:w="2137" w:type="dxa"/>
            <w:vAlign w:val="center"/>
          </w:tcPr>
          <w:p w14:paraId="4599F713" w14:textId="32A0FDBF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0.998 (0.998-0.999)</w:t>
            </w:r>
          </w:p>
        </w:tc>
        <w:tc>
          <w:tcPr>
            <w:tcW w:w="836" w:type="dxa"/>
            <w:vAlign w:val="center"/>
          </w:tcPr>
          <w:p w14:paraId="3EA87935" w14:textId="472AE941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  <w:tc>
          <w:tcPr>
            <w:tcW w:w="2141" w:type="dxa"/>
            <w:vAlign w:val="center"/>
          </w:tcPr>
          <w:p w14:paraId="603EAFE8" w14:textId="4C05EB16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0.999 (0.999-1.0)</w:t>
            </w:r>
          </w:p>
        </w:tc>
        <w:tc>
          <w:tcPr>
            <w:tcW w:w="877" w:type="dxa"/>
            <w:vAlign w:val="center"/>
          </w:tcPr>
          <w:p w14:paraId="5FEF4653" w14:textId="1A187998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0.251</w:t>
            </w:r>
          </w:p>
        </w:tc>
      </w:tr>
      <w:tr w:rsidR="00152CB6" w:rsidRPr="008902BF" w14:paraId="48381F4D" w14:textId="77777777" w:rsidTr="008902B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</w:tcPr>
          <w:p w14:paraId="204A362F" w14:textId="77777777" w:rsidR="00152CB6" w:rsidRPr="008902BF" w:rsidRDefault="00152CB6" w:rsidP="00152CB6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6A8A424A" w14:textId="2E7EB11F" w:rsidR="00152CB6" w:rsidRPr="00E80E79" w:rsidRDefault="00152CB6" w:rsidP="00152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81370B">
              <w:rPr>
                <w:rFonts w:ascii="Times New Roman" w:hAnsi="Times New Roman" w:cs="Times New Roman"/>
                <w:bCs/>
                <w:color w:val="auto"/>
                <w:lang w:val="en-US"/>
              </w:rPr>
              <w:t>Composite</w:t>
            </w:r>
          </w:p>
        </w:tc>
        <w:tc>
          <w:tcPr>
            <w:tcW w:w="670" w:type="dxa"/>
            <w:vAlign w:val="center"/>
          </w:tcPr>
          <w:p w14:paraId="551DEE9E" w14:textId="162AC3AD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1243</w:t>
            </w:r>
          </w:p>
        </w:tc>
        <w:tc>
          <w:tcPr>
            <w:tcW w:w="2137" w:type="dxa"/>
            <w:vAlign w:val="center"/>
          </w:tcPr>
          <w:p w14:paraId="78580627" w14:textId="4B15056B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0.998 (0.998-0.999)</w:t>
            </w:r>
          </w:p>
        </w:tc>
        <w:tc>
          <w:tcPr>
            <w:tcW w:w="836" w:type="dxa"/>
            <w:vAlign w:val="center"/>
          </w:tcPr>
          <w:p w14:paraId="63F0EF71" w14:textId="007DC15A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  <w:tc>
          <w:tcPr>
            <w:tcW w:w="2141" w:type="dxa"/>
            <w:vAlign w:val="center"/>
          </w:tcPr>
          <w:p w14:paraId="2D1EA3D5" w14:textId="37FD8473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0.999 (0.999-1.0)</w:t>
            </w:r>
          </w:p>
        </w:tc>
        <w:tc>
          <w:tcPr>
            <w:tcW w:w="877" w:type="dxa"/>
            <w:vAlign w:val="center"/>
          </w:tcPr>
          <w:p w14:paraId="0B7FFDCC" w14:textId="13CF0D84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0.051</w:t>
            </w:r>
          </w:p>
        </w:tc>
      </w:tr>
      <w:tr w:rsidR="00152CB6" w:rsidRPr="008902BF" w14:paraId="0596815A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 w:val="restart"/>
            <w:textDirection w:val="btLr"/>
          </w:tcPr>
          <w:p w14:paraId="51955180" w14:textId="473B9A40" w:rsidR="00152CB6" w:rsidRPr="008902BF" w:rsidRDefault="00152CB6" w:rsidP="008902BF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8902BF">
              <w:rPr>
                <w:rFonts w:ascii="Times New Roman" w:hAnsi="Times New Roman" w:cs="Times New Roman"/>
                <w:b w:val="0"/>
                <w:lang w:val="en-US"/>
              </w:rPr>
              <w:t>Women</w:t>
            </w:r>
          </w:p>
        </w:tc>
        <w:tc>
          <w:tcPr>
            <w:tcW w:w="2162" w:type="dxa"/>
            <w:vAlign w:val="center"/>
          </w:tcPr>
          <w:p w14:paraId="17A20A4E" w14:textId="11545364" w:rsidR="00152CB6" w:rsidRPr="00E80E79" w:rsidRDefault="00152CB6" w:rsidP="00152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Mortality</w:t>
            </w:r>
          </w:p>
        </w:tc>
        <w:tc>
          <w:tcPr>
            <w:tcW w:w="670" w:type="dxa"/>
            <w:vAlign w:val="center"/>
          </w:tcPr>
          <w:p w14:paraId="3E721E04" w14:textId="2D147D0B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368</w:t>
            </w:r>
          </w:p>
        </w:tc>
        <w:tc>
          <w:tcPr>
            <w:tcW w:w="2137" w:type="dxa"/>
            <w:vAlign w:val="center"/>
          </w:tcPr>
          <w:p w14:paraId="3AF64476" w14:textId="435470B7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0.997 (0.995-0.999)</w:t>
            </w:r>
          </w:p>
        </w:tc>
        <w:tc>
          <w:tcPr>
            <w:tcW w:w="836" w:type="dxa"/>
            <w:vAlign w:val="center"/>
          </w:tcPr>
          <w:p w14:paraId="14AD47E0" w14:textId="00D6BCC3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FB35A4">
              <w:rPr>
                <w:rFonts w:ascii="Times New Roman" w:hAnsi="Times New Roman" w:cs="Times New Roman"/>
                <w:bCs/>
                <w:color w:val="auto"/>
                <w:lang w:val="en-US"/>
              </w:rPr>
              <w:t>&lt;0.001</w:t>
            </w:r>
          </w:p>
        </w:tc>
        <w:tc>
          <w:tcPr>
            <w:tcW w:w="2141" w:type="dxa"/>
            <w:vAlign w:val="center"/>
          </w:tcPr>
          <w:p w14:paraId="56AB0A28" w14:textId="09463D59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0.999 (0.997-1.0)</w:t>
            </w:r>
          </w:p>
        </w:tc>
        <w:tc>
          <w:tcPr>
            <w:tcW w:w="877" w:type="dxa"/>
            <w:vAlign w:val="center"/>
          </w:tcPr>
          <w:p w14:paraId="7AB179B1" w14:textId="66AC423E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0.118</w:t>
            </w:r>
          </w:p>
        </w:tc>
      </w:tr>
      <w:tr w:rsidR="00152CB6" w:rsidRPr="008902BF" w14:paraId="2D96E693" w14:textId="77777777" w:rsidTr="008902BF">
        <w:trPr>
          <w:cantSplit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  <w:textDirection w:val="btLr"/>
          </w:tcPr>
          <w:p w14:paraId="72972986" w14:textId="77777777" w:rsidR="00152CB6" w:rsidRPr="008902BF" w:rsidRDefault="00152CB6" w:rsidP="008902BF">
            <w:pPr>
              <w:ind w:left="113" w:right="113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6F8D6D8B" w14:textId="6B0FE4BD" w:rsidR="00152CB6" w:rsidRPr="00E80E79" w:rsidRDefault="00152CB6" w:rsidP="00152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4C7929">
              <w:rPr>
                <w:rFonts w:ascii="Times New Roman" w:hAnsi="Times New Roman" w:cs="Times New Roman"/>
                <w:bCs/>
                <w:color w:val="auto"/>
                <w:lang w:val="en-US"/>
              </w:rPr>
              <w:t>HF Hospitalizatio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n</w:t>
            </w:r>
          </w:p>
        </w:tc>
        <w:tc>
          <w:tcPr>
            <w:tcW w:w="670" w:type="dxa"/>
            <w:vAlign w:val="center"/>
          </w:tcPr>
          <w:p w14:paraId="1FB067B5" w14:textId="3B7C9199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368</w:t>
            </w:r>
          </w:p>
        </w:tc>
        <w:tc>
          <w:tcPr>
            <w:tcW w:w="2137" w:type="dxa"/>
            <w:vAlign w:val="center"/>
          </w:tcPr>
          <w:p w14:paraId="4D87481F" w14:textId="34A275E5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0.999 (0.997-1.0)</w:t>
            </w:r>
          </w:p>
        </w:tc>
        <w:tc>
          <w:tcPr>
            <w:tcW w:w="836" w:type="dxa"/>
            <w:vAlign w:val="center"/>
          </w:tcPr>
          <w:p w14:paraId="59E69E08" w14:textId="2E2BB332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0.105</w:t>
            </w:r>
          </w:p>
        </w:tc>
        <w:tc>
          <w:tcPr>
            <w:tcW w:w="2141" w:type="dxa"/>
            <w:vAlign w:val="center"/>
          </w:tcPr>
          <w:p w14:paraId="7F4991C3" w14:textId="7976263A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 (0.998-1.0)</w:t>
            </w:r>
          </w:p>
        </w:tc>
        <w:tc>
          <w:tcPr>
            <w:tcW w:w="877" w:type="dxa"/>
            <w:vAlign w:val="center"/>
          </w:tcPr>
          <w:p w14:paraId="4469E585" w14:textId="44A579E1" w:rsidR="00152CB6" w:rsidRPr="00E80E79" w:rsidRDefault="00152CB6" w:rsidP="00152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0.543</w:t>
            </w:r>
          </w:p>
        </w:tc>
      </w:tr>
      <w:tr w:rsidR="00152CB6" w:rsidRPr="008902BF" w14:paraId="4883DF3F" w14:textId="77777777" w:rsidTr="0089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  <w:tcBorders>
              <w:bottom w:val="single" w:sz="8" w:space="0" w:color="000000" w:themeColor="text1"/>
            </w:tcBorders>
            <w:textDirection w:val="btLr"/>
          </w:tcPr>
          <w:p w14:paraId="04BDEBDB" w14:textId="77777777" w:rsidR="00152CB6" w:rsidRPr="008902BF" w:rsidRDefault="00152CB6" w:rsidP="008902BF">
            <w:pPr>
              <w:ind w:left="113" w:right="113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</w:p>
        </w:tc>
        <w:tc>
          <w:tcPr>
            <w:tcW w:w="2162" w:type="dxa"/>
            <w:tcBorders>
              <w:bottom w:val="single" w:sz="8" w:space="0" w:color="000000" w:themeColor="text1"/>
            </w:tcBorders>
            <w:vAlign w:val="center"/>
          </w:tcPr>
          <w:p w14:paraId="528FA761" w14:textId="5BC71674" w:rsidR="00152CB6" w:rsidRPr="00E80E79" w:rsidRDefault="00152CB6" w:rsidP="00152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 w:rsidRPr="0081370B">
              <w:rPr>
                <w:rFonts w:ascii="Times New Roman" w:hAnsi="Times New Roman" w:cs="Times New Roman"/>
                <w:bCs/>
                <w:color w:val="auto"/>
                <w:lang w:val="en-US"/>
              </w:rPr>
              <w:t>Composite</w:t>
            </w:r>
          </w:p>
        </w:tc>
        <w:tc>
          <w:tcPr>
            <w:tcW w:w="670" w:type="dxa"/>
            <w:tcBorders>
              <w:bottom w:val="single" w:sz="8" w:space="0" w:color="000000" w:themeColor="text1"/>
            </w:tcBorders>
            <w:vAlign w:val="center"/>
          </w:tcPr>
          <w:p w14:paraId="6C151A97" w14:textId="522589B9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368</w:t>
            </w:r>
          </w:p>
        </w:tc>
        <w:tc>
          <w:tcPr>
            <w:tcW w:w="2137" w:type="dxa"/>
            <w:tcBorders>
              <w:bottom w:val="single" w:sz="8" w:space="0" w:color="000000" w:themeColor="text1"/>
            </w:tcBorders>
            <w:vAlign w:val="center"/>
          </w:tcPr>
          <w:p w14:paraId="00A9F158" w14:textId="733D3094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0.998 (0.997-0.999)</w:t>
            </w:r>
          </w:p>
        </w:tc>
        <w:tc>
          <w:tcPr>
            <w:tcW w:w="836" w:type="dxa"/>
            <w:tcBorders>
              <w:bottom w:val="single" w:sz="8" w:space="0" w:color="000000" w:themeColor="text1"/>
            </w:tcBorders>
            <w:vAlign w:val="center"/>
          </w:tcPr>
          <w:p w14:paraId="129C7265" w14:textId="42AFE88A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0.001</w:t>
            </w:r>
          </w:p>
        </w:tc>
        <w:tc>
          <w:tcPr>
            <w:tcW w:w="2141" w:type="dxa"/>
            <w:tcBorders>
              <w:bottom w:val="single" w:sz="8" w:space="0" w:color="000000" w:themeColor="text1"/>
            </w:tcBorders>
            <w:vAlign w:val="center"/>
          </w:tcPr>
          <w:p w14:paraId="16DD53BA" w14:textId="1B417B7E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0.999 (0.998-1.0)</w:t>
            </w:r>
          </w:p>
        </w:tc>
        <w:tc>
          <w:tcPr>
            <w:tcW w:w="877" w:type="dxa"/>
            <w:tcBorders>
              <w:bottom w:val="single" w:sz="8" w:space="0" w:color="000000" w:themeColor="text1"/>
            </w:tcBorders>
            <w:vAlign w:val="center"/>
          </w:tcPr>
          <w:p w14:paraId="43E1CD0A" w14:textId="3A2B4094" w:rsidR="00152CB6" w:rsidRPr="00E80E79" w:rsidRDefault="00152CB6" w:rsidP="00152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0.201</w:t>
            </w:r>
          </w:p>
        </w:tc>
      </w:tr>
    </w:tbl>
    <w:p w14:paraId="747A22CF" w14:textId="7C16D2BE" w:rsidR="009F501C" w:rsidRDefault="009F501C" w:rsidP="009F501C">
      <w:pPr>
        <w:rPr>
          <w:rFonts w:ascii="Times New Roman" w:hAnsi="Times New Roman" w:cs="Times New Roman"/>
          <w:bCs/>
          <w:lang w:val="en-US"/>
        </w:rPr>
      </w:pPr>
      <w:r w:rsidRPr="008902BF">
        <w:rPr>
          <w:rFonts w:ascii="Times New Roman" w:hAnsi="Times New Roman" w:cs="Times New Roman"/>
          <w:bCs/>
          <w:lang w:val="en-US"/>
        </w:rPr>
        <w:t>*= for</w:t>
      </w:r>
      <w:r>
        <w:rPr>
          <w:rFonts w:ascii="Times New Roman" w:hAnsi="Times New Roman" w:cs="Times New Roman"/>
          <w:bCs/>
          <w:lang w:val="en-US"/>
        </w:rPr>
        <w:t xml:space="preserve"> the appropriate</w:t>
      </w:r>
      <w:r w:rsidRPr="008902BF">
        <w:rPr>
          <w:rFonts w:ascii="Times New Roman" w:hAnsi="Times New Roman" w:cs="Times New Roman"/>
          <w:bCs/>
          <w:lang w:val="en-US"/>
        </w:rPr>
        <w:t xml:space="preserve"> BIOSTAT</w:t>
      </w:r>
      <w:r>
        <w:rPr>
          <w:rFonts w:ascii="Times New Roman" w:hAnsi="Times New Roman" w:cs="Times New Roman"/>
          <w:bCs/>
          <w:lang w:val="en-US"/>
        </w:rPr>
        <w:t>-CHF</w:t>
      </w:r>
      <w:r w:rsidRPr="008902BF">
        <w:rPr>
          <w:rFonts w:ascii="Times New Roman" w:hAnsi="Times New Roman" w:cs="Times New Roman"/>
          <w:bCs/>
          <w:lang w:val="en-US"/>
        </w:rPr>
        <w:t xml:space="preserve"> risk model</w:t>
      </w:r>
    </w:p>
    <w:p w14:paraId="54E76578" w14:textId="4C2C9199" w:rsidR="009F501C" w:rsidRDefault="009F501C" w:rsidP="009F501C">
      <w:pPr>
        <w:rPr>
          <w:rFonts w:ascii="Times New Roman" w:hAnsi="Times New Roman" w:cs="Times New Roman"/>
          <w:bCs/>
          <w:lang w:val="en-US"/>
        </w:rPr>
      </w:pPr>
    </w:p>
    <w:p w14:paraId="64DA6EB9" w14:textId="18FDE8C2" w:rsidR="009F501C" w:rsidRPr="008902BF" w:rsidRDefault="009F501C" w:rsidP="009F501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Legend: </w:t>
      </w:r>
      <w:r w:rsidRPr="0038138C">
        <w:rPr>
          <w:rFonts w:ascii="Times New Roman" w:hAnsi="Times New Roman" w:cs="Times New Roman"/>
          <w:bCs/>
          <w:lang w:val="en-US"/>
        </w:rPr>
        <w:t>6MWT= 6-min walk test</w:t>
      </w:r>
      <w:r>
        <w:rPr>
          <w:rFonts w:ascii="Times New Roman" w:hAnsi="Times New Roman" w:cs="Times New Roman"/>
          <w:bCs/>
          <w:lang w:val="en-US"/>
        </w:rPr>
        <w:t xml:space="preserve">; </w:t>
      </w:r>
      <w:r w:rsidRPr="00F50691">
        <w:rPr>
          <w:rFonts w:ascii="Times New Roman" w:hAnsi="Times New Roman" w:cs="Times New Roman"/>
          <w:lang w:val="en-US"/>
        </w:rPr>
        <w:t xml:space="preserve">BIOSTAT-CHF= </w:t>
      </w:r>
      <w:proofErr w:type="spellStart"/>
      <w:r w:rsidRPr="00F50691">
        <w:rPr>
          <w:rFonts w:ascii="Times New Roman" w:eastAsia="Times New Roman" w:hAnsi="Times New Roman" w:cs="Times New Roman"/>
        </w:rPr>
        <w:t>BIOlogy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0691">
        <w:rPr>
          <w:rFonts w:ascii="Times New Roman" w:eastAsia="Times New Roman" w:hAnsi="Times New Roman" w:cs="Times New Roman"/>
        </w:rPr>
        <w:t>Study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0691">
        <w:rPr>
          <w:rFonts w:ascii="Times New Roman" w:eastAsia="Times New Roman" w:hAnsi="Times New Roman" w:cs="Times New Roman"/>
        </w:rPr>
        <w:t>to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0691">
        <w:rPr>
          <w:rFonts w:ascii="Times New Roman" w:eastAsia="Times New Roman" w:hAnsi="Times New Roman" w:cs="Times New Roman"/>
        </w:rPr>
        <w:t>TAilored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Treatment in </w:t>
      </w:r>
      <w:proofErr w:type="spellStart"/>
      <w:r w:rsidRPr="00F50691">
        <w:rPr>
          <w:rFonts w:ascii="Times New Roman" w:eastAsia="Times New Roman" w:hAnsi="Times New Roman" w:cs="Times New Roman"/>
        </w:rPr>
        <w:t>Chronic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0691">
        <w:rPr>
          <w:rFonts w:ascii="Times New Roman" w:eastAsia="Times New Roman" w:hAnsi="Times New Roman" w:cs="Times New Roman"/>
        </w:rPr>
        <w:t>Heart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Failure</w:t>
      </w:r>
      <w:r>
        <w:rPr>
          <w:rFonts w:ascii="Times New Roman" w:eastAsia="Times New Roman" w:hAnsi="Times New Roman" w:cs="Times New Roman"/>
        </w:rPr>
        <w:t xml:space="preserve">; CI= </w:t>
      </w:r>
      <w:proofErr w:type="spellStart"/>
      <w:r>
        <w:rPr>
          <w:rFonts w:ascii="Times New Roman" w:eastAsia="Times New Roman" w:hAnsi="Times New Roman" w:cs="Times New Roman"/>
        </w:rPr>
        <w:t>confidence</w:t>
      </w:r>
      <w:proofErr w:type="spellEnd"/>
      <w:r>
        <w:rPr>
          <w:rFonts w:ascii="Times New Roman" w:eastAsia="Times New Roman" w:hAnsi="Times New Roman" w:cs="Times New Roman"/>
        </w:rPr>
        <w:t xml:space="preserve"> interval; HF= </w:t>
      </w:r>
      <w:proofErr w:type="spellStart"/>
      <w:r>
        <w:rPr>
          <w:rFonts w:ascii="Times New Roman" w:eastAsia="Times New Roman" w:hAnsi="Times New Roman" w:cs="Times New Roman"/>
        </w:rPr>
        <w:t>heart</w:t>
      </w:r>
      <w:proofErr w:type="spellEnd"/>
      <w:r>
        <w:rPr>
          <w:rFonts w:ascii="Times New Roman" w:eastAsia="Times New Roman" w:hAnsi="Times New Roman" w:cs="Times New Roman"/>
        </w:rPr>
        <w:t xml:space="preserve"> failure; HR= hazard ratio.</w:t>
      </w:r>
    </w:p>
    <w:p w14:paraId="03FB1834" w14:textId="77777777" w:rsidR="009F501C" w:rsidRDefault="009F501C" w:rsidP="0075438D">
      <w:pPr>
        <w:rPr>
          <w:rFonts w:ascii="Times New Roman" w:hAnsi="Times New Roman" w:cs="Times New Roman"/>
        </w:rPr>
      </w:pPr>
    </w:p>
    <w:p w14:paraId="62E83F4C" w14:textId="77777777" w:rsidR="009F501C" w:rsidRDefault="009F5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1DCE80" w14:textId="3A61626D" w:rsidR="0075438D" w:rsidRPr="0075438D" w:rsidRDefault="0075438D" w:rsidP="0075438D">
      <w:pPr>
        <w:rPr>
          <w:rFonts w:ascii="Times New Roman" w:hAnsi="Times New Roman" w:cs="Times New Roman"/>
          <w:lang w:val="en-US"/>
        </w:rPr>
      </w:pPr>
      <w:r w:rsidRPr="0075438D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833277">
        <w:rPr>
          <w:rFonts w:ascii="Times New Roman" w:hAnsi="Times New Roman" w:cs="Times New Roman"/>
          <w:b/>
          <w:bCs/>
          <w:lang w:val="en-US"/>
        </w:rPr>
        <w:t>S</w:t>
      </w:r>
      <w:r w:rsidR="00DD5182">
        <w:rPr>
          <w:rFonts w:ascii="Times New Roman" w:hAnsi="Times New Roman" w:cs="Times New Roman"/>
          <w:b/>
          <w:bCs/>
          <w:lang w:val="en-US"/>
        </w:rPr>
        <w:t>7</w:t>
      </w:r>
      <w:r w:rsidRPr="0075438D">
        <w:rPr>
          <w:rFonts w:ascii="Times New Roman" w:hAnsi="Times New Roman" w:cs="Times New Roman"/>
          <w:lang w:val="en-US"/>
        </w:rPr>
        <w:t>. Comparison between time-dependent</w:t>
      </w:r>
      <w:r w:rsidR="000A0BA2">
        <w:rPr>
          <w:rFonts w:ascii="Times New Roman" w:hAnsi="Times New Roman" w:cs="Times New Roman"/>
          <w:lang w:val="en-US"/>
        </w:rPr>
        <w:t xml:space="preserve"> </w:t>
      </w:r>
      <w:r w:rsidR="00961CCD">
        <w:rPr>
          <w:rFonts w:ascii="Times New Roman" w:hAnsi="Times New Roman" w:cs="Times New Roman"/>
          <w:lang w:val="en-US"/>
        </w:rPr>
        <w:t>receiver operating characteristic (ROC)</w:t>
      </w:r>
      <w:r w:rsidR="000A0BA2">
        <w:rPr>
          <w:rFonts w:ascii="Times New Roman" w:hAnsi="Times New Roman" w:cs="Times New Roman"/>
          <w:lang w:val="en-US"/>
        </w:rPr>
        <w:t xml:space="preserve"> curves</w:t>
      </w:r>
      <w:r w:rsidR="00961CCD">
        <w:rPr>
          <w:rFonts w:ascii="Times New Roman" w:hAnsi="Times New Roman" w:cs="Times New Roman"/>
          <w:lang w:val="en-US"/>
        </w:rPr>
        <w:t>’ area under the curve</w:t>
      </w:r>
      <w:r w:rsidRPr="0075438D">
        <w:rPr>
          <w:rFonts w:ascii="Times New Roman" w:hAnsi="Times New Roman" w:cs="Times New Roman"/>
          <w:lang w:val="en-US"/>
        </w:rPr>
        <w:t xml:space="preserve"> </w:t>
      </w:r>
      <w:r w:rsidR="00961CCD">
        <w:rPr>
          <w:rFonts w:ascii="Times New Roman" w:hAnsi="Times New Roman" w:cs="Times New Roman"/>
          <w:lang w:val="en-US"/>
        </w:rPr>
        <w:t>(</w:t>
      </w:r>
      <w:r w:rsidRPr="0075438D">
        <w:rPr>
          <w:rFonts w:ascii="Times New Roman" w:hAnsi="Times New Roman" w:cs="Times New Roman"/>
          <w:lang w:val="en-US"/>
        </w:rPr>
        <w:t>AUC</w:t>
      </w:r>
      <w:r w:rsidR="00961CCD">
        <w:rPr>
          <w:rFonts w:ascii="Times New Roman" w:hAnsi="Times New Roman" w:cs="Times New Roman"/>
          <w:lang w:val="en-US"/>
        </w:rPr>
        <w:t>)</w:t>
      </w:r>
      <w:r w:rsidRPr="0075438D">
        <w:rPr>
          <w:rFonts w:ascii="Times New Roman" w:hAnsi="Times New Roman" w:cs="Times New Roman"/>
          <w:lang w:val="en-US"/>
        </w:rPr>
        <w:t xml:space="preserve"> for different </w:t>
      </w:r>
      <w:r w:rsidR="00961CCD">
        <w:rPr>
          <w:rFonts w:ascii="Times New Roman" w:hAnsi="Times New Roman" w:cs="Times New Roman"/>
          <w:lang w:val="en-US"/>
        </w:rPr>
        <w:t>quality of life</w:t>
      </w:r>
      <w:r w:rsidRPr="0075438D">
        <w:rPr>
          <w:rFonts w:ascii="Times New Roman" w:hAnsi="Times New Roman" w:cs="Times New Roman"/>
          <w:lang w:val="en-US"/>
        </w:rPr>
        <w:t xml:space="preserve"> measures-based models (unadjusted)  for predicting mortality (a), </w:t>
      </w:r>
      <w:r w:rsidR="000A0BA2">
        <w:rPr>
          <w:rFonts w:ascii="Times New Roman" w:hAnsi="Times New Roman" w:cs="Times New Roman"/>
          <w:lang w:val="en-US"/>
        </w:rPr>
        <w:t>heart failure</w:t>
      </w:r>
      <w:r w:rsidRPr="0075438D">
        <w:rPr>
          <w:rFonts w:ascii="Times New Roman" w:hAnsi="Times New Roman" w:cs="Times New Roman"/>
          <w:lang w:val="en-US"/>
        </w:rPr>
        <w:t xml:space="preserve"> hospitalization (b), and the composite mortality and/or </w:t>
      </w:r>
      <w:r w:rsidR="000A0BA2">
        <w:rPr>
          <w:rFonts w:ascii="Times New Roman" w:hAnsi="Times New Roman" w:cs="Times New Roman"/>
          <w:lang w:val="en-US"/>
        </w:rPr>
        <w:t>heart failure</w:t>
      </w:r>
      <w:r w:rsidRPr="0075438D">
        <w:rPr>
          <w:rFonts w:ascii="Times New Roman" w:hAnsi="Times New Roman" w:cs="Times New Roman"/>
          <w:lang w:val="en-US"/>
        </w:rPr>
        <w:t xml:space="preserve"> hospitalization.</w:t>
      </w:r>
    </w:p>
    <w:p w14:paraId="3787EE73" w14:textId="77777777" w:rsidR="0075438D" w:rsidRPr="006A4293" w:rsidRDefault="0075438D" w:rsidP="0075438D">
      <w:pPr>
        <w:rPr>
          <w:rFonts w:ascii="Times New Roman" w:eastAsia="Times New Roman" w:hAnsi="Times New Roman" w:cs="Times New Roman"/>
          <w:b/>
          <w:lang w:val="en-GB" w:eastAsia="nl-NL"/>
        </w:rPr>
      </w:pPr>
      <w:r w:rsidRPr="006A4293">
        <w:rPr>
          <w:rFonts w:ascii="Times New Roman" w:eastAsia="Times New Roman" w:hAnsi="Times New Roman" w:cs="Times New Roman"/>
          <w:b/>
          <w:lang w:val="en-GB" w:eastAsia="nl-NL"/>
        </w:rPr>
        <w:t>(a)</w:t>
      </w:r>
    </w:p>
    <w:tbl>
      <w:tblPr>
        <w:tblStyle w:val="Grilledutableau"/>
        <w:tblW w:w="10775" w:type="dxa"/>
        <w:tblInd w:w="-318" w:type="dxa"/>
        <w:tblLook w:val="04A0" w:firstRow="1" w:lastRow="0" w:firstColumn="1" w:lastColumn="0" w:noHBand="0" w:noVBand="1"/>
      </w:tblPr>
      <w:tblGrid>
        <w:gridCol w:w="827"/>
        <w:gridCol w:w="2137"/>
        <w:gridCol w:w="1870"/>
        <w:gridCol w:w="1362"/>
        <w:gridCol w:w="2222"/>
        <w:gridCol w:w="2357"/>
      </w:tblGrid>
      <w:tr w:rsidR="0075438D" w:rsidRPr="00FD6161" w14:paraId="4FFBD70A" w14:textId="77777777" w:rsidTr="00374B30">
        <w:tc>
          <w:tcPr>
            <w:tcW w:w="827" w:type="dxa"/>
          </w:tcPr>
          <w:p w14:paraId="74D3857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T</w:t>
            </w:r>
          </w:p>
          <w:p w14:paraId="71B448A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(years)</w:t>
            </w:r>
          </w:p>
        </w:tc>
        <w:tc>
          <w:tcPr>
            <w:tcW w:w="2137" w:type="dxa"/>
          </w:tcPr>
          <w:p w14:paraId="2C54E6E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870" w:type="dxa"/>
          </w:tcPr>
          <w:p w14:paraId="502AB52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AUC</w:t>
            </w:r>
          </w:p>
        </w:tc>
        <w:tc>
          <w:tcPr>
            <w:tcW w:w="1362" w:type="dxa"/>
          </w:tcPr>
          <w:p w14:paraId="1173C04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SE</w:t>
            </w:r>
          </w:p>
        </w:tc>
        <w:tc>
          <w:tcPr>
            <w:tcW w:w="2222" w:type="dxa"/>
          </w:tcPr>
          <w:p w14:paraId="20A539D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P for comparison with KCCQ overall score</w:t>
            </w:r>
          </w:p>
        </w:tc>
        <w:tc>
          <w:tcPr>
            <w:tcW w:w="2357" w:type="dxa"/>
          </w:tcPr>
          <w:p w14:paraId="7DA8CE3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P for comparison with EQ-5D utility score</w:t>
            </w:r>
          </w:p>
        </w:tc>
      </w:tr>
      <w:tr w:rsidR="0075438D" w14:paraId="0B75E551" w14:textId="77777777" w:rsidTr="00374B30">
        <w:tc>
          <w:tcPr>
            <w:tcW w:w="827" w:type="dxa"/>
            <w:vMerge w:val="restart"/>
            <w:vAlign w:val="center"/>
          </w:tcPr>
          <w:p w14:paraId="0B758A5B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</w:t>
            </w:r>
          </w:p>
        </w:tc>
        <w:tc>
          <w:tcPr>
            <w:tcW w:w="2137" w:type="dxa"/>
          </w:tcPr>
          <w:p w14:paraId="374971D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17A21CF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0.69</w:t>
            </w:r>
          </w:p>
        </w:tc>
        <w:tc>
          <w:tcPr>
            <w:tcW w:w="1362" w:type="dxa"/>
          </w:tcPr>
          <w:p w14:paraId="413D852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0.023</w:t>
            </w:r>
          </w:p>
        </w:tc>
        <w:tc>
          <w:tcPr>
            <w:tcW w:w="2222" w:type="dxa"/>
          </w:tcPr>
          <w:p w14:paraId="702ABC3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3283F5B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11948D75" w14:textId="77777777" w:rsidTr="00374B30">
        <w:tc>
          <w:tcPr>
            <w:tcW w:w="827" w:type="dxa"/>
            <w:vMerge/>
            <w:vAlign w:val="center"/>
          </w:tcPr>
          <w:p w14:paraId="44EB0F9F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08C30D4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3DE0E6F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0.65</w:t>
            </w:r>
          </w:p>
        </w:tc>
        <w:tc>
          <w:tcPr>
            <w:tcW w:w="1362" w:type="dxa"/>
          </w:tcPr>
          <w:p w14:paraId="780A1FF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0.026</w:t>
            </w:r>
          </w:p>
        </w:tc>
        <w:tc>
          <w:tcPr>
            <w:tcW w:w="2222" w:type="dxa"/>
          </w:tcPr>
          <w:p w14:paraId="377A5A4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0.042</w:t>
            </w:r>
          </w:p>
        </w:tc>
        <w:tc>
          <w:tcPr>
            <w:tcW w:w="2357" w:type="dxa"/>
          </w:tcPr>
          <w:p w14:paraId="6BE6D55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282C826A" w14:textId="77777777" w:rsidTr="00374B30">
        <w:tc>
          <w:tcPr>
            <w:tcW w:w="827" w:type="dxa"/>
            <w:vMerge/>
            <w:vAlign w:val="center"/>
          </w:tcPr>
          <w:p w14:paraId="0B03835F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20D37A0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6BFD1FF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0.61</w:t>
            </w:r>
          </w:p>
        </w:tc>
        <w:tc>
          <w:tcPr>
            <w:tcW w:w="1362" w:type="dxa"/>
          </w:tcPr>
          <w:p w14:paraId="68BFC36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0.025</w:t>
            </w:r>
          </w:p>
        </w:tc>
        <w:tc>
          <w:tcPr>
            <w:tcW w:w="2222" w:type="dxa"/>
          </w:tcPr>
          <w:p w14:paraId="1FB9537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0.001</w:t>
            </w:r>
          </w:p>
        </w:tc>
        <w:tc>
          <w:tcPr>
            <w:tcW w:w="2357" w:type="dxa"/>
          </w:tcPr>
          <w:p w14:paraId="23C3C36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0.122</w:t>
            </w:r>
          </w:p>
        </w:tc>
      </w:tr>
      <w:tr w:rsidR="0075438D" w14:paraId="10BA1217" w14:textId="77777777" w:rsidTr="00374B30"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</w:tcPr>
          <w:p w14:paraId="4E93EC3B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1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1BDA777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725D68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0.70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71A347F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00CA98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20D1190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5852B625" w14:textId="77777777" w:rsidTr="00374B30"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4D54A916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43E79BB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74CA1F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0.66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41EDE08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5DCAD76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0.014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9B5A39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60F27F15" w14:textId="77777777" w:rsidTr="00374B30"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782289CC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600D479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787FC4F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0.63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58B42D8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13430F7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0EB56BB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0.110</w:t>
            </w:r>
          </w:p>
        </w:tc>
      </w:tr>
      <w:tr w:rsidR="0075438D" w14:paraId="03F32EE8" w14:textId="77777777" w:rsidTr="00374B30">
        <w:tc>
          <w:tcPr>
            <w:tcW w:w="827" w:type="dxa"/>
            <w:vMerge w:val="restart"/>
            <w:vAlign w:val="center"/>
          </w:tcPr>
          <w:p w14:paraId="52023187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1.5</w:t>
            </w:r>
          </w:p>
        </w:tc>
        <w:tc>
          <w:tcPr>
            <w:tcW w:w="2137" w:type="dxa"/>
          </w:tcPr>
          <w:p w14:paraId="3932ED4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71C5591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0.66</w:t>
            </w:r>
          </w:p>
        </w:tc>
        <w:tc>
          <w:tcPr>
            <w:tcW w:w="1362" w:type="dxa"/>
          </w:tcPr>
          <w:p w14:paraId="3AF8A0B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0.018</w:t>
            </w:r>
          </w:p>
        </w:tc>
        <w:tc>
          <w:tcPr>
            <w:tcW w:w="2222" w:type="dxa"/>
          </w:tcPr>
          <w:p w14:paraId="6F39D3E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1883662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4A00ABA7" w14:textId="77777777" w:rsidTr="00374B30">
        <w:tc>
          <w:tcPr>
            <w:tcW w:w="827" w:type="dxa"/>
            <w:vMerge/>
            <w:vAlign w:val="center"/>
          </w:tcPr>
          <w:p w14:paraId="235B1F00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79C0F69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7AC237B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0.64</w:t>
            </w:r>
          </w:p>
        </w:tc>
        <w:tc>
          <w:tcPr>
            <w:tcW w:w="1362" w:type="dxa"/>
          </w:tcPr>
          <w:p w14:paraId="07E0F87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</w:tcPr>
          <w:p w14:paraId="5CA7FC7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0.188</w:t>
            </w:r>
          </w:p>
        </w:tc>
        <w:tc>
          <w:tcPr>
            <w:tcW w:w="2357" w:type="dxa"/>
          </w:tcPr>
          <w:p w14:paraId="338D2CE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3E6072F5" w14:textId="77777777" w:rsidTr="00374B30">
        <w:tc>
          <w:tcPr>
            <w:tcW w:w="827" w:type="dxa"/>
            <w:vMerge/>
            <w:vAlign w:val="center"/>
          </w:tcPr>
          <w:p w14:paraId="16C60AAD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46943CA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3FE6C5A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0.61</w:t>
            </w:r>
          </w:p>
        </w:tc>
        <w:tc>
          <w:tcPr>
            <w:tcW w:w="1362" w:type="dxa"/>
          </w:tcPr>
          <w:p w14:paraId="1339775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0.018</w:t>
            </w:r>
          </w:p>
        </w:tc>
        <w:tc>
          <w:tcPr>
            <w:tcW w:w="2222" w:type="dxa"/>
          </w:tcPr>
          <w:p w14:paraId="1EA48FD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0.005</w:t>
            </w:r>
          </w:p>
        </w:tc>
        <w:tc>
          <w:tcPr>
            <w:tcW w:w="2357" w:type="dxa"/>
          </w:tcPr>
          <w:p w14:paraId="2A2DE96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0.086</w:t>
            </w:r>
          </w:p>
        </w:tc>
      </w:tr>
      <w:tr w:rsidR="0075438D" w14:paraId="0AC65DA4" w14:textId="77777777" w:rsidTr="00374B30">
        <w:tc>
          <w:tcPr>
            <w:tcW w:w="827" w:type="dxa"/>
            <w:vMerge w:val="restart"/>
            <w:vAlign w:val="center"/>
          </w:tcPr>
          <w:p w14:paraId="1526E69D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2</w:t>
            </w:r>
          </w:p>
        </w:tc>
        <w:tc>
          <w:tcPr>
            <w:tcW w:w="2137" w:type="dxa"/>
          </w:tcPr>
          <w:p w14:paraId="1069E51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498549F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0.65</w:t>
            </w:r>
          </w:p>
        </w:tc>
        <w:tc>
          <w:tcPr>
            <w:tcW w:w="1362" w:type="dxa"/>
          </w:tcPr>
          <w:p w14:paraId="19744B1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</w:tcPr>
          <w:p w14:paraId="1D70DB6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0D9E3E3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663C004B" w14:textId="77777777" w:rsidTr="00374B30">
        <w:tc>
          <w:tcPr>
            <w:tcW w:w="827" w:type="dxa"/>
            <w:vMerge/>
            <w:vAlign w:val="center"/>
          </w:tcPr>
          <w:p w14:paraId="770307E2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4A5268D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568D67D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0.65</w:t>
            </w:r>
          </w:p>
        </w:tc>
        <w:tc>
          <w:tcPr>
            <w:tcW w:w="1362" w:type="dxa"/>
          </w:tcPr>
          <w:p w14:paraId="09D635A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</w:tcPr>
          <w:p w14:paraId="79D4C2C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0.738</w:t>
            </w:r>
          </w:p>
        </w:tc>
        <w:tc>
          <w:tcPr>
            <w:tcW w:w="2357" w:type="dxa"/>
          </w:tcPr>
          <w:p w14:paraId="7241ED5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3F1D623C" w14:textId="77777777" w:rsidTr="00374B30">
        <w:tc>
          <w:tcPr>
            <w:tcW w:w="827" w:type="dxa"/>
            <w:vMerge/>
            <w:vAlign w:val="center"/>
          </w:tcPr>
          <w:p w14:paraId="26E432A9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1B78491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709822E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0.59</w:t>
            </w:r>
          </w:p>
        </w:tc>
        <w:tc>
          <w:tcPr>
            <w:tcW w:w="1362" w:type="dxa"/>
          </w:tcPr>
          <w:p w14:paraId="178029A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</w:tcPr>
          <w:p w14:paraId="2ACA997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0.001</w:t>
            </w:r>
          </w:p>
        </w:tc>
        <w:tc>
          <w:tcPr>
            <w:tcW w:w="2357" w:type="dxa"/>
          </w:tcPr>
          <w:p w14:paraId="396DA9F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0.002</w:t>
            </w:r>
          </w:p>
        </w:tc>
      </w:tr>
      <w:tr w:rsidR="0075438D" w14:paraId="2BA24D9D" w14:textId="77777777" w:rsidTr="00374B30">
        <w:tc>
          <w:tcPr>
            <w:tcW w:w="827" w:type="dxa"/>
            <w:vMerge w:val="restart"/>
            <w:vAlign w:val="center"/>
          </w:tcPr>
          <w:p w14:paraId="654E6FE9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2.5</w:t>
            </w:r>
          </w:p>
        </w:tc>
        <w:tc>
          <w:tcPr>
            <w:tcW w:w="2137" w:type="dxa"/>
          </w:tcPr>
          <w:p w14:paraId="0D282ED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599A995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0.61</w:t>
            </w:r>
          </w:p>
        </w:tc>
        <w:tc>
          <w:tcPr>
            <w:tcW w:w="1362" w:type="dxa"/>
          </w:tcPr>
          <w:p w14:paraId="1AFA971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0.025</w:t>
            </w:r>
          </w:p>
        </w:tc>
        <w:tc>
          <w:tcPr>
            <w:tcW w:w="2222" w:type="dxa"/>
          </w:tcPr>
          <w:p w14:paraId="1A84504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6108DA0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19622118" w14:textId="77777777" w:rsidTr="00374B30">
        <w:tc>
          <w:tcPr>
            <w:tcW w:w="827" w:type="dxa"/>
            <w:vMerge/>
            <w:vAlign w:val="center"/>
          </w:tcPr>
          <w:p w14:paraId="0C88438D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62941E9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67663A5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0.66</w:t>
            </w:r>
          </w:p>
        </w:tc>
        <w:tc>
          <w:tcPr>
            <w:tcW w:w="1362" w:type="dxa"/>
          </w:tcPr>
          <w:p w14:paraId="57D8A08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0.023</w:t>
            </w:r>
          </w:p>
        </w:tc>
        <w:tc>
          <w:tcPr>
            <w:tcW w:w="2222" w:type="dxa"/>
          </w:tcPr>
          <w:p w14:paraId="2C941A9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0.055</w:t>
            </w:r>
          </w:p>
        </w:tc>
        <w:tc>
          <w:tcPr>
            <w:tcW w:w="2357" w:type="dxa"/>
          </w:tcPr>
          <w:p w14:paraId="48CDC74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110A40A4" w14:textId="77777777" w:rsidTr="00374B30">
        <w:tc>
          <w:tcPr>
            <w:tcW w:w="827" w:type="dxa"/>
            <w:vMerge/>
            <w:vAlign w:val="center"/>
          </w:tcPr>
          <w:p w14:paraId="649C61B2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5E5CCA8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28D3316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</w:tcPr>
          <w:p w14:paraId="491A2BE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0.024</w:t>
            </w:r>
          </w:p>
        </w:tc>
        <w:tc>
          <w:tcPr>
            <w:tcW w:w="2222" w:type="dxa"/>
          </w:tcPr>
          <w:p w14:paraId="0C12482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3467E6B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0.025</w:t>
            </w:r>
          </w:p>
        </w:tc>
      </w:tr>
      <w:tr w:rsidR="0075438D" w14:paraId="78A886B1" w14:textId="77777777" w:rsidTr="00374B30">
        <w:tc>
          <w:tcPr>
            <w:tcW w:w="827" w:type="dxa"/>
            <w:vMerge w:val="restart"/>
            <w:vAlign w:val="center"/>
          </w:tcPr>
          <w:p w14:paraId="515E7E5D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3</w:t>
            </w:r>
          </w:p>
        </w:tc>
        <w:tc>
          <w:tcPr>
            <w:tcW w:w="2137" w:type="dxa"/>
          </w:tcPr>
          <w:p w14:paraId="312284C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144BF18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0.55</w:t>
            </w:r>
          </w:p>
        </w:tc>
        <w:tc>
          <w:tcPr>
            <w:tcW w:w="1362" w:type="dxa"/>
          </w:tcPr>
          <w:p w14:paraId="407E775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0.059</w:t>
            </w:r>
          </w:p>
        </w:tc>
        <w:tc>
          <w:tcPr>
            <w:tcW w:w="2222" w:type="dxa"/>
          </w:tcPr>
          <w:p w14:paraId="4EB59C5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283AF3D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77A9527D" w14:textId="77777777" w:rsidTr="00374B30">
        <w:tc>
          <w:tcPr>
            <w:tcW w:w="827" w:type="dxa"/>
            <w:vMerge/>
            <w:vAlign w:val="center"/>
          </w:tcPr>
          <w:p w14:paraId="74443879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783763A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7FF7EF6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0.61</w:t>
            </w:r>
          </w:p>
        </w:tc>
        <w:tc>
          <w:tcPr>
            <w:tcW w:w="1362" w:type="dxa"/>
          </w:tcPr>
          <w:p w14:paraId="65A984C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0.068</w:t>
            </w:r>
          </w:p>
        </w:tc>
        <w:tc>
          <w:tcPr>
            <w:tcW w:w="2222" w:type="dxa"/>
          </w:tcPr>
          <w:p w14:paraId="3358F36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0.417</w:t>
            </w:r>
          </w:p>
        </w:tc>
        <w:tc>
          <w:tcPr>
            <w:tcW w:w="2357" w:type="dxa"/>
          </w:tcPr>
          <w:p w14:paraId="767EC06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571D60FF" w14:textId="77777777" w:rsidTr="00374B30">
        <w:tc>
          <w:tcPr>
            <w:tcW w:w="827" w:type="dxa"/>
            <w:vMerge/>
            <w:vAlign w:val="center"/>
          </w:tcPr>
          <w:p w14:paraId="35CE8277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4E6FEF3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3738DE9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0.51</w:t>
            </w:r>
          </w:p>
        </w:tc>
        <w:tc>
          <w:tcPr>
            <w:tcW w:w="1362" w:type="dxa"/>
          </w:tcPr>
          <w:p w14:paraId="1BC0C10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0.065</w:t>
            </w:r>
          </w:p>
        </w:tc>
        <w:tc>
          <w:tcPr>
            <w:tcW w:w="2222" w:type="dxa"/>
          </w:tcPr>
          <w:p w14:paraId="4CBA899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0.609</w:t>
            </w:r>
          </w:p>
        </w:tc>
        <w:tc>
          <w:tcPr>
            <w:tcW w:w="2357" w:type="dxa"/>
          </w:tcPr>
          <w:p w14:paraId="2B3CD0A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0.118</w:t>
            </w:r>
          </w:p>
        </w:tc>
      </w:tr>
    </w:tbl>
    <w:p w14:paraId="1D1EF7AC" w14:textId="77777777" w:rsidR="0075438D" w:rsidRDefault="0075438D" w:rsidP="0075438D">
      <w:pPr>
        <w:rPr>
          <w:rFonts w:ascii="Times New Roman" w:eastAsia="Times New Roman" w:hAnsi="Times New Roman" w:cs="Times New Roman"/>
          <w:lang w:val="en-GB" w:eastAsia="nl-NL"/>
        </w:rPr>
      </w:pPr>
    </w:p>
    <w:p w14:paraId="48103D94" w14:textId="77777777" w:rsidR="0075438D" w:rsidRPr="006A4293" w:rsidRDefault="0075438D" w:rsidP="0075438D">
      <w:pPr>
        <w:rPr>
          <w:rFonts w:ascii="Times New Roman" w:eastAsia="Times New Roman" w:hAnsi="Times New Roman" w:cs="Times New Roman"/>
          <w:b/>
          <w:lang w:val="en-GB" w:eastAsia="nl-NL"/>
        </w:rPr>
      </w:pPr>
      <w:r w:rsidRPr="006A4293">
        <w:rPr>
          <w:rFonts w:ascii="Times New Roman" w:eastAsia="Times New Roman" w:hAnsi="Times New Roman" w:cs="Times New Roman"/>
          <w:b/>
          <w:lang w:val="en-GB" w:eastAsia="nl-NL"/>
        </w:rPr>
        <w:t>(b)</w:t>
      </w:r>
    </w:p>
    <w:tbl>
      <w:tblPr>
        <w:tblStyle w:val="Grilledutableau"/>
        <w:tblW w:w="10775" w:type="dxa"/>
        <w:tblInd w:w="-318" w:type="dxa"/>
        <w:tblLook w:val="04A0" w:firstRow="1" w:lastRow="0" w:firstColumn="1" w:lastColumn="0" w:noHBand="0" w:noVBand="1"/>
      </w:tblPr>
      <w:tblGrid>
        <w:gridCol w:w="827"/>
        <w:gridCol w:w="2137"/>
        <w:gridCol w:w="1870"/>
        <w:gridCol w:w="1362"/>
        <w:gridCol w:w="2222"/>
        <w:gridCol w:w="2357"/>
      </w:tblGrid>
      <w:tr w:rsidR="0075438D" w:rsidRPr="00FD6161" w14:paraId="122CDDE3" w14:textId="77777777" w:rsidTr="00374B30">
        <w:tc>
          <w:tcPr>
            <w:tcW w:w="827" w:type="dxa"/>
          </w:tcPr>
          <w:p w14:paraId="3217242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T</w:t>
            </w:r>
          </w:p>
          <w:p w14:paraId="3CD3517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(years)</w:t>
            </w:r>
          </w:p>
        </w:tc>
        <w:tc>
          <w:tcPr>
            <w:tcW w:w="2137" w:type="dxa"/>
          </w:tcPr>
          <w:p w14:paraId="11E87BB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870" w:type="dxa"/>
          </w:tcPr>
          <w:p w14:paraId="1EDF44F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AUC</w:t>
            </w:r>
          </w:p>
        </w:tc>
        <w:tc>
          <w:tcPr>
            <w:tcW w:w="1362" w:type="dxa"/>
          </w:tcPr>
          <w:p w14:paraId="7665B2F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SE</w:t>
            </w:r>
          </w:p>
        </w:tc>
        <w:tc>
          <w:tcPr>
            <w:tcW w:w="2222" w:type="dxa"/>
          </w:tcPr>
          <w:p w14:paraId="3690660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P for comparison with KCCQ overall score</w:t>
            </w:r>
          </w:p>
        </w:tc>
        <w:tc>
          <w:tcPr>
            <w:tcW w:w="2357" w:type="dxa"/>
          </w:tcPr>
          <w:p w14:paraId="5CA71DB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P for comparison with EQ-5D utility score</w:t>
            </w:r>
          </w:p>
        </w:tc>
      </w:tr>
      <w:tr w:rsidR="0075438D" w14:paraId="6D9EA675" w14:textId="77777777" w:rsidTr="00374B30">
        <w:tc>
          <w:tcPr>
            <w:tcW w:w="827" w:type="dxa"/>
            <w:vMerge w:val="restart"/>
            <w:vAlign w:val="center"/>
          </w:tcPr>
          <w:p w14:paraId="5E491B77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</w:t>
            </w:r>
          </w:p>
        </w:tc>
        <w:tc>
          <w:tcPr>
            <w:tcW w:w="2137" w:type="dxa"/>
          </w:tcPr>
          <w:p w14:paraId="35AF817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2905A46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</w:tcPr>
          <w:p w14:paraId="5880701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</w:tcPr>
          <w:p w14:paraId="5258DB1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35D9550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04E37C25" w14:textId="77777777" w:rsidTr="00374B30">
        <w:tc>
          <w:tcPr>
            <w:tcW w:w="827" w:type="dxa"/>
            <w:vMerge/>
            <w:vAlign w:val="center"/>
          </w:tcPr>
          <w:p w14:paraId="7A64BEF3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05FE789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0E64627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0.58</w:t>
            </w:r>
          </w:p>
        </w:tc>
        <w:tc>
          <w:tcPr>
            <w:tcW w:w="1362" w:type="dxa"/>
          </w:tcPr>
          <w:p w14:paraId="3C22388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0.023</w:t>
            </w:r>
          </w:p>
        </w:tc>
        <w:tc>
          <w:tcPr>
            <w:tcW w:w="2222" w:type="dxa"/>
          </w:tcPr>
          <w:p w14:paraId="07DEC5C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0856CC2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69B4CC9F" w14:textId="77777777" w:rsidTr="00374B30">
        <w:tc>
          <w:tcPr>
            <w:tcW w:w="827" w:type="dxa"/>
            <w:vMerge/>
            <w:vAlign w:val="center"/>
          </w:tcPr>
          <w:p w14:paraId="261E47D9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72B7105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73FAE8D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0.58</w:t>
            </w:r>
          </w:p>
        </w:tc>
        <w:tc>
          <w:tcPr>
            <w:tcW w:w="1362" w:type="dxa"/>
          </w:tcPr>
          <w:p w14:paraId="7BC471E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0.022</w:t>
            </w:r>
          </w:p>
        </w:tc>
        <w:tc>
          <w:tcPr>
            <w:tcW w:w="2222" w:type="dxa"/>
          </w:tcPr>
          <w:p w14:paraId="3A51878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0.002</w:t>
            </w:r>
          </w:p>
        </w:tc>
        <w:tc>
          <w:tcPr>
            <w:tcW w:w="2357" w:type="dxa"/>
          </w:tcPr>
          <w:p w14:paraId="64C80D5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0.833</w:t>
            </w:r>
          </w:p>
        </w:tc>
      </w:tr>
      <w:tr w:rsidR="0075438D" w14:paraId="45678650" w14:textId="77777777" w:rsidTr="00374B30"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</w:tcPr>
          <w:p w14:paraId="581ADFEE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1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1A0D841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390CC3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0.61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34F6D80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0.016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CCA8F6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01EB92B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6047AE05" w14:textId="77777777" w:rsidTr="00374B30"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2F988821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09AB150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352B2D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0.58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16A3C14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33A1B6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073A3D2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1A142E3F" w14:textId="77777777" w:rsidTr="00374B30"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38EBD4E7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4A5368A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7CE2942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0.59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1B59781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526052D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0.001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4569EB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0.606</w:t>
            </w:r>
          </w:p>
        </w:tc>
      </w:tr>
      <w:tr w:rsidR="0075438D" w14:paraId="3BC6F117" w14:textId="77777777" w:rsidTr="00374B30">
        <w:tc>
          <w:tcPr>
            <w:tcW w:w="827" w:type="dxa"/>
            <w:vMerge w:val="restart"/>
            <w:vAlign w:val="center"/>
          </w:tcPr>
          <w:p w14:paraId="133EF737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1.5</w:t>
            </w:r>
          </w:p>
        </w:tc>
        <w:tc>
          <w:tcPr>
            <w:tcW w:w="2137" w:type="dxa"/>
          </w:tcPr>
          <w:p w14:paraId="719EA1A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6DACE8C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</w:tcPr>
          <w:p w14:paraId="1D6BC5A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0.016</w:t>
            </w:r>
          </w:p>
        </w:tc>
        <w:tc>
          <w:tcPr>
            <w:tcW w:w="2222" w:type="dxa"/>
          </w:tcPr>
          <w:p w14:paraId="4A89A48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1D78BBB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72F8A6B9" w14:textId="77777777" w:rsidTr="00374B30">
        <w:tc>
          <w:tcPr>
            <w:tcW w:w="827" w:type="dxa"/>
            <w:vMerge/>
            <w:vAlign w:val="center"/>
          </w:tcPr>
          <w:p w14:paraId="5A1BD85E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7948864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6E53725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0.57</w:t>
            </w:r>
          </w:p>
        </w:tc>
        <w:tc>
          <w:tcPr>
            <w:tcW w:w="1362" w:type="dxa"/>
          </w:tcPr>
          <w:p w14:paraId="1256178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</w:tcPr>
          <w:p w14:paraId="0BD03D4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4ECB93F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2AADBCA6" w14:textId="77777777" w:rsidTr="00374B30">
        <w:tc>
          <w:tcPr>
            <w:tcW w:w="827" w:type="dxa"/>
            <w:vMerge/>
            <w:vAlign w:val="center"/>
          </w:tcPr>
          <w:p w14:paraId="4820FD4B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34A20A4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47710C1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0.58</w:t>
            </w:r>
          </w:p>
        </w:tc>
        <w:tc>
          <w:tcPr>
            <w:tcW w:w="1362" w:type="dxa"/>
          </w:tcPr>
          <w:p w14:paraId="56E91D4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0.018</w:t>
            </w:r>
          </w:p>
        </w:tc>
        <w:tc>
          <w:tcPr>
            <w:tcW w:w="2222" w:type="dxa"/>
          </w:tcPr>
          <w:p w14:paraId="4815079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69D1A4D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0.621</w:t>
            </w:r>
          </w:p>
        </w:tc>
      </w:tr>
      <w:tr w:rsidR="0075438D" w14:paraId="02F223F6" w14:textId="77777777" w:rsidTr="00374B30">
        <w:tc>
          <w:tcPr>
            <w:tcW w:w="827" w:type="dxa"/>
            <w:vMerge w:val="restart"/>
            <w:vAlign w:val="center"/>
          </w:tcPr>
          <w:p w14:paraId="662AFF66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2</w:t>
            </w:r>
          </w:p>
        </w:tc>
        <w:tc>
          <w:tcPr>
            <w:tcW w:w="2137" w:type="dxa"/>
          </w:tcPr>
          <w:p w14:paraId="1A94D6C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5AFF76C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</w:tcPr>
          <w:p w14:paraId="157C101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0.017</w:t>
            </w:r>
          </w:p>
        </w:tc>
        <w:tc>
          <w:tcPr>
            <w:tcW w:w="2222" w:type="dxa"/>
          </w:tcPr>
          <w:p w14:paraId="53817EB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29E64BA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372DFFEE" w14:textId="77777777" w:rsidTr="00374B30">
        <w:tc>
          <w:tcPr>
            <w:tcW w:w="827" w:type="dxa"/>
            <w:vMerge/>
            <w:vAlign w:val="center"/>
          </w:tcPr>
          <w:p w14:paraId="1E5A4E5D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097D0FE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1DD780F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0.58</w:t>
            </w:r>
          </w:p>
        </w:tc>
        <w:tc>
          <w:tcPr>
            <w:tcW w:w="1362" w:type="dxa"/>
          </w:tcPr>
          <w:p w14:paraId="6F7B1CC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0.020</w:t>
            </w:r>
          </w:p>
        </w:tc>
        <w:tc>
          <w:tcPr>
            <w:tcW w:w="2222" w:type="dxa"/>
          </w:tcPr>
          <w:p w14:paraId="610B0B9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7FC8032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4DDD17F1" w14:textId="77777777" w:rsidTr="00374B30">
        <w:tc>
          <w:tcPr>
            <w:tcW w:w="827" w:type="dxa"/>
            <w:vMerge/>
            <w:vAlign w:val="center"/>
          </w:tcPr>
          <w:p w14:paraId="7AC02499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38490B4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65435D6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0.57</w:t>
            </w:r>
          </w:p>
        </w:tc>
        <w:tc>
          <w:tcPr>
            <w:tcW w:w="1362" w:type="dxa"/>
          </w:tcPr>
          <w:p w14:paraId="6463A08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0.020</w:t>
            </w:r>
          </w:p>
        </w:tc>
        <w:tc>
          <w:tcPr>
            <w:tcW w:w="2222" w:type="dxa"/>
          </w:tcPr>
          <w:p w14:paraId="5D12EA0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39AA1B1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0.808</w:t>
            </w:r>
          </w:p>
        </w:tc>
      </w:tr>
      <w:tr w:rsidR="0075438D" w14:paraId="62AFAC91" w14:textId="77777777" w:rsidTr="00374B30">
        <w:tc>
          <w:tcPr>
            <w:tcW w:w="827" w:type="dxa"/>
            <w:vMerge w:val="restart"/>
            <w:vAlign w:val="center"/>
          </w:tcPr>
          <w:p w14:paraId="35EC5E4E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2.5</w:t>
            </w:r>
          </w:p>
        </w:tc>
        <w:tc>
          <w:tcPr>
            <w:tcW w:w="2137" w:type="dxa"/>
          </w:tcPr>
          <w:p w14:paraId="47EAA37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0F8CD60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0.62</w:t>
            </w:r>
          </w:p>
        </w:tc>
        <w:tc>
          <w:tcPr>
            <w:tcW w:w="1362" w:type="dxa"/>
          </w:tcPr>
          <w:p w14:paraId="28FAC7C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0.023</w:t>
            </w:r>
          </w:p>
        </w:tc>
        <w:tc>
          <w:tcPr>
            <w:tcW w:w="2222" w:type="dxa"/>
          </w:tcPr>
          <w:p w14:paraId="37CF920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312139B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62932AF3" w14:textId="77777777" w:rsidTr="00374B30">
        <w:tc>
          <w:tcPr>
            <w:tcW w:w="827" w:type="dxa"/>
            <w:vMerge/>
            <w:vAlign w:val="center"/>
          </w:tcPr>
          <w:p w14:paraId="087C3263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1FA5AF2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323DEF1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</w:tcPr>
          <w:p w14:paraId="0D0A49D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0.026</w:t>
            </w:r>
          </w:p>
        </w:tc>
        <w:tc>
          <w:tcPr>
            <w:tcW w:w="2222" w:type="dxa"/>
          </w:tcPr>
          <w:p w14:paraId="5EBF293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0.473</w:t>
            </w:r>
          </w:p>
        </w:tc>
        <w:tc>
          <w:tcPr>
            <w:tcW w:w="2357" w:type="dxa"/>
          </w:tcPr>
          <w:p w14:paraId="669E50E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363760D7" w14:textId="77777777" w:rsidTr="00374B30">
        <w:tc>
          <w:tcPr>
            <w:tcW w:w="827" w:type="dxa"/>
            <w:vMerge/>
            <w:vAlign w:val="center"/>
          </w:tcPr>
          <w:p w14:paraId="42E3957A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2FEA440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4941CC0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0.59</w:t>
            </w:r>
          </w:p>
        </w:tc>
        <w:tc>
          <w:tcPr>
            <w:tcW w:w="1362" w:type="dxa"/>
          </w:tcPr>
          <w:p w14:paraId="7C3C83C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0.027</w:t>
            </w:r>
          </w:p>
        </w:tc>
        <w:tc>
          <w:tcPr>
            <w:tcW w:w="2222" w:type="dxa"/>
          </w:tcPr>
          <w:p w14:paraId="389755D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0.453</w:t>
            </w:r>
          </w:p>
        </w:tc>
        <w:tc>
          <w:tcPr>
            <w:tcW w:w="2357" w:type="dxa"/>
          </w:tcPr>
          <w:p w14:paraId="20C4BA9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0.849</w:t>
            </w:r>
          </w:p>
        </w:tc>
      </w:tr>
      <w:tr w:rsidR="0075438D" w14:paraId="6A22B6A6" w14:textId="77777777" w:rsidTr="00374B30">
        <w:tc>
          <w:tcPr>
            <w:tcW w:w="827" w:type="dxa"/>
            <w:vMerge w:val="restart"/>
            <w:vAlign w:val="center"/>
          </w:tcPr>
          <w:p w14:paraId="058AE91B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3</w:t>
            </w:r>
          </w:p>
        </w:tc>
        <w:tc>
          <w:tcPr>
            <w:tcW w:w="2137" w:type="dxa"/>
          </w:tcPr>
          <w:p w14:paraId="3D1D71D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2DA55EC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0.56</w:t>
            </w:r>
          </w:p>
        </w:tc>
        <w:tc>
          <w:tcPr>
            <w:tcW w:w="1362" w:type="dxa"/>
          </w:tcPr>
          <w:p w14:paraId="3C320D6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0.066</w:t>
            </w:r>
          </w:p>
        </w:tc>
        <w:tc>
          <w:tcPr>
            <w:tcW w:w="2222" w:type="dxa"/>
          </w:tcPr>
          <w:p w14:paraId="6738EDB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0E04D31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0960C4A5" w14:textId="77777777" w:rsidTr="00374B30">
        <w:tc>
          <w:tcPr>
            <w:tcW w:w="827" w:type="dxa"/>
            <w:vMerge/>
            <w:vAlign w:val="center"/>
          </w:tcPr>
          <w:p w14:paraId="50C5FF55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56E1317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1833E7B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0.58</w:t>
            </w:r>
          </w:p>
        </w:tc>
        <w:tc>
          <w:tcPr>
            <w:tcW w:w="1362" w:type="dxa"/>
          </w:tcPr>
          <w:p w14:paraId="1A4E365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0.075</w:t>
            </w:r>
          </w:p>
        </w:tc>
        <w:tc>
          <w:tcPr>
            <w:tcW w:w="2222" w:type="dxa"/>
          </w:tcPr>
          <w:p w14:paraId="4588A5E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0.945</w:t>
            </w:r>
          </w:p>
        </w:tc>
        <w:tc>
          <w:tcPr>
            <w:tcW w:w="2357" w:type="dxa"/>
          </w:tcPr>
          <w:p w14:paraId="2650EB5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519CACDE" w14:textId="77777777" w:rsidTr="00374B30">
        <w:tc>
          <w:tcPr>
            <w:tcW w:w="827" w:type="dxa"/>
            <w:vMerge/>
            <w:vAlign w:val="center"/>
          </w:tcPr>
          <w:p w14:paraId="60649A39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0E7D63F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7B70936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0.59</w:t>
            </w:r>
          </w:p>
        </w:tc>
        <w:tc>
          <w:tcPr>
            <w:tcW w:w="1362" w:type="dxa"/>
          </w:tcPr>
          <w:p w14:paraId="28D2E73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0.065</w:t>
            </w:r>
          </w:p>
        </w:tc>
        <w:tc>
          <w:tcPr>
            <w:tcW w:w="2222" w:type="dxa"/>
          </w:tcPr>
          <w:p w14:paraId="3DFD60A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0.804</w:t>
            </w:r>
          </w:p>
        </w:tc>
        <w:tc>
          <w:tcPr>
            <w:tcW w:w="2357" w:type="dxa"/>
          </w:tcPr>
          <w:p w14:paraId="3C70E20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0.836</w:t>
            </w:r>
          </w:p>
        </w:tc>
      </w:tr>
    </w:tbl>
    <w:p w14:paraId="02A09792" w14:textId="77777777" w:rsidR="0075438D" w:rsidRDefault="0075438D" w:rsidP="0075438D">
      <w:pPr>
        <w:rPr>
          <w:rFonts w:ascii="Times New Roman" w:eastAsia="Times New Roman" w:hAnsi="Times New Roman" w:cs="Times New Roman"/>
          <w:lang w:val="en-GB" w:eastAsia="nl-NL"/>
        </w:rPr>
      </w:pPr>
    </w:p>
    <w:p w14:paraId="65E36420" w14:textId="77777777" w:rsidR="0075438D" w:rsidRDefault="0075438D" w:rsidP="0075438D">
      <w:pPr>
        <w:rPr>
          <w:rFonts w:ascii="Times New Roman" w:eastAsia="Times New Roman" w:hAnsi="Times New Roman" w:cs="Times New Roman"/>
          <w:lang w:val="en-GB" w:eastAsia="nl-NL"/>
        </w:rPr>
      </w:pPr>
    </w:p>
    <w:p w14:paraId="5F850049" w14:textId="77777777" w:rsidR="0075438D" w:rsidRPr="006A4293" w:rsidRDefault="0075438D" w:rsidP="0075438D">
      <w:pPr>
        <w:rPr>
          <w:rFonts w:ascii="Times New Roman" w:eastAsia="Times New Roman" w:hAnsi="Times New Roman" w:cs="Times New Roman"/>
          <w:b/>
          <w:lang w:val="en-GB" w:eastAsia="nl-NL"/>
        </w:rPr>
      </w:pPr>
      <w:r w:rsidRPr="006A4293">
        <w:rPr>
          <w:rFonts w:ascii="Times New Roman" w:eastAsia="Times New Roman" w:hAnsi="Times New Roman" w:cs="Times New Roman"/>
          <w:b/>
          <w:lang w:val="en-GB" w:eastAsia="nl-NL"/>
        </w:rPr>
        <w:t>(c)</w:t>
      </w:r>
    </w:p>
    <w:tbl>
      <w:tblPr>
        <w:tblStyle w:val="Grilledutableau"/>
        <w:tblW w:w="10775" w:type="dxa"/>
        <w:tblInd w:w="-318" w:type="dxa"/>
        <w:tblLook w:val="04A0" w:firstRow="1" w:lastRow="0" w:firstColumn="1" w:lastColumn="0" w:noHBand="0" w:noVBand="1"/>
      </w:tblPr>
      <w:tblGrid>
        <w:gridCol w:w="827"/>
        <w:gridCol w:w="2137"/>
        <w:gridCol w:w="1870"/>
        <w:gridCol w:w="1362"/>
        <w:gridCol w:w="2222"/>
        <w:gridCol w:w="2357"/>
      </w:tblGrid>
      <w:tr w:rsidR="0075438D" w:rsidRPr="00FD6161" w14:paraId="03591F43" w14:textId="77777777" w:rsidTr="00374B30">
        <w:tc>
          <w:tcPr>
            <w:tcW w:w="827" w:type="dxa"/>
          </w:tcPr>
          <w:p w14:paraId="0C68C72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T</w:t>
            </w:r>
          </w:p>
          <w:p w14:paraId="2AAC62A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(years)</w:t>
            </w:r>
          </w:p>
        </w:tc>
        <w:tc>
          <w:tcPr>
            <w:tcW w:w="2137" w:type="dxa"/>
          </w:tcPr>
          <w:p w14:paraId="325191D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870" w:type="dxa"/>
          </w:tcPr>
          <w:p w14:paraId="7E5396A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AUC</w:t>
            </w:r>
          </w:p>
        </w:tc>
        <w:tc>
          <w:tcPr>
            <w:tcW w:w="1362" w:type="dxa"/>
          </w:tcPr>
          <w:p w14:paraId="67C85AF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SE</w:t>
            </w:r>
          </w:p>
        </w:tc>
        <w:tc>
          <w:tcPr>
            <w:tcW w:w="2222" w:type="dxa"/>
          </w:tcPr>
          <w:p w14:paraId="0C559F3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P for comparison with KCCQ overall score</w:t>
            </w:r>
          </w:p>
        </w:tc>
        <w:tc>
          <w:tcPr>
            <w:tcW w:w="2357" w:type="dxa"/>
          </w:tcPr>
          <w:p w14:paraId="4BC9449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P for comparison with EQ-5D utility score</w:t>
            </w:r>
          </w:p>
        </w:tc>
      </w:tr>
      <w:tr w:rsidR="0075438D" w14:paraId="1A0CC9DA" w14:textId="77777777" w:rsidTr="00374B30">
        <w:tc>
          <w:tcPr>
            <w:tcW w:w="827" w:type="dxa"/>
            <w:vMerge w:val="restart"/>
            <w:vAlign w:val="center"/>
          </w:tcPr>
          <w:p w14:paraId="0D110EFB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</w:t>
            </w:r>
          </w:p>
        </w:tc>
        <w:tc>
          <w:tcPr>
            <w:tcW w:w="2137" w:type="dxa"/>
          </w:tcPr>
          <w:p w14:paraId="62786B2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40B3AB4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0.66</w:t>
            </w:r>
          </w:p>
        </w:tc>
        <w:tc>
          <w:tcPr>
            <w:tcW w:w="1362" w:type="dxa"/>
          </w:tcPr>
          <w:p w14:paraId="47BFBE0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0.017</w:t>
            </w:r>
          </w:p>
        </w:tc>
        <w:tc>
          <w:tcPr>
            <w:tcW w:w="2222" w:type="dxa"/>
          </w:tcPr>
          <w:p w14:paraId="21E9111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054097D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67500D00" w14:textId="77777777" w:rsidTr="00374B30">
        <w:tc>
          <w:tcPr>
            <w:tcW w:w="827" w:type="dxa"/>
            <w:vMerge/>
            <w:vAlign w:val="center"/>
          </w:tcPr>
          <w:p w14:paraId="77A86804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12AB47A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4FE8C89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</w:tcPr>
          <w:p w14:paraId="3063B9B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</w:tcPr>
          <w:p w14:paraId="7CD8AD8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1F85B3D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1252623E" w14:textId="77777777" w:rsidTr="00374B30">
        <w:tc>
          <w:tcPr>
            <w:tcW w:w="827" w:type="dxa"/>
            <w:vMerge/>
            <w:vAlign w:val="center"/>
          </w:tcPr>
          <w:p w14:paraId="050F9C0F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42E2A3D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0BB5733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0.59</w:t>
            </w:r>
          </w:p>
        </w:tc>
        <w:tc>
          <w:tcPr>
            <w:tcW w:w="1362" w:type="dxa"/>
          </w:tcPr>
          <w:p w14:paraId="4B129AB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0.019</w:t>
            </w:r>
          </w:p>
        </w:tc>
        <w:tc>
          <w:tcPr>
            <w:tcW w:w="2222" w:type="dxa"/>
          </w:tcPr>
          <w:p w14:paraId="23C72B9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2AE0EF8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0.366</w:t>
            </w:r>
          </w:p>
        </w:tc>
      </w:tr>
      <w:tr w:rsidR="0075438D" w14:paraId="7D0662C2" w14:textId="77777777" w:rsidTr="00374B30"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</w:tcPr>
          <w:p w14:paraId="7D8FA795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1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0B1CEEC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7000EE4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0.68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6EC21D8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7F3376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38A069C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22DDF1BE" w14:textId="77777777" w:rsidTr="00374B30"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7907B584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37CB91B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7A1468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0.61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211BCCB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0.016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42884A6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019A98A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01D1EA4D" w14:textId="77777777" w:rsidTr="00374B30"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378FC1AB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2105929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6DD504A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201FEF5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0.016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42E3F9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7D49586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0.680</w:t>
            </w:r>
          </w:p>
        </w:tc>
      </w:tr>
      <w:tr w:rsidR="0075438D" w14:paraId="34F9A626" w14:textId="77777777" w:rsidTr="00374B30">
        <w:tc>
          <w:tcPr>
            <w:tcW w:w="827" w:type="dxa"/>
            <w:vMerge w:val="restart"/>
            <w:vAlign w:val="center"/>
          </w:tcPr>
          <w:p w14:paraId="6D162EF6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1.5</w:t>
            </w:r>
          </w:p>
        </w:tc>
        <w:tc>
          <w:tcPr>
            <w:tcW w:w="2137" w:type="dxa"/>
          </w:tcPr>
          <w:p w14:paraId="07148CE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3A6E5C4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0.66</w:t>
            </w:r>
          </w:p>
        </w:tc>
        <w:tc>
          <w:tcPr>
            <w:tcW w:w="1362" w:type="dxa"/>
          </w:tcPr>
          <w:p w14:paraId="36D7BC6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0.015</w:t>
            </w:r>
          </w:p>
        </w:tc>
        <w:tc>
          <w:tcPr>
            <w:tcW w:w="2222" w:type="dxa"/>
          </w:tcPr>
          <w:p w14:paraId="0D63B1B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44A6258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268F8AF7" w14:textId="77777777" w:rsidTr="00374B30">
        <w:tc>
          <w:tcPr>
            <w:tcW w:w="827" w:type="dxa"/>
            <w:vMerge/>
            <w:vAlign w:val="center"/>
          </w:tcPr>
          <w:p w14:paraId="6867C2F0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6FAE67C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10D0EB8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0.59</w:t>
            </w:r>
          </w:p>
        </w:tc>
        <w:tc>
          <w:tcPr>
            <w:tcW w:w="1362" w:type="dxa"/>
          </w:tcPr>
          <w:p w14:paraId="39E9768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0.016</w:t>
            </w:r>
          </w:p>
        </w:tc>
        <w:tc>
          <w:tcPr>
            <w:tcW w:w="2222" w:type="dxa"/>
          </w:tcPr>
          <w:p w14:paraId="4C75385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47FF41E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44D03879" w14:textId="77777777" w:rsidTr="00374B30">
        <w:tc>
          <w:tcPr>
            <w:tcW w:w="827" w:type="dxa"/>
            <w:vMerge/>
            <w:vAlign w:val="center"/>
          </w:tcPr>
          <w:p w14:paraId="6BD2F5FA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1733664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29E70EA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0.59</w:t>
            </w:r>
          </w:p>
        </w:tc>
        <w:tc>
          <w:tcPr>
            <w:tcW w:w="1362" w:type="dxa"/>
          </w:tcPr>
          <w:p w14:paraId="2029EF3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0.016</w:t>
            </w:r>
          </w:p>
        </w:tc>
        <w:tc>
          <w:tcPr>
            <w:tcW w:w="2222" w:type="dxa"/>
          </w:tcPr>
          <w:p w14:paraId="03CBD772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&lt;0.001</w:t>
            </w:r>
          </w:p>
        </w:tc>
        <w:tc>
          <w:tcPr>
            <w:tcW w:w="2357" w:type="dxa"/>
          </w:tcPr>
          <w:p w14:paraId="3E14F38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0.676</w:t>
            </w:r>
          </w:p>
        </w:tc>
      </w:tr>
      <w:tr w:rsidR="0075438D" w14:paraId="24A31498" w14:textId="77777777" w:rsidTr="00374B30">
        <w:tc>
          <w:tcPr>
            <w:tcW w:w="827" w:type="dxa"/>
            <w:vMerge w:val="restart"/>
            <w:vAlign w:val="center"/>
          </w:tcPr>
          <w:p w14:paraId="0313420B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2</w:t>
            </w:r>
          </w:p>
        </w:tc>
        <w:tc>
          <w:tcPr>
            <w:tcW w:w="2137" w:type="dxa"/>
          </w:tcPr>
          <w:p w14:paraId="14D9496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6EE2EBF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0.65</w:t>
            </w:r>
          </w:p>
        </w:tc>
        <w:tc>
          <w:tcPr>
            <w:tcW w:w="1362" w:type="dxa"/>
          </w:tcPr>
          <w:p w14:paraId="1283158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0.017</w:t>
            </w:r>
          </w:p>
        </w:tc>
        <w:tc>
          <w:tcPr>
            <w:tcW w:w="2222" w:type="dxa"/>
          </w:tcPr>
          <w:p w14:paraId="49DDE23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603D243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4A23975C" w14:textId="77777777" w:rsidTr="00374B30">
        <w:tc>
          <w:tcPr>
            <w:tcW w:w="827" w:type="dxa"/>
            <w:vMerge/>
            <w:vAlign w:val="center"/>
          </w:tcPr>
          <w:p w14:paraId="1F59D10E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53B5C4A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7F4607D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</w:tcPr>
          <w:p w14:paraId="3CA7C6C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0.017</w:t>
            </w:r>
          </w:p>
        </w:tc>
        <w:tc>
          <w:tcPr>
            <w:tcW w:w="2222" w:type="dxa"/>
          </w:tcPr>
          <w:p w14:paraId="0B80B98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0.002</w:t>
            </w:r>
          </w:p>
        </w:tc>
        <w:tc>
          <w:tcPr>
            <w:tcW w:w="2357" w:type="dxa"/>
          </w:tcPr>
          <w:p w14:paraId="64591FB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1AD42E00" w14:textId="77777777" w:rsidTr="00374B30">
        <w:tc>
          <w:tcPr>
            <w:tcW w:w="827" w:type="dxa"/>
            <w:vMerge/>
            <w:vAlign w:val="center"/>
          </w:tcPr>
          <w:p w14:paraId="52728E5F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0FCCA636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391114F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0.58</w:t>
            </w:r>
          </w:p>
        </w:tc>
        <w:tc>
          <w:tcPr>
            <w:tcW w:w="1362" w:type="dxa"/>
          </w:tcPr>
          <w:p w14:paraId="5F5E668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0.017</w:t>
            </w:r>
          </w:p>
        </w:tc>
        <w:tc>
          <w:tcPr>
            <w:tcW w:w="2222" w:type="dxa"/>
          </w:tcPr>
          <w:p w14:paraId="438F38B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0.002</w:t>
            </w:r>
          </w:p>
        </w:tc>
        <w:tc>
          <w:tcPr>
            <w:tcW w:w="2357" w:type="dxa"/>
          </w:tcPr>
          <w:p w14:paraId="68803DE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0.177</w:t>
            </w:r>
          </w:p>
        </w:tc>
      </w:tr>
      <w:tr w:rsidR="0075438D" w14:paraId="01548360" w14:textId="77777777" w:rsidTr="00374B30">
        <w:tc>
          <w:tcPr>
            <w:tcW w:w="827" w:type="dxa"/>
            <w:vMerge w:val="restart"/>
            <w:vAlign w:val="center"/>
          </w:tcPr>
          <w:p w14:paraId="58F5705E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2.5</w:t>
            </w:r>
          </w:p>
        </w:tc>
        <w:tc>
          <w:tcPr>
            <w:tcW w:w="2137" w:type="dxa"/>
          </w:tcPr>
          <w:p w14:paraId="5AE4B31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12B77D9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0.62</w:t>
            </w:r>
          </w:p>
        </w:tc>
        <w:tc>
          <w:tcPr>
            <w:tcW w:w="1362" w:type="dxa"/>
          </w:tcPr>
          <w:p w14:paraId="245A6DA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0.025</w:t>
            </w:r>
          </w:p>
        </w:tc>
        <w:tc>
          <w:tcPr>
            <w:tcW w:w="2222" w:type="dxa"/>
          </w:tcPr>
          <w:p w14:paraId="3C2CE73F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21B03E5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6A066C5B" w14:textId="77777777" w:rsidTr="00374B30">
        <w:tc>
          <w:tcPr>
            <w:tcW w:w="827" w:type="dxa"/>
            <w:vMerge/>
            <w:vAlign w:val="center"/>
          </w:tcPr>
          <w:p w14:paraId="22409F57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242D9F8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054ECC7D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0.62</w:t>
            </w:r>
          </w:p>
        </w:tc>
        <w:tc>
          <w:tcPr>
            <w:tcW w:w="1362" w:type="dxa"/>
          </w:tcPr>
          <w:p w14:paraId="3B07949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0.023</w:t>
            </w:r>
          </w:p>
        </w:tc>
        <w:tc>
          <w:tcPr>
            <w:tcW w:w="2222" w:type="dxa"/>
          </w:tcPr>
          <w:p w14:paraId="2CDC376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0.795</w:t>
            </w:r>
          </w:p>
        </w:tc>
        <w:tc>
          <w:tcPr>
            <w:tcW w:w="2357" w:type="dxa"/>
          </w:tcPr>
          <w:p w14:paraId="1745C0E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463C6EBE" w14:textId="77777777" w:rsidTr="00374B30">
        <w:tc>
          <w:tcPr>
            <w:tcW w:w="827" w:type="dxa"/>
            <w:vMerge/>
            <w:vAlign w:val="center"/>
          </w:tcPr>
          <w:p w14:paraId="1377C45D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74B4ED7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5C05D0B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</w:tcPr>
          <w:p w14:paraId="66257743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0.025</w:t>
            </w:r>
          </w:p>
        </w:tc>
        <w:tc>
          <w:tcPr>
            <w:tcW w:w="2222" w:type="dxa"/>
          </w:tcPr>
          <w:p w14:paraId="465D43AB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0.504</w:t>
            </w:r>
          </w:p>
        </w:tc>
        <w:tc>
          <w:tcPr>
            <w:tcW w:w="2357" w:type="dxa"/>
          </w:tcPr>
          <w:p w14:paraId="02F9DA6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0.356</w:t>
            </w:r>
          </w:p>
        </w:tc>
      </w:tr>
      <w:tr w:rsidR="0075438D" w14:paraId="58CD6E1B" w14:textId="77777777" w:rsidTr="00374B30">
        <w:tc>
          <w:tcPr>
            <w:tcW w:w="827" w:type="dxa"/>
            <w:vMerge w:val="restart"/>
            <w:vAlign w:val="center"/>
          </w:tcPr>
          <w:p w14:paraId="17715A40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3</w:t>
            </w:r>
          </w:p>
        </w:tc>
        <w:tc>
          <w:tcPr>
            <w:tcW w:w="2137" w:type="dxa"/>
          </w:tcPr>
          <w:p w14:paraId="72A010F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KCCQ overall score</w:t>
            </w:r>
          </w:p>
        </w:tc>
        <w:tc>
          <w:tcPr>
            <w:tcW w:w="1870" w:type="dxa"/>
          </w:tcPr>
          <w:p w14:paraId="01B75A5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0.59</w:t>
            </w:r>
          </w:p>
        </w:tc>
        <w:tc>
          <w:tcPr>
            <w:tcW w:w="1362" w:type="dxa"/>
          </w:tcPr>
          <w:p w14:paraId="7210FB64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0.065</w:t>
            </w:r>
          </w:p>
        </w:tc>
        <w:tc>
          <w:tcPr>
            <w:tcW w:w="2222" w:type="dxa"/>
          </w:tcPr>
          <w:p w14:paraId="108911F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  <w:tc>
          <w:tcPr>
            <w:tcW w:w="2357" w:type="dxa"/>
          </w:tcPr>
          <w:p w14:paraId="7583B541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0BC671B4" w14:textId="77777777" w:rsidTr="00374B30">
        <w:tc>
          <w:tcPr>
            <w:tcW w:w="827" w:type="dxa"/>
            <w:vMerge/>
            <w:vAlign w:val="center"/>
          </w:tcPr>
          <w:p w14:paraId="5C05E670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69662E5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utility score</w:t>
            </w:r>
          </w:p>
        </w:tc>
        <w:tc>
          <w:tcPr>
            <w:tcW w:w="1870" w:type="dxa"/>
          </w:tcPr>
          <w:p w14:paraId="100D2078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0.60</w:t>
            </w:r>
          </w:p>
        </w:tc>
        <w:tc>
          <w:tcPr>
            <w:tcW w:w="1362" w:type="dxa"/>
          </w:tcPr>
          <w:p w14:paraId="62A3530A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0.078</w:t>
            </w:r>
          </w:p>
        </w:tc>
        <w:tc>
          <w:tcPr>
            <w:tcW w:w="2222" w:type="dxa"/>
          </w:tcPr>
          <w:p w14:paraId="2EB5905C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0.898</w:t>
            </w:r>
          </w:p>
        </w:tc>
        <w:tc>
          <w:tcPr>
            <w:tcW w:w="2357" w:type="dxa"/>
          </w:tcPr>
          <w:p w14:paraId="066FD83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-</w:t>
            </w:r>
          </w:p>
        </w:tc>
      </w:tr>
      <w:tr w:rsidR="0075438D" w14:paraId="43FE3C9F" w14:textId="77777777" w:rsidTr="00374B30">
        <w:tc>
          <w:tcPr>
            <w:tcW w:w="827" w:type="dxa"/>
            <w:vMerge/>
            <w:vAlign w:val="center"/>
          </w:tcPr>
          <w:p w14:paraId="5704B0F3" w14:textId="77777777" w:rsidR="0075438D" w:rsidRDefault="0075438D" w:rsidP="00374B30">
            <w:pPr>
              <w:jc w:val="center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137" w:type="dxa"/>
          </w:tcPr>
          <w:p w14:paraId="6A053AB5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EQ-5D VAS score</w:t>
            </w:r>
          </w:p>
        </w:tc>
        <w:tc>
          <w:tcPr>
            <w:tcW w:w="1870" w:type="dxa"/>
          </w:tcPr>
          <w:p w14:paraId="65AA2930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0.59</w:t>
            </w:r>
          </w:p>
        </w:tc>
        <w:tc>
          <w:tcPr>
            <w:tcW w:w="1362" w:type="dxa"/>
          </w:tcPr>
          <w:p w14:paraId="4BFB04CE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0.069</w:t>
            </w:r>
          </w:p>
        </w:tc>
        <w:tc>
          <w:tcPr>
            <w:tcW w:w="2222" w:type="dxa"/>
          </w:tcPr>
          <w:p w14:paraId="77F44207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0.947</w:t>
            </w:r>
          </w:p>
        </w:tc>
        <w:tc>
          <w:tcPr>
            <w:tcW w:w="2357" w:type="dxa"/>
          </w:tcPr>
          <w:p w14:paraId="7095F5A9" w14:textId="77777777" w:rsidR="0075438D" w:rsidRDefault="0075438D" w:rsidP="00374B30">
            <w:pPr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0.828</w:t>
            </w:r>
          </w:p>
        </w:tc>
      </w:tr>
    </w:tbl>
    <w:p w14:paraId="0B686CB7" w14:textId="24E852E0" w:rsidR="0075438D" w:rsidRDefault="006D5700" w:rsidP="0075438D">
      <w:pPr>
        <w:rPr>
          <w:rFonts w:ascii="Times New Roman" w:eastAsia="Times New Roman" w:hAnsi="Times New Roman" w:cs="Times New Roman"/>
          <w:lang w:val="en-GB" w:eastAsia="nl-NL"/>
        </w:rPr>
      </w:pPr>
      <w:r w:rsidRPr="003D3009">
        <w:rPr>
          <w:rFonts w:ascii="Times New Roman" w:hAnsi="Times New Roman" w:cs="Times New Roman"/>
          <w:lang w:val="en-US"/>
        </w:rPr>
        <w:t xml:space="preserve">Legend: </w:t>
      </w:r>
      <w:r w:rsidR="000A0BA2">
        <w:rPr>
          <w:rFonts w:ascii="Times New Roman" w:hAnsi="Times New Roman" w:cs="Times New Roman"/>
          <w:lang w:val="en-US"/>
        </w:rPr>
        <w:t xml:space="preserve">AUC= area under the curve; </w:t>
      </w:r>
      <w:r w:rsidRPr="003D3009">
        <w:rPr>
          <w:rFonts w:ascii="Times New Roman" w:hAnsi="Times New Roman" w:cs="Times New Roman"/>
          <w:lang w:val="en-US"/>
        </w:rPr>
        <w:t xml:space="preserve">EQ-5D= </w:t>
      </w:r>
      <w:proofErr w:type="spellStart"/>
      <w:r w:rsidR="002C4130">
        <w:rPr>
          <w:rFonts w:ascii="Times New Roman" w:hAnsi="Times New Roman" w:cs="Times New Roman"/>
          <w:lang w:val="en-US"/>
        </w:rPr>
        <w:t>EuroQoL</w:t>
      </w:r>
      <w:proofErr w:type="spellEnd"/>
      <w:r w:rsidR="002C4130">
        <w:rPr>
          <w:rFonts w:ascii="Times New Roman" w:hAnsi="Times New Roman" w:cs="Times New Roman"/>
          <w:lang w:val="en-US"/>
        </w:rPr>
        <w:t xml:space="preserve"> 5 dimensions</w:t>
      </w:r>
      <w:proofErr w:type="gramStart"/>
      <w:r w:rsidRPr="003D3009">
        <w:rPr>
          <w:rFonts w:ascii="Times New Roman" w:hAnsi="Times New Roman" w:cs="Times New Roman"/>
          <w:lang w:val="en-US"/>
        </w:rPr>
        <w:t>;  KCCQ</w:t>
      </w:r>
      <w:proofErr w:type="gramEnd"/>
      <w:r w:rsidRPr="003D3009">
        <w:rPr>
          <w:rFonts w:ascii="Times New Roman" w:hAnsi="Times New Roman" w:cs="Times New Roman"/>
          <w:lang w:val="en-US"/>
        </w:rPr>
        <w:t>= Kansas City Cardiomyopathy Questionnaire;</w:t>
      </w:r>
      <w:r w:rsidR="000A0BA2">
        <w:rPr>
          <w:rFonts w:ascii="Times New Roman" w:hAnsi="Times New Roman" w:cs="Times New Roman"/>
          <w:lang w:val="en-US"/>
        </w:rPr>
        <w:t xml:space="preserve"> ROC= receiver operating characteristic;</w:t>
      </w:r>
      <w:r w:rsidRPr="003D3009">
        <w:rPr>
          <w:rFonts w:ascii="Times New Roman" w:hAnsi="Times New Roman" w:cs="Times New Roman"/>
          <w:lang w:val="en-US"/>
        </w:rPr>
        <w:t xml:space="preserve"> </w:t>
      </w:r>
      <w:r w:rsidR="00961CCD">
        <w:rPr>
          <w:rFonts w:ascii="Times New Roman" w:hAnsi="Times New Roman" w:cs="Times New Roman"/>
          <w:lang w:val="en-US"/>
        </w:rPr>
        <w:t>SE= standard error;</w:t>
      </w:r>
      <w:r w:rsidRPr="003D3009">
        <w:rPr>
          <w:rFonts w:ascii="Times New Roman" w:hAnsi="Times New Roman" w:cs="Times New Roman"/>
          <w:lang w:val="en-US"/>
        </w:rPr>
        <w:t xml:space="preserve"> VAS= visual analogue scale.</w:t>
      </w:r>
    </w:p>
    <w:p w14:paraId="401F70DD" w14:textId="77777777" w:rsidR="0075438D" w:rsidRDefault="0075438D" w:rsidP="0075438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6A31B8C" w14:textId="506581A0" w:rsidR="00AE542D" w:rsidRDefault="00A165C8" w:rsidP="0079093C">
      <w:pPr>
        <w:rPr>
          <w:rFonts w:ascii="Times New Roman" w:eastAsia="Times New Roman" w:hAnsi="Times New Roman" w:cs="Times New Roman"/>
          <w:lang w:val="en-GB" w:eastAsia="nl-NL"/>
        </w:rPr>
      </w:pPr>
      <w:r>
        <w:rPr>
          <w:rFonts w:ascii="Times New Roman" w:eastAsia="Times New Roman" w:hAnsi="Times New Roman" w:cs="Times New Roman"/>
          <w:b/>
          <w:lang w:val="en-GB" w:eastAsia="nl-NL"/>
        </w:rPr>
        <w:t xml:space="preserve"> Table </w:t>
      </w:r>
      <w:r w:rsidR="00833277">
        <w:rPr>
          <w:rFonts w:ascii="Times New Roman" w:eastAsia="Times New Roman" w:hAnsi="Times New Roman" w:cs="Times New Roman"/>
          <w:b/>
          <w:lang w:val="en-GB" w:eastAsia="nl-NL"/>
        </w:rPr>
        <w:t>S</w:t>
      </w:r>
      <w:r w:rsidR="00DD5182">
        <w:rPr>
          <w:rFonts w:ascii="Times New Roman" w:eastAsia="Times New Roman" w:hAnsi="Times New Roman" w:cs="Times New Roman"/>
          <w:b/>
          <w:lang w:val="en-GB" w:eastAsia="nl-NL"/>
        </w:rPr>
        <w:t>8</w:t>
      </w:r>
      <w:r w:rsidR="0079093C">
        <w:rPr>
          <w:rFonts w:ascii="Times New Roman" w:eastAsia="Times New Roman" w:hAnsi="Times New Roman" w:cs="Times New Roman"/>
          <w:b/>
          <w:lang w:val="en-GB" w:eastAsia="nl-NL"/>
        </w:rPr>
        <w:t xml:space="preserve">. </w:t>
      </w:r>
      <w:r w:rsidR="0079093C" w:rsidRPr="0079093C">
        <w:rPr>
          <w:rFonts w:ascii="Times New Roman" w:eastAsia="Times New Roman" w:hAnsi="Times New Roman" w:cs="Times New Roman"/>
          <w:lang w:val="en-GB" w:eastAsia="nl-NL"/>
        </w:rPr>
        <w:t xml:space="preserve">Reclassification among </w:t>
      </w:r>
      <w:r w:rsidR="00FB7E5F">
        <w:rPr>
          <w:rFonts w:ascii="Times New Roman" w:eastAsia="Times New Roman" w:hAnsi="Times New Roman" w:cs="Times New Roman"/>
          <w:lang w:val="en-GB" w:eastAsia="nl-NL"/>
        </w:rPr>
        <w:t xml:space="preserve">people who </w:t>
      </w:r>
      <w:r w:rsidR="007F7C23">
        <w:rPr>
          <w:rFonts w:ascii="Times New Roman" w:eastAsia="Times New Roman" w:hAnsi="Times New Roman" w:cs="Times New Roman"/>
          <w:lang w:val="en-GB" w:eastAsia="nl-NL"/>
        </w:rPr>
        <w:t>experienced or did not experience each studied outcome</w:t>
      </w:r>
      <w:r w:rsidR="0079093C">
        <w:rPr>
          <w:rFonts w:ascii="Times New Roman" w:eastAsia="Times New Roman" w:hAnsi="Times New Roman" w:cs="Times New Roman"/>
          <w:lang w:val="en-GB" w:eastAsia="nl-NL"/>
        </w:rPr>
        <w:t xml:space="preserve"> at </w:t>
      </w:r>
      <w:r w:rsidR="000A0BA2">
        <w:rPr>
          <w:rFonts w:ascii="Times New Roman" w:eastAsia="Times New Roman" w:hAnsi="Times New Roman" w:cs="Times New Roman"/>
          <w:lang w:val="en-GB" w:eastAsia="nl-NL"/>
        </w:rPr>
        <w:t>one</w:t>
      </w:r>
      <w:r w:rsidR="0079093C">
        <w:rPr>
          <w:rFonts w:ascii="Times New Roman" w:eastAsia="Times New Roman" w:hAnsi="Times New Roman" w:cs="Times New Roman"/>
          <w:lang w:val="en-GB" w:eastAsia="nl-NL"/>
        </w:rPr>
        <w:t xml:space="preserve"> yea</w:t>
      </w:r>
      <w:r w:rsidR="007F7C23">
        <w:rPr>
          <w:rFonts w:ascii="Times New Roman" w:eastAsia="Times New Roman" w:hAnsi="Times New Roman" w:cs="Times New Roman"/>
          <w:lang w:val="en-GB" w:eastAsia="nl-NL"/>
        </w:rPr>
        <w:t>r,</w:t>
      </w:r>
      <w:r w:rsidR="00E56058">
        <w:rPr>
          <w:rFonts w:ascii="Times New Roman" w:eastAsia="Times New Roman" w:hAnsi="Times New Roman" w:cs="Times New Roman"/>
          <w:lang w:val="en-GB" w:eastAsia="nl-NL"/>
        </w:rPr>
        <w:t xml:space="preserve"> comparing </w:t>
      </w:r>
      <w:r w:rsidR="007F7C23">
        <w:rPr>
          <w:rFonts w:ascii="Times New Roman" w:eastAsia="Times New Roman" w:hAnsi="Times New Roman" w:cs="Times New Roman"/>
          <w:lang w:val="en-GB" w:eastAsia="nl-NL"/>
        </w:rPr>
        <w:t>different quality of life measures</w:t>
      </w:r>
      <w:r w:rsidR="00E56058">
        <w:rPr>
          <w:rFonts w:ascii="Times New Roman" w:eastAsia="Times New Roman" w:hAnsi="Times New Roman" w:cs="Times New Roman"/>
          <w:lang w:val="en-GB" w:eastAsia="nl-NL"/>
        </w:rPr>
        <w:t xml:space="preserve"> (</w:t>
      </w:r>
      <w:r w:rsidR="00E56058" w:rsidRPr="008902BF">
        <w:rPr>
          <w:rFonts w:ascii="Times New Roman" w:eastAsia="Times New Roman" w:hAnsi="Times New Roman" w:cs="Times New Roman"/>
          <w:b/>
          <w:bCs/>
          <w:lang w:val="en-GB" w:eastAsia="nl-NL"/>
        </w:rPr>
        <w:t>A-C-E</w:t>
      </w:r>
      <w:r w:rsidR="00E56058">
        <w:rPr>
          <w:rFonts w:ascii="Times New Roman" w:eastAsia="Times New Roman" w:hAnsi="Times New Roman" w:cs="Times New Roman"/>
          <w:lang w:val="en-GB" w:eastAsia="nl-NL"/>
        </w:rPr>
        <w:t>) or the use of quality of life measures on top of the BIOSTAT risk model for each explored outcome (</w:t>
      </w:r>
      <w:r w:rsidR="00E56058" w:rsidRPr="008902BF">
        <w:rPr>
          <w:rFonts w:ascii="Times New Roman" w:eastAsia="Times New Roman" w:hAnsi="Times New Roman" w:cs="Times New Roman"/>
          <w:b/>
          <w:bCs/>
          <w:lang w:val="en-GB" w:eastAsia="nl-NL"/>
        </w:rPr>
        <w:t>B-D-F</w:t>
      </w:r>
      <w:r w:rsidR="00E56058">
        <w:rPr>
          <w:rFonts w:ascii="Times New Roman" w:eastAsia="Times New Roman" w:hAnsi="Times New Roman" w:cs="Times New Roman"/>
          <w:lang w:val="en-GB" w:eastAsia="nl-NL"/>
        </w:rPr>
        <w:t>)</w:t>
      </w:r>
      <w:r w:rsidR="007F7C23">
        <w:rPr>
          <w:rFonts w:ascii="Times New Roman" w:eastAsia="Times New Roman" w:hAnsi="Times New Roman" w:cs="Times New Roman"/>
          <w:lang w:val="en-GB" w:eastAsia="nl-NL"/>
        </w:rPr>
        <w:t>.</w:t>
      </w:r>
      <w:r w:rsidR="0079093C" w:rsidRPr="0079093C">
        <w:rPr>
          <w:rFonts w:ascii="Times New Roman" w:eastAsia="Times New Roman" w:hAnsi="Times New Roman" w:cs="Times New Roman"/>
          <w:lang w:val="en-GB" w:eastAsia="nl-NL"/>
        </w:rPr>
        <w:t xml:space="preserve"> </w:t>
      </w:r>
      <w:r w:rsidRPr="00A165C8">
        <w:rPr>
          <w:rFonts w:ascii="Times New Roman" w:eastAsia="Times New Roman" w:hAnsi="Times New Roman" w:cs="Times New Roman"/>
          <w:b/>
          <w:lang w:val="en-GB" w:eastAsia="nl-NL"/>
        </w:rPr>
        <w:t>(</w:t>
      </w:r>
      <w:r w:rsidR="007F7C23">
        <w:rPr>
          <w:rFonts w:ascii="Times New Roman" w:eastAsia="Times New Roman" w:hAnsi="Times New Roman" w:cs="Times New Roman"/>
          <w:b/>
          <w:lang w:val="en-GB" w:eastAsia="nl-NL"/>
        </w:rPr>
        <w:t>A</w:t>
      </w:r>
      <w:r w:rsidR="00E56058">
        <w:rPr>
          <w:rFonts w:ascii="Times New Roman" w:eastAsia="Times New Roman" w:hAnsi="Times New Roman" w:cs="Times New Roman"/>
          <w:b/>
          <w:lang w:val="en-GB" w:eastAsia="nl-NL"/>
        </w:rPr>
        <w:t>-B</w:t>
      </w:r>
      <w:r w:rsidRPr="00A165C8">
        <w:rPr>
          <w:rFonts w:ascii="Times New Roman" w:eastAsia="Times New Roman" w:hAnsi="Times New Roman" w:cs="Times New Roman"/>
          <w:b/>
          <w:lang w:val="en-GB" w:eastAsia="nl-NL"/>
        </w:rPr>
        <w:t>)</w:t>
      </w:r>
      <w:r>
        <w:rPr>
          <w:rFonts w:ascii="Times New Roman" w:eastAsia="Times New Roman" w:hAnsi="Times New Roman" w:cs="Times New Roman"/>
          <w:lang w:val="en-GB" w:eastAsia="nl-NL"/>
        </w:rPr>
        <w:t xml:space="preserve"> </w:t>
      </w:r>
      <w:r w:rsidR="007F7C23">
        <w:rPr>
          <w:rFonts w:ascii="Times New Roman" w:eastAsia="Times New Roman" w:hAnsi="Times New Roman" w:cs="Times New Roman"/>
          <w:lang w:val="en-GB" w:eastAsia="nl-NL"/>
        </w:rPr>
        <w:t>all-cause death;</w:t>
      </w:r>
      <w:r>
        <w:rPr>
          <w:rFonts w:ascii="Times New Roman" w:eastAsia="Times New Roman" w:hAnsi="Times New Roman" w:cs="Times New Roman"/>
          <w:lang w:val="en-GB" w:eastAsia="nl-NL"/>
        </w:rPr>
        <w:t xml:space="preserve"> </w:t>
      </w:r>
      <w:r w:rsidRPr="00A165C8">
        <w:rPr>
          <w:rFonts w:ascii="Times New Roman" w:eastAsia="Times New Roman" w:hAnsi="Times New Roman" w:cs="Times New Roman"/>
          <w:b/>
          <w:lang w:val="en-GB" w:eastAsia="nl-NL"/>
        </w:rPr>
        <w:t>(</w:t>
      </w:r>
      <w:r w:rsidR="00E56058">
        <w:rPr>
          <w:rFonts w:ascii="Times New Roman" w:eastAsia="Times New Roman" w:hAnsi="Times New Roman" w:cs="Times New Roman"/>
          <w:b/>
          <w:lang w:val="en-GB" w:eastAsia="nl-NL"/>
        </w:rPr>
        <w:t>C-D</w:t>
      </w:r>
      <w:r w:rsidRPr="00A165C8">
        <w:rPr>
          <w:rFonts w:ascii="Times New Roman" w:eastAsia="Times New Roman" w:hAnsi="Times New Roman" w:cs="Times New Roman"/>
          <w:b/>
          <w:lang w:val="en-GB" w:eastAsia="nl-NL"/>
        </w:rPr>
        <w:t>)</w:t>
      </w:r>
      <w:r>
        <w:rPr>
          <w:rFonts w:ascii="Times New Roman" w:eastAsia="Times New Roman" w:hAnsi="Times New Roman" w:cs="Times New Roman"/>
          <w:lang w:val="en-GB" w:eastAsia="nl-NL"/>
        </w:rPr>
        <w:t xml:space="preserve"> </w:t>
      </w:r>
      <w:r w:rsidR="007F7C23">
        <w:rPr>
          <w:rFonts w:ascii="Times New Roman" w:eastAsia="Times New Roman" w:hAnsi="Times New Roman" w:cs="Times New Roman"/>
          <w:lang w:val="en-GB" w:eastAsia="nl-NL"/>
        </w:rPr>
        <w:t>heart failure hospitalization</w:t>
      </w:r>
      <w:r>
        <w:rPr>
          <w:rFonts w:ascii="Times New Roman" w:eastAsia="Times New Roman" w:hAnsi="Times New Roman" w:cs="Times New Roman"/>
          <w:lang w:val="en-GB" w:eastAsia="nl-NL"/>
        </w:rPr>
        <w:t xml:space="preserve">; </w:t>
      </w:r>
      <w:r w:rsidRPr="00A165C8">
        <w:rPr>
          <w:rFonts w:ascii="Times New Roman" w:eastAsia="Times New Roman" w:hAnsi="Times New Roman" w:cs="Times New Roman"/>
          <w:b/>
          <w:lang w:val="en-GB" w:eastAsia="nl-NL"/>
        </w:rPr>
        <w:t>(</w:t>
      </w:r>
      <w:r w:rsidR="00E56058">
        <w:rPr>
          <w:rFonts w:ascii="Times New Roman" w:eastAsia="Times New Roman" w:hAnsi="Times New Roman" w:cs="Times New Roman"/>
          <w:b/>
          <w:lang w:val="en-GB" w:eastAsia="nl-NL"/>
        </w:rPr>
        <w:t>E-F</w:t>
      </w:r>
      <w:r w:rsidRPr="00A165C8">
        <w:rPr>
          <w:rFonts w:ascii="Times New Roman" w:eastAsia="Times New Roman" w:hAnsi="Times New Roman" w:cs="Times New Roman"/>
          <w:b/>
          <w:lang w:val="en-GB" w:eastAsia="nl-NL"/>
        </w:rPr>
        <w:t>)</w:t>
      </w:r>
      <w:r>
        <w:rPr>
          <w:rFonts w:ascii="Times New Roman" w:eastAsia="Times New Roman" w:hAnsi="Times New Roman" w:cs="Times New Roman"/>
          <w:lang w:val="en-GB" w:eastAsia="nl-NL"/>
        </w:rPr>
        <w:t xml:space="preserve"> </w:t>
      </w:r>
      <w:r w:rsidR="007F7C23">
        <w:rPr>
          <w:rFonts w:ascii="Times New Roman" w:eastAsia="Times New Roman" w:hAnsi="Times New Roman" w:cs="Times New Roman"/>
          <w:lang w:val="en-GB" w:eastAsia="nl-NL"/>
        </w:rPr>
        <w:t>all-cause death and/or heart failure hospitalization</w:t>
      </w:r>
      <w:r w:rsidR="00E54D41">
        <w:rPr>
          <w:rFonts w:ascii="Times New Roman" w:eastAsia="Times New Roman" w:hAnsi="Times New Roman" w:cs="Times New Roman"/>
          <w:lang w:val="en-GB" w:eastAsia="nl-NL"/>
        </w:rPr>
        <w:t>; net reclassification improvement, NRI (95% confidence interval).</w:t>
      </w:r>
    </w:p>
    <w:p w14:paraId="3F75487A" w14:textId="62133758" w:rsidR="007F7C23" w:rsidRPr="008902BF" w:rsidRDefault="007F7C23" w:rsidP="007F7C23">
      <w:pPr>
        <w:rPr>
          <w:rFonts w:ascii="Times New Roman" w:hAnsi="Times New Roman" w:cs="Times New Roman"/>
          <w:b/>
          <w:bCs/>
          <w:lang w:val="en-US"/>
        </w:rPr>
      </w:pPr>
      <w:r w:rsidRPr="008902BF">
        <w:rPr>
          <w:rFonts w:ascii="Times New Roman" w:hAnsi="Times New Roman" w:cs="Times New Roman"/>
          <w:b/>
          <w:bCs/>
          <w:lang w:val="en-US"/>
        </w:rPr>
        <w:t>(A)</w:t>
      </w:r>
    </w:p>
    <w:tbl>
      <w:tblPr>
        <w:tblStyle w:val="Grilledutableau"/>
        <w:tblW w:w="9929" w:type="dxa"/>
        <w:tblInd w:w="137" w:type="dxa"/>
        <w:tblLook w:val="04A0" w:firstRow="1" w:lastRow="0" w:firstColumn="1" w:lastColumn="0" w:noHBand="0" w:noVBand="1"/>
      </w:tblPr>
      <w:tblGrid>
        <w:gridCol w:w="994"/>
        <w:gridCol w:w="2407"/>
        <w:gridCol w:w="3403"/>
        <w:gridCol w:w="3125"/>
      </w:tblGrid>
      <w:tr w:rsidR="007F7C23" w14:paraId="381A50B5" w14:textId="77777777" w:rsidTr="007F7C23">
        <w:tc>
          <w:tcPr>
            <w:tcW w:w="3401" w:type="dxa"/>
            <w:gridSpan w:val="2"/>
            <w:vMerge w:val="restart"/>
            <w:vAlign w:val="center"/>
          </w:tcPr>
          <w:p w14:paraId="116A4DD6" w14:textId="77777777" w:rsidR="007F7C23" w:rsidRPr="004F0FE2" w:rsidRDefault="007F7C23" w:rsidP="007F7C2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F0FE2">
              <w:rPr>
                <w:rFonts w:ascii="Times New Roman" w:hAnsi="Times New Roman" w:cs="Times New Roman"/>
                <w:b/>
                <w:bCs/>
                <w:lang w:val="en-US"/>
              </w:rPr>
              <w:t>NRI (95% CI)</w:t>
            </w:r>
          </w:p>
        </w:tc>
        <w:tc>
          <w:tcPr>
            <w:tcW w:w="6528" w:type="dxa"/>
            <w:gridSpan w:val="2"/>
            <w:vAlign w:val="center"/>
          </w:tcPr>
          <w:p w14:paraId="3638B23B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 model</w:t>
            </w:r>
          </w:p>
        </w:tc>
      </w:tr>
      <w:tr w:rsidR="007F7C23" w14:paraId="7DBB5DD0" w14:textId="77777777" w:rsidTr="007F7C23">
        <w:tc>
          <w:tcPr>
            <w:tcW w:w="3401" w:type="dxa"/>
            <w:gridSpan w:val="2"/>
            <w:vMerge/>
          </w:tcPr>
          <w:p w14:paraId="64971056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125A9241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utility score</w:t>
            </w:r>
          </w:p>
        </w:tc>
        <w:tc>
          <w:tcPr>
            <w:tcW w:w="3125" w:type="dxa"/>
            <w:vAlign w:val="center"/>
          </w:tcPr>
          <w:p w14:paraId="37A98761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VAS</w:t>
            </w:r>
          </w:p>
        </w:tc>
      </w:tr>
      <w:tr w:rsidR="007F7C23" w14:paraId="72ED2706" w14:textId="77777777" w:rsidTr="007F7C23">
        <w:trPr>
          <w:trHeight w:val="499"/>
        </w:trPr>
        <w:tc>
          <w:tcPr>
            <w:tcW w:w="994" w:type="dxa"/>
            <w:vMerge w:val="restart"/>
            <w:textDirection w:val="btLr"/>
            <w:vAlign w:val="center"/>
          </w:tcPr>
          <w:p w14:paraId="180B0301" w14:textId="77777777" w:rsidR="007F7C23" w:rsidRDefault="007F7C23" w:rsidP="007F7C23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 model</w:t>
            </w:r>
          </w:p>
        </w:tc>
        <w:tc>
          <w:tcPr>
            <w:tcW w:w="2407" w:type="dxa"/>
            <w:vAlign w:val="center"/>
          </w:tcPr>
          <w:p w14:paraId="797EFC60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KCCQ overall score</w:t>
            </w:r>
          </w:p>
        </w:tc>
        <w:tc>
          <w:tcPr>
            <w:tcW w:w="3403" w:type="dxa"/>
            <w:vAlign w:val="center"/>
          </w:tcPr>
          <w:p w14:paraId="17A4E5DD" w14:textId="77777777" w:rsidR="007F7C23" w:rsidRDefault="007F7C23" w:rsidP="007F7C23">
            <w:pPr>
              <w:ind w:right="-96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0.089 (-0.023 - 0.224 )</w:t>
            </w:r>
          </w:p>
        </w:tc>
        <w:tc>
          <w:tcPr>
            <w:tcW w:w="3125" w:type="dxa"/>
            <w:vAlign w:val="center"/>
          </w:tcPr>
          <w:p w14:paraId="2C1313D9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0.268 (0.123-0.383)</w:t>
            </w:r>
          </w:p>
        </w:tc>
      </w:tr>
      <w:tr w:rsidR="007F7C23" w14:paraId="610330B5" w14:textId="77777777" w:rsidTr="007F7C23">
        <w:trPr>
          <w:trHeight w:val="549"/>
        </w:trPr>
        <w:tc>
          <w:tcPr>
            <w:tcW w:w="994" w:type="dxa"/>
            <w:vMerge/>
          </w:tcPr>
          <w:p w14:paraId="0EFEFE0E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67650FB6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utility score</w:t>
            </w:r>
          </w:p>
        </w:tc>
        <w:tc>
          <w:tcPr>
            <w:tcW w:w="3403" w:type="dxa"/>
            <w:vAlign w:val="center"/>
          </w:tcPr>
          <w:p w14:paraId="2B18B4E6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25" w:type="dxa"/>
            <w:vAlign w:val="center"/>
          </w:tcPr>
          <w:p w14:paraId="6DE0B817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0.146 ( 0.002-0.281)</w:t>
            </w:r>
          </w:p>
        </w:tc>
      </w:tr>
    </w:tbl>
    <w:p w14:paraId="52706E63" w14:textId="77777777" w:rsidR="007F7C23" w:rsidRDefault="007F7C23" w:rsidP="007F7C23">
      <w:pPr>
        <w:rPr>
          <w:rFonts w:ascii="Times New Roman" w:hAnsi="Times New Roman" w:cs="Times New Roman"/>
          <w:lang w:val="en-US"/>
        </w:rPr>
      </w:pPr>
    </w:p>
    <w:p w14:paraId="145A68E6" w14:textId="511EFFFF" w:rsidR="00E56058" w:rsidRPr="008902BF" w:rsidRDefault="00E56058" w:rsidP="00E56058">
      <w:pPr>
        <w:rPr>
          <w:rFonts w:ascii="Times New Roman" w:hAnsi="Times New Roman" w:cs="Times New Roman"/>
          <w:b/>
          <w:bCs/>
          <w:lang w:val="en-US"/>
        </w:rPr>
      </w:pPr>
      <w:r w:rsidRPr="008902BF">
        <w:rPr>
          <w:rFonts w:ascii="Times New Roman" w:hAnsi="Times New Roman" w:cs="Times New Roman"/>
          <w:b/>
          <w:bCs/>
          <w:lang w:val="en-US"/>
        </w:rPr>
        <w:t>(B)</w:t>
      </w:r>
    </w:p>
    <w:tbl>
      <w:tblPr>
        <w:tblStyle w:val="Grilledutableau"/>
        <w:tblW w:w="6804" w:type="dxa"/>
        <w:tblInd w:w="137" w:type="dxa"/>
        <w:tblLook w:val="04A0" w:firstRow="1" w:lastRow="0" w:firstColumn="1" w:lastColumn="0" w:noHBand="0" w:noVBand="1"/>
      </w:tblPr>
      <w:tblGrid>
        <w:gridCol w:w="994"/>
        <w:gridCol w:w="2407"/>
        <w:gridCol w:w="3403"/>
      </w:tblGrid>
      <w:tr w:rsidR="007F7C23" w14:paraId="0FCC8369" w14:textId="77777777" w:rsidTr="007F7C23">
        <w:tc>
          <w:tcPr>
            <w:tcW w:w="3401" w:type="dxa"/>
            <w:gridSpan w:val="2"/>
            <w:vMerge w:val="restart"/>
            <w:vAlign w:val="center"/>
          </w:tcPr>
          <w:p w14:paraId="600F2638" w14:textId="77777777" w:rsidR="007F7C23" w:rsidRPr="004F0FE2" w:rsidRDefault="007F7C23" w:rsidP="007F7C2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F0FE2">
              <w:rPr>
                <w:rFonts w:ascii="Times New Roman" w:hAnsi="Times New Roman" w:cs="Times New Roman"/>
                <w:b/>
                <w:bCs/>
                <w:lang w:val="en-US"/>
              </w:rPr>
              <w:t>NRI (95% CI)</w:t>
            </w:r>
          </w:p>
        </w:tc>
        <w:tc>
          <w:tcPr>
            <w:tcW w:w="3403" w:type="dxa"/>
            <w:vAlign w:val="center"/>
          </w:tcPr>
          <w:p w14:paraId="403A188C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 model</w:t>
            </w:r>
          </w:p>
        </w:tc>
      </w:tr>
      <w:tr w:rsidR="007F7C23" w14:paraId="35A9F9F4" w14:textId="77777777" w:rsidTr="007F7C23">
        <w:tc>
          <w:tcPr>
            <w:tcW w:w="3401" w:type="dxa"/>
            <w:gridSpan w:val="2"/>
            <w:vMerge/>
          </w:tcPr>
          <w:p w14:paraId="33DA10BD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4FC0E1F9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BIOSTAT risk model</w:t>
            </w:r>
          </w:p>
        </w:tc>
      </w:tr>
      <w:tr w:rsidR="007F7C23" w14:paraId="6E0B329F" w14:textId="77777777" w:rsidTr="007F7C23">
        <w:trPr>
          <w:trHeight w:val="499"/>
        </w:trPr>
        <w:tc>
          <w:tcPr>
            <w:tcW w:w="994" w:type="dxa"/>
            <w:vMerge w:val="restart"/>
            <w:textDirection w:val="btLr"/>
            <w:vAlign w:val="center"/>
          </w:tcPr>
          <w:p w14:paraId="54E6E014" w14:textId="77777777" w:rsidR="007F7C23" w:rsidRDefault="007F7C23" w:rsidP="007F7C23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 model</w:t>
            </w:r>
          </w:p>
        </w:tc>
        <w:tc>
          <w:tcPr>
            <w:tcW w:w="2407" w:type="dxa"/>
            <w:vAlign w:val="center"/>
          </w:tcPr>
          <w:p w14:paraId="382F4252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KCCQ overall score + BIOSTAT risk model</w:t>
            </w:r>
          </w:p>
        </w:tc>
        <w:tc>
          <w:tcPr>
            <w:tcW w:w="3403" w:type="dxa"/>
            <w:vAlign w:val="center"/>
          </w:tcPr>
          <w:p w14:paraId="08102294" w14:textId="77777777" w:rsidR="007F7C23" w:rsidRDefault="007F7C23" w:rsidP="007F7C23">
            <w:pPr>
              <w:ind w:right="-96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0.053 (-0.013 – 0.124)</w:t>
            </w:r>
          </w:p>
        </w:tc>
      </w:tr>
      <w:tr w:rsidR="007F7C23" w14:paraId="471B48C5" w14:textId="77777777" w:rsidTr="007F7C23">
        <w:trPr>
          <w:trHeight w:val="549"/>
        </w:trPr>
        <w:tc>
          <w:tcPr>
            <w:tcW w:w="994" w:type="dxa"/>
            <w:vMerge/>
          </w:tcPr>
          <w:p w14:paraId="3EA1FA11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67034533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utility score+ BIOSTAT risk model</w:t>
            </w:r>
          </w:p>
        </w:tc>
        <w:tc>
          <w:tcPr>
            <w:tcW w:w="3403" w:type="dxa"/>
            <w:vAlign w:val="center"/>
          </w:tcPr>
          <w:p w14:paraId="0382AC5E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0.028 ( -0.028 – 0.088)</w:t>
            </w:r>
          </w:p>
        </w:tc>
      </w:tr>
      <w:tr w:rsidR="007F7C23" w14:paraId="4101BBC4" w14:textId="77777777" w:rsidTr="007F7C23">
        <w:trPr>
          <w:trHeight w:val="549"/>
        </w:trPr>
        <w:tc>
          <w:tcPr>
            <w:tcW w:w="994" w:type="dxa"/>
            <w:vMerge/>
          </w:tcPr>
          <w:p w14:paraId="7CC3975D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7692B6E7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VAS + BIOSTAT risk model</w:t>
            </w:r>
          </w:p>
        </w:tc>
        <w:tc>
          <w:tcPr>
            <w:tcW w:w="3403" w:type="dxa"/>
            <w:vAlign w:val="center"/>
          </w:tcPr>
          <w:p w14:paraId="757FC050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0.016 (-0.026 – 0.080)</w:t>
            </w:r>
          </w:p>
        </w:tc>
      </w:tr>
    </w:tbl>
    <w:p w14:paraId="7A8D2E08" w14:textId="297A2883" w:rsidR="007F7C23" w:rsidRDefault="007F7C23" w:rsidP="007F7C23">
      <w:pPr>
        <w:rPr>
          <w:rFonts w:ascii="Times New Roman" w:hAnsi="Times New Roman" w:cs="Times New Roman"/>
          <w:lang w:val="en-US"/>
        </w:rPr>
      </w:pPr>
    </w:p>
    <w:p w14:paraId="5FA62FC1" w14:textId="55E0102C" w:rsidR="00E56058" w:rsidRPr="008902BF" w:rsidRDefault="00E56058" w:rsidP="00E56058">
      <w:pPr>
        <w:rPr>
          <w:rFonts w:ascii="Times New Roman" w:hAnsi="Times New Roman" w:cs="Times New Roman"/>
          <w:b/>
          <w:bCs/>
          <w:lang w:val="en-US"/>
        </w:rPr>
      </w:pPr>
      <w:r w:rsidRPr="008902BF">
        <w:rPr>
          <w:rFonts w:ascii="Times New Roman" w:hAnsi="Times New Roman" w:cs="Times New Roman"/>
          <w:b/>
          <w:bCs/>
          <w:lang w:val="en-US"/>
        </w:rPr>
        <w:t>(C)</w:t>
      </w:r>
    </w:p>
    <w:tbl>
      <w:tblPr>
        <w:tblStyle w:val="Grilledutableau"/>
        <w:tblW w:w="9929" w:type="dxa"/>
        <w:tblInd w:w="137" w:type="dxa"/>
        <w:tblLook w:val="04A0" w:firstRow="1" w:lastRow="0" w:firstColumn="1" w:lastColumn="0" w:noHBand="0" w:noVBand="1"/>
      </w:tblPr>
      <w:tblGrid>
        <w:gridCol w:w="994"/>
        <w:gridCol w:w="2407"/>
        <w:gridCol w:w="3403"/>
        <w:gridCol w:w="3125"/>
      </w:tblGrid>
      <w:tr w:rsidR="00E56058" w14:paraId="5DB103C4" w14:textId="77777777" w:rsidTr="00FB35A4">
        <w:tc>
          <w:tcPr>
            <w:tcW w:w="3401" w:type="dxa"/>
            <w:gridSpan w:val="2"/>
            <w:vMerge w:val="restart"/>
            <w:vAlign w:val="center"/>
          </w:tcPr>
          <w:p w14:paraId="0582E1A6" w14:textId="77777777" w:rsidR="00E56058" w:rsidRPr="004F0FE2" w:rsidRDefault="00E56058" w:rsidP="00FB35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F0FE2">
              <w:rPr>
                <w:rFonts w:ascii="Times New Roman" w:hAnsi="Times New Roman" w:cs="Times New Roman"/>
                <w:b/>
                <w:bCs/>
                <w:lang w:val="en-US"/>
              </w:rPr>
              <w:t>NRI (95% CI)</w:t>
            </w:r>
          </w:p>
        </w:tc>
        <w:tc>
          <w:tcPr>
            <w:tcW w:w="6528" w:type="dxa"/>
            <w:gridSpan w:val="2"/>
            <w:vAlign w:val="center"/>
          </w:tcPr>
          <w:p w14:paraId="09174B50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 model</w:t>
            </w:r>
          </w:p>
        </w:tc>
      </w:tr>
      <w:tr w:rsidR="00E56058" w14:paraId="720E69DC" w14:textId="77777777" w:rsidTr="00FB35A4">
        <w:tc>
          <w:tcPr>
            <w:tcW w:w="3401" w:type="dxa"/>
            <w:gridSpan w:val="2"/>
            <w:vMerge/>
          </w:tcPr>
          <w:p w14:paraId="6AEA6FE2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3ED330B4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utility score</w:t>
            </w:r>
          </w:p>
        </w:tc>
        <w:tc>
          <w:tcPr>
            <w:tcW w:w="3125" w:type="dxa"/>
            <w:vAlign w:val="center"/>
          </w:tcPr>
          <w:p w14:paraId="4700501E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VAS</w:t>
            </w:r>
          </w:p>
        </w:tc>
      </w:tr>
      <w:tr w:rsidR="00E56058" w14:paraId="785DF3C6" w14:textId="77777777" w:rsidTr="00FB35A4">
        <w:trPr>
          <w:trHeight w:val="499"/>
        </w:trPr>
        <w:tc>
          <w:tcPr>
            <w:tcW w:w="994" w:type="dxa"/>
            <w:vMerge w:val="restart"/>
            <w:textDirection w:val="btLr"/>
            <w:vAlign w:val="center"/>
          </w:tcPr>
          <w:p w14:paraId="2E000A65" w14:textId="77777777" w:rsidR="00E56058" w:rsidRDefault="00E56058" w:rsidP="00FB35A4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 model</w:t>
            </w:r>
          </w:p>
        </w:tc>
        <w:tc>
          <w:tcPr>
            <w:tcW w:w="2407" w:type="dxa"/>
            <w:vAlign w:val="center"/>
          </w:tcPr>
          <w:p w14:paraId="529B86B4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KCCQ overall score</w:t>
            </w:r>
          </w:p>
        </w:tc>
        <w:tc>
          <w:tcPr>
            <w:tcW w:w="3403" w:type="dxa"/>
            <w:vAlign w:val="center"/>
          </w:tcPr>
          <w:p w14:paraId="338B8234" w14:textId="77777777" w:rsidR="00E56058" w:rsidRDefault="00E56058" w:rsidP="00FB35A4">
            <w:pPr>
              <w:ind w:right="-96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0.230  (0.091-0.328)</w:t>
            </w:r>
          </w:p>
        </w:tc>
        <w:tc>
          <w:tcPr>
            <w:tcW w:w="3125" w:type="dxa"/>
            <w:vAlign w:val="center"/>
          </w:tcPr>
          <w:p w14:paraId="0A0EE46E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0.272  (0.137-0.370)</w:t>
            </w:r>
          </w:p>
        </w:tc>
      </w:tr>
      <w:tr w:rsidR="00E56058" w14:paraId="04DB1474" w14:textId="77777777" w:rsidTr="00FB35A4">
        <w:trPr>
          <w:trHeight w:val="549"/>
        </w:trPr>
        <w:tc>
          <w:tcPr>
            <w:tcW w:w="994" w:type="dxa"/>
            <w:vMerge/>
          </w:tcPr>
          <w:p w14:paraId="475DEC63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79427CBC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utility score</w:t>
            </w:r>
          </w:p>
        </w:tc>
        <w:tc>
          <w:tcPr>
            <w:tcW w:w="3403" w:type="dxa"/>
            <w:vAlign w:val="center"/>
          </w:tcPr>
          <w:p w14:paraId="06B83249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25" w:type="dxa"/>
            <w:vAlign w:val="center"/>
          </w:tcPr>
          <w:p w14:paraId="636DC2E7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0.058 (-0.166 – 0.059)</w:t>
            </w:r>
          </w:p>
        </w:tc>
      </w:tr>
    </w:tbl>
    <w:p w14:paraId="63AC5545" w14:textId="77777777" w:rsidR="00E56058" w:rsidRDefault="00E56058" w:rsidP="00E56058">
      <w:pPr>
        <w:rPr>
          <w:rFonts w:ascii="Times New Roman" w:hAnsi="Times New Roman" w:cs="Times New Roman"/>
          <w:lang w:val="en-US"/>
        </w:rPr>
      </w:pPr>
    </w:p>
    <w:p w14:paraId="65501B92" w14:textId="6423EBDF" w:rsidR="00E56058" w:rsidRPr="008902BF" w:rsidRDefault="00E56058" w:rsidP="00E56058">
      <w:pPr>
        <w:rPr>
          <w:rFonts w:ascii="Times New Roman" w:hAnsi="Times New Roman" w:cs="Times New Roman"/>
          <w:b/>
          <w:bCs/>
          <w:lang w:val="en-US"/>
        </w:rPr>
      </w:pPr>
      <w:r w:rsidRPr="008902BF">
        <w:rPr>
          <w:rFonts w:ascii="Times New Roman" w:hAnsi="Times New Roman" w:cs="Times New Roman"/>
          <w:b/>
          <w:bCs/>
          <w:lang w:val="en-US"/>
        </w:rPr>
        <w:t>(D)</w:t>
      </w:r>
    </w:p>
    <w:tbl>
      <w:tblPr>
        <w:tblStyle w:val="Grilledutableau"/>
        <w:tblW w:w="6804" w:type="dxa"/>
        <w:tblInd w:w="137" w:type="dxa"/>
        <w:tblLook w:val="04A0" w:firstRow="1" w:lastRow="0" w:firstColumn="1" w:lastColumn="0" w:noHBand="0" w:noVBand="1"/>
      </w:tblPr>
      <w:tblGrid>
        <w:gridCol w:w="994"/>
        <w:gridCol w:w="2407"/>
        <w:gridCol w:w="3403"/>
      </w:tblGrid>
      <w:tr w:rsidR="00E56058" w14:paraId="2A673F4A" w14:textId="77777777" w:rsidTr="00FB35A4">
        <w:tc>
          <w:tcPr>
            <w:tcW w:w="3401" w:type="dxa"/>
            <w:gridSpan w:val="2"/>
            <w:vMerge w:val="restart"/>
            <w:vAlign w:val="center"/>
          </w:tcPr>
          <w:p w14:paraId="4D3E9245" w14:textId="77777777" w:rsidR="00E56058" w:rsidRPr="004F0FE2" w:rsidRDefault="00E56058" w:rsidP="00FB35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F0FE2">
              <w:rPr>
                <w:rFonts w:ascii="Times New Roman" w:hAnsi="Times New Roman" w:cs="Times New Roman"/>
                <w:b/>
                <w:bCs/>
                <w:lang w:val="en-US"/>
              </w:rPr>
              <w:t>NRI (95% CI)</w:t>
            </w:r>
          </w:p>
        </w:tc>
        <w:tc>
          <w:tcPr>
            <w:tcW w:w="3403" w:type="dxa"/>
            <w:vAlign w:val="center"/>
          </w:tcPr>
          <w:p w14:paraId="747E3FEC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 model</w:t>
            </w:r>
          </w:p>
        </w:tc>
      </w:tr>
      <w:tr w:rsidR="00E56058" w14:paraId="407485B8" w14:textId="77777777" w:rsidTr="00FB35A4">
        <w:tc>
          <w:tcPr>
            <w:tcW w:w="3401" w:type="dxa"/>
            <w:gridSpan w:val="2"/>
            <w:vMerge/>
          </w:tcPr>
          <w:p w14:paraId="55F3CBC7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04DD7F97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BIOSTAT risk model</w:t>
            </w:r>
          </w:p>
        </w:tc>
      </w:tr>
      <w:tr w:rsidR="00E56058" w14:paraId="212E74F1" w14:textId="77777777" w:rsidTr="00FB35A4">
        <w:trPr>
          <w:trHeight w:val="499"/>
        </w:trPr>
        <w:tc>
          <w:tcPr>
            <w:tcW w:w="994" w:type="dxa"/>
            <w:vMerge w:val="restart"/>
            <w:textDirection w:val="btLr"/>
            <w:vAlign w:val="center"/>
          </w:tcPr>
          <w:p w14:paraId="513AB0B8" w14:textId="77777777" w:rsidR="00E56058" w:rsidRDefault="00E56058" w:rsidP="00FB35A4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 model</w:t>
            </w:r>
          </w:p>
        </w:tc>
        <w:tc>
          <w:tcPr>
            <w:tcW w:w="2407" w:type="dxa"/>
            <w:vAlign w:val="center"/>
          </w:tcPr>
          <w:p w14:paraId="539A6A9E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KCCQ overall score + BIOSTAT risk model</w:t>
            </w:r>
          </w:p>
        </w:tc>
        <w:tc>
          <w:tcPr>
            <w:tcW w:w="3403" w:type="dxa"/>
            <w:vAlign w:val="center"/>
          </w:tcPr>
          <w:p w14:paraId="65F91F31" w14:textId="77777777" w:rsidR="00E56058" w:rsidRDefault="00E56058" w:rsidP="00FB35A4">
            <w:pPr>
              <w:ind w:right="-96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0.059 (- 0.0001 – 0.111)</w:t>
            </w:r>
          </w:p>
        </w:tc>
      </w:tr>
      <w:tr w:rsidR="00E56058" w14:paraId="4932E210" w14:textId="77777777" w:rsidTr="00FB35A4">
        <w:trPr>
          <w:trHeight w:val="549"/>
        </w:trPr>
        <w:tc>
          <w:tcPr>
            <w:tcW w:w="994" w:type="dxa"/>
            <w:vMerge/>
          </w:tcPr>
          <w:p w14:paraId="0E4908BC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22E0DD34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utility score+ BIOSTAT risk model</w:t>
            </w:r>
          </w:p>
        </w:tc>
        <w:tc>
          <w:tcPr>
            <w:tcW w:w="3403" w:type="dxa"/>
            <w:vAlign w:val="center"/>
          </w:tcPr>
          <w:p w14:paraId="2792E39E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0.008 ( -0.025 – 0.057)</w:t>
            </w:r>
          </w:p>
        </w:tc>
      </w:tr>
      <w:tr w:rsidR="00E56058" w14:paraId="492416C2" w14:textId="77777777" w:rsidTr="00FB35A4">
        <w:trPr>
          <w:trHeight w:val="549"/>
        </w:trPr>
        <w:tc>
          <w:tcPr>
            <w:tcW w:w="994" w:type="dxa"/>
            <w:vMerge/>
          </w:tcPr>
          <w:p w14:paraId="40176C75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5DA8ACE1" w14:textId="77777777" w:rsidR="00E56058" w:rsidRDefault="00E56058" w:rsidP="00FB3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VAS + BIOSTAT risk model</w:t>
            </w:r>
          </w:p>
        </w:tc>
        <w:tc>
          <w:tcPr>
            <w:tcW w:w="3403" w:type="dxa"/>
            <w:vAlign w:val="center"/>
          </w:tcPr>
          <w:p w14:paraId="2AFD0E8E" w14:textId="77777777" w:rsidR="00E56058" w:rsidRDefault="00E56058" w:rsidP="00FB35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0.002 (-0.035 – 0.042)</w:t>
            </w:r>
          </w:p>
        </w:tc>
      </w:tr>
    </w:tbl>
    <w:p w14:paraId="4E70FCFC" w14:textId="77777777" w:rsidR="00E56058" w:rsidRDefault="00E56058" w:rsidP="007F7C23">
      <w:pPr>
        <w:rPr>
          <w:rFonts w:ascii="Times New Roman" w:hAnsi="Times New Roman" w:cs="Times New Roman"/>
          <w:lang w:val="en-US"/>
        </w:rPr>
      </w:pPr>
    </w:p>
    <w:p w14:paraId="646EAEF5" w14:textId="3E4F3716" w:rsidR="00E56058" w:rsidRPr="008902BF" w:rsidRDefault="00E56058" w:rsidP="00E56058">
      <w:pPr>
        <w:rPr>
          <w:rFonts w:ascii="Times New Roman" w:hAnsi="Times New Roman" w:cs="Times New Roman"/>
          <w:b/>
          <w:bCs/>
          <w:lang w:val="en-US"/>
        </w:rPr>
      </w:pPr>
      <w:r w:rsidRPr="008902BF">
        <w:rPr>
          <w:rFonts w:ascii="Times New Roman" w:hAnsi="Times New Roman" w:cs="Times New Roman"/>
          <w:b/>
          <w:bCs/>
          <w:lang w:val="en-US"/>
        </w:rPr>
        <w:t>(E)</w:t>
      </w:r>
    </w:p>
    <w:tbl>
      <w:tblPr>
        <w:tblStyle w:val="Grilledutableau"/>
        <w:tblW w:w="9929" w:type="dxa"/>
        <w:tblInd w:w="137" w:type="dxa"/>
        <w:tblLook w:val="04A0" w:firstRow="1" w:lastRow="0" w:firstColumn="1" w:lastColumn="0" w:noHBand="0" w:noVBand="1"/>
      </w:tblPr>
      <w:tblGrid>
        <w:gridCol w:w="994"/>
        <w:gridCol w:w="2407"/>
        <w:gridCol w:w="3403"/>
        <w:gridCol w:w="3125"/>
      </w:tblGrid>
      <w:tr w:rsidR="007F7C23" w14:paraId="765E8DFA" w14:textId="77777777" w:rsidTr="007F7C23">
        <w:tc>
          <w:tcPr>
            <w:tcW w:w="3401" w:type="dxa"/>
            <w:gridSpan w:val="2"/>
            <w:vMerge w:val="restart"/>
            <w:vAlign w:val="center"/>
          </w:tcPr>
          <w:p w14:paraId="526F33EA" w14:textId="77777777" w:rsidR="007F7C23" w:rsidRPr="004F0FE2" w:rsidRDefault="007F7C23" w:rsidP="007F7C2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F0FE2">
              <w:rPr>
                <w:rFonts w:ascii="Times New Roman" w:hAnsi="Times New Roman" w:cs="Times New Roman"/>
                <w:b/>
                <w:bCs/>
                <w:lang w:val="en-US"/>
              </w:rPr>
              <w:t>NRI (95% CI)</w:t>
            </w:r>
          </w:p>
        </w:tc>
        <w:tc>
          <w:tcPr>
            <w:tcW w:w="6528" w:type="dxa"/>
            <w:gridSpan w:val="2"/>
            <w:vAlign w:val="center"/>
          </w:tcPr>
          <w:p w14:paraId="0F276BC8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 model</w:t>
            </w:r>
          </w:p>
        </w:tc>
      </w:tr>
      <w:tr w:rsidR="007F7C23" w14:paraId="6E9E8B7A" w14:textId="77777777" w:rsidTr="007F7C23">
        <w:tc>
          <w:tcPr>
            <w:tcW w:w="3401" w:type="dxa"/>
            <w:gridSpan w:val="2"/>
            <w:vMerge/>
          </w:tcPr>
          <w:p w14:paraId="2479A41C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69999C6A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utility score</w:t>
            </w:r>
          </w:p>
        </w:tc>
        <w:tc>
          <w:tcPr>
            <w:tcW w:w="3125" w:type="dxa"/>
            <w:vAlign w:val="center"/>
          </w:tcPr>
          <w:p w14:paraId="45126AF8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VAS</w:t>
            </w:r>
          </w:p>
        </w:tc>
      </w:tr>
      <w:tr w:rsidR="007F7C23" w14:paraId="557ACE58" w14:textId="77777777" w:rsidTr="007F7C23">
        <w:trPr>
          <w:trHeight w:val="499"/>
        </w:trPr>
        <w:tc>
          <w:tcPr>
            <w:tcW w:w="994" w:type="dxa"/>
            <w:vMerge w:val="restart"/>
            <w:textDirection w:val="btLr"/>
            <w:vAlign w:val="center"/>
          </w:tcPr>
          <w:p w14:paraId="5359A9ED" w14:textId="77777777" w:rsidR="007F7C23" w:rsidRDefault="007F7C23" w:rsidP="007F7C23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 model</w:t>
            </w:r>
          </w:p>
        </w:tc>
        <w:tc>
          <w:tcPr>
            <w:tcW w:w="2407" w:type="dxa"/>
            <w:vAlign w:val="center"/>
          </w:tcPr>
          <w:p w14:paraId="31D8C470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KCCQ overall score</w:t>
            </w:r>
          </w:p>
        </w:tc>
        <w:tc>
          <w:tcPr>
            <w:tcW w:w="3403" w:type="dxa"/>
            <w:vAlign w:val="center"/>
          </w:tcPr>
          <w:p w14:paraId="63F4C045" w14:textId="77777777" w:rsidR="007F7C23" w:rsidRDefault="007F7C23" w:rsidP="007F7C23">
            <w:pPr>
              <w:ind w:right="-96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0.246  (0.111-0.350)</w:t>
            </w:r>
          </w:p>
        </w:tc>
        <w:tc>
          <w:tcPr>
            <w:tcW w:w="3125" w:type="dxa"/>
            <w:vAlign w:val="center"/>
          </w:tcPr>
          <w:p w14:paraId="3F811120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0.212  (0.088-0.364)</w:t>
            </w:r>
          </w:p>
        </w:tc>
      </w:tr>
      <w:tr w:rsidR="007F7C23" w14:paraId="6889D151" w14:textId="77777777" w:rsidTr="007F7C23">
        <w:trPr>
          <w:trHeight w:val="549"/>
        </w:trPr>
        <w:tc>
          <w:tcPr>
            <w:tcW w:w="994" w:type="dxa"/>
            <w:vMerge/>
          </w:tcPr>
          <w:p w14:paraId="634AD803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494DE752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utility score</w:t>
            </w:r>
          </w:p>
        </w:tc>
        <w:tc>
          <w:tcPr>
            <w:tcW w:w="3403" w:type="dxa"/>
            <w:vAlign w:val="center"/>
          </w:tcPr>
          <w:p w14:paraId="4CB014C6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25" w:type="dxa"/>
            <w:vAlign w:val="center"/>
          </w:tcPr>
          <w:p w14:paraId="1A19BD8F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0.001 (-0.125 – 0.138)</w:t>
            </w:r>
          </w:p>
        </w:tc>
      </w:tr>
    </w:tbl>
    <w:p w14:paraId="0A2FFD60" w14:textId="77777777" w:rsidR="007F7C23" w:rsidRDefault="007F7C23" w:rsidP="007F7C23">
      <w:pPr>
        <w:rPr>
          <w:rFonts w:ascii="Times New Roman" w:hAnsi="Times New Roman" w:cs="Times New Roman"/>
          <w:lang w:val="en-US"/>
        </w:rPr>
      </w:pPr>
    </w:p>
    <w:p w14:paraId="43BA7B0E" w14:textId="463FA695" w:rsidR="00E56058" w:rsidRPr="008902BF" w:rsidRDefault="00E56058" w:rsidP="00E56058">
      <w:pPr>
        <w:rPr>
          <w:rFonts w:ascii="Times New Roman" w:hAnsi="Times New Roman" w:cs="Times New Roman"/>
          <w:b/>
          <w:bCs/>
          <w:lang w:val="en-US"/>
        </w:rPr>
      </w:pPr>
      <w:r w:rsidRPr="008902BF">
        <w:rPr>
          <w:rFonts w:ascii="Times New Roman" w:hAnsi="Times New Roman" w:cs="Times New Roman"/>
          <w:b/>
          <w:bCs/>
          <w:lang w:val="en-US"/>
        </w:rPr>
        <w:t>(F)</w:t>
      </w:r>
    </w:p>
    <w:tbl>
      <w:tblPr>
        <w:tblStyle w:val="Grilledutableau"/>
        <w:tblW w:w="6804" w:type="dxa"/>
        <w:tblInd w:w="137" w:type="dxa"/>
        <w:tblLook w:val="04A0" w:firstRow="1" w:lastRow="0" w:firstColumn="1" w:lastColumn="0" w:noHBand="0" w:noVBand="1"/>
      </w:tblPr>
      <w:tblGrid>
        <w:gridCol w:w="994"/>
        <w:gridCol w:w="2407"/>
        <w:gridCol w:w="3403"/>
      </w:tblGrid>
      <w:tr w:rsidR="007F7C23" w14:paraId="1D6A734F" w14:textId="77777777" w:rsidTr="007F7C23">
        <w:tc>
          <w:tcPr>
            <w:tcW w:w="3401" w:type="dxa"/>
            <w:gridSpan w:val="2"/>
            <w:vMerge w:val="restart"/>
            <w:vAlign w:val="center"/>
          </w:tcPr>
          <w:p w14:paraId="2A472A63" w14:textId="77777777" w:rsidR="007F7C23" w:rsidRPr="004F0FE2" w:rsidRDefault="007F7C23" w:rsidP="007F7C2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F0FE2">
              <w:rPr>
                <w:rFonts w:ascii="Times New Roman" w:hAnsi="Times New Roman" w:cs="Times New Roman"/>
                <w:b/>
                <w:bCs/>
                <w:lang w:val="en-US"/>
              </w:rPr>
              <w:t>NRI (95% CI)</w:t>
            </w:r>
          </w:p>
        </w:tc>
        <w:tc>
          <w:tcPr>
            <w:tcW w:w="3403" w:type="dxa"/>
            <w:vAlign w:val="center"/>
          </w:tcPr>
          <w:p w14:paraId="0731D2A3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 model</w:t>
            </w:r>
          </w:p>
        </w:tc>
      </w:tr>
      <w:tr w:rsidR="007F7C23" w14:paraId="43C6A060" w14:textId="77777777" w:rsidTr="007F7C23">
        <w:tc>
          <w:tcPr>
            <w:tcW w:w="3401" w:type="dxa"/>
            <w:gridSpan w:val="2"/>
            <w:vMerge/>
          </w:tcPr>
          <w:p w14:paraId="17D66B1A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17D79047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BIOSTAT risk model</w:t>
            </w:r>
          </w:p>
        </w:tc>
      </w:tr>
      <w:tr w:rsidR="007F7C23" w14:paraId="04223B16" w14:textId="77777777" w:rsidTr="007F7C23">
        <w:trPr>
          <w:trHeight w:val="499"/>
        </w:trPr>
        <w:tc>
          <w:tcPr>
            <w:tcW w:w="994" w:type="dxa"/>
            <w:vMerge w:val="restart"/>
            <w:textDirection w:val="btLr"/>
            <w:vAlign w:val="center"/>
          </w:tcPr>
          <w:p w14:paraId="36035FA3" w14:textId="77777777" w:rsidR="007F7C23" w:rsidRDefault="007F7C23" w:rsidP="007F7C23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 model</w:t>
            </w:r>
          </w:p>
        </w:tc>
        <w:tc>
          <w:tcPr>
            <w:tcW w:w="2407" w:type="dxa"/>
            <w:vAlign w:val="center"/>
          </w:tcPr>
          <w:p w14:paraId="3A78C51C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KCCQ overall score + BIOSTAT risk model</w:t>
            </w:r>
          </w:p>
        </w:tc>
        <w:tc>
          <w:tcPr>
            <w:tcW w:w="3403" w:type="dxa"/>
            <w:vAlign w:val="center"/>
          </w:tcPr>
          <w:p w14:paraId="462E954B" w14:textId="77777777" w:rsidR="007F7C23" w:rsidRDefault="007F7C23" w:rsidP="007F7C23">
            <w:pPr>
              <w:ind w:right="-96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0.060 (-0.033 – 0.130)</w:t>
            </w:r>
          </w:p>
        </w:tc>
      </w:tr>
      <w:tr w:rsidR="007F7C23" w14:paraId="6BB6996B" w14:textId="77777777" w:rsidTr="007F7C23">
        <w:trPr>
          <w:trHeight w:val="549"/>
        </w:trPr>
        <w:tc>
          <w:tcPr>
            <w:tcW w:w="994" w:type="dxa"/>
            <w:vMerge/>
          </w:tcPr>
          <w:p w14:paraId="3041707E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59855FC6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utility score+ BIOSTAT risk model</w:t>
            </w:r>
          </w:p>
        </w:tc>
        <w:tc>
          <w:tcPr>
            <w:tcW w:w="3403" w:type="dxa"/>
            <w:vAlign w:val="center"/>
          </w:tcPr>
          <w:p w14:paraId="6CB80C23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0.007 (-0.041 – 0.063)</w:t>
            </w:r>
          </w:p>
        </w:tc>
      </w:tr>
      <w:tr w:rsidR="007F7C23" w14:paraId="509F3C44" w14:textId="77777777" w:rsidTr="007F7C23">
        <w:trPr>
          <w:trHeight w:val="549"/>
        </w:trPr>
        <w:tc>
          <w:tcPr>
            <w:tcW w:w="994" w:type="dxa"/>
            <w:vMerge/>
          </w:tcPr>
          <w:p w14:paraId="57287DB4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476B4885" w14:textId="77777777" w:rsidR="007F7C23" w:rsidRDefault="007F7C23" w:rsidP="007F7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EQ-5D VAS + BIOSTAT risk model</w:t>
            </w:r>
          </w:p>
        </w:tc>
        <w:tc>
          <w:tcPr>
            <w:tcW w:w="3403" w:type="dxa"/>
            <w:vAlign w:val="center"/>
          </w:tcPr>
          <w:p w14:paraId="79C9DFE5" w14:textId="77777777" w:rsidR="007F7C23" w:rsidRDefault="007F7C23" w:rsidP="007F7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0.009 (-0.058 – 0.068).</w:t>
            </w:r>
          </w:p>
        </w:tc>
      </w:tr>
    </w:tbl>
    <w:p w14:paraId="07D7E216" w14:textId="77777777" w:rsidR="007F7C23" w:rsidRDefault="007F7C23" w:rsidP="007F7C23">
      <w:pPr>
        <w:rPr>
          <w:rFonts w:ascii="Times New Roman" w:hAnsi="Times New Roman" w:cs="Times New Roman"/>
          <w:lang w:val="en-US"/>
        </w:rPr>
      </w:pPr>
    </w:p>
    <w:p w14:paraId="280F46AB" w14:textId="77777777" w:rsidR="007F7C23" w:rsidRDefault="007F7C23" w:rsidP="007F7C23">
      <w:pPr>
        <w:rPr>
          <w:rFonts w:ascii="Times New Roman" w:hAnsi="Times New Roman" w:cs="Times New Roman"/>
          <w:lang w:val="en-US"/>
        </w:rPr>
      </w:pPr>
    </w:p>
    <w:p w14:paraId="6D16D6E0" w14:textId="77777777" w:rsidR="007F7C23" w:rsidRDefault="007F7C23" w:rsidP="007F7C23">
      <w:pPr>
        <w:rPr>
          <w:rFonts w:ascii="Times New Roman" w:eastAsia="Times New Roman" w:hAnsi="Times New Roman" w:cs="Times New Roman"/>
          <w:lang w:val="en-GB" w:eastAsia="nl-NL"/>
        </w:rPr>
      </w:pPr>
      <w:r w:rsidRPr="003D3009">
        <w:rPr>
          <w:rFonts w:ascii="Times New Roman" w:hAnsi="Times New Roman" w:cs="Times New Roman"/>
          <w:lang w:val="en-US"/>
        </w:rPr>
        <w:t>Legend:</w:t>
      </w:r>
      <w:r>
        <w:rPr>
          <w:rFonts w:ascii="Times New Roman" w:hAnsi="Times New Roman" w:cs="Times New Roman"/>
          <w:lang w:val="en-US"/>
        </w:rPr>
        <w:t xml:space="preserve"> </w:t>
      </w:r>
      <w:r w:rsidRPr="00F50691">
        <w:rPr>
          <w:rFonts w:ascii="Times New Roman" w:hAnsi="Times New Roman" w:cs="Times New Roman"/>
          <w:lang w:val="en-US"/>
        </w:rPr>
        <w:t xml:space="preserve">BIOSTAT-CHF= </w:t>
      </w:r>
      <w:proofErr w:type="spellStart"/>
      <w:r w:rsidRPr="00F50691">
        <w:rPr>
          <w:rFonts w:ascii="Times New Roman" w:eastAsia="Times New Roman" w:hAnsi="Times New Roman" w:cs="Times New Roman"/>
        </w:rPr>
        <w:t>BIOlogy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0691">
        <w:rPr>
          <w:rFonts w:ascii="Times New Roman" w:eastAsia="Times New Roman" w:hAnsi="Times New Roman" w:cs="Times New Roman"/>
        </w:rPr>
        <w:t>Study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0691">
        <w:rPr>
          <w:rFonts w:ascii="Times New Roman" w:eastAsia="Times New Roman" w:hAnsi="Times New Roman" w:cs="Times New Roman"/>
        </w:rPr>
        <w:t>to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0691">
        <w:rPr>
          <w:rFonts w:ascii="Times New Roman" w:eastAsia="Times New Roman" w:hAnsi="Times New Roman" w:cs="Times New Roman"/>
        </w:rPr>
        <w:t>TAilored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Treatment in </w:t>
      </w:r>
      <w:proofErr w:type="spellStart"/>
      <w:r w:rsidRPr="00F50691">
        <w:rPr>
          <w:rFonts w:ascii="Times New Roman" w:eastAsia="Times New Roman" w:hAnsi="Times New Roman" w:cs="Times New Roman"/>
        </w:rPr>
        <w:t>Chronic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0691">
        <w:rPr>
          <w:rFonts w:ascii="Times New Roman" w:eastAsia="Times New Roman" w:hAnsi="Times New Roman" w:cs="Times New Roman"/>
        </w:rPr>
        <w:t>Heart</w:t>
      </w:r>
      <w:proofErr w:type="spellEnd"/>
      <w:r w:rsidRPr="00F50691">
        <w:rPr>
          <w:rFonts w:ascii="Times New Roman" w:eastAsia="Times New Roman" w:hAnsi="Times New Roman" w:cs="Times New Roman"/>
        </w:rPr>
        <w:t xml:space="preserve"> Failure;</w:t>
      </w:r>
      <w:r w:rsidRPr="00F50691">
        <w:rPr>
          <w:rFonts w:ascii="Times New Roman" w:hAnsi="Times New Roman" w:cs="Times New Roman"/>
          <w:lang w:val="en-US"/>
        </w:rPr>
        <w:t xml:space="preserve"> EQ-5D= </w:t>
      </w:r>
      <w:proofErr w:type="spellStart"/>
      <w:r w:rsidRPr="00F50691">
        <w:rPr>
          <w:rFonts w:ascii="Times New Roman" w:hAnsi="Times New Roman" w:cs="Times New Roman"/>
          <w:lang w:val="en-US"/>
        </w:rPr>
        <w:t>EuroQoL</w:t>
      </w:r>
      <w:proofErr w:type="spellEnd"/>
      <w:r w:rsidRPr="00F50691">
        <w:rPr>
          <w:rFonts w:ascii="Times New Roman" w:hAnsi="Times New Roman" w:cs="Times New Roman"/>
          <w:lang w:val="en-US"/>
        </w:rPr>
        <w:t xml:space="preserve"> 5 dimensions; KCCQ= Kansas City Cardiomyopathy Questionnaire</w:t>
      </w:r>
      <w:r w:rsidRPr="003D3009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</w:t>
      </w:r>
      <w:r w:rsidRPr="003D3009">
        <w:rPr>
          <w:rFonts w:ascii="Times New Roman" w:hAnsi="Times New Roman" w:cs="Times New Roman"/>
          <w:lang w:val="en-US"/>
        </w:rPr>
        <w:t>VAS= visual analogue scale.</w:t>
      </w:r>
    </w:p>
    <w:p w14:paraId="499A4C7E" w14:textId="77777777" w:rsidR="007F7C23" w:rsidRDefault="007F7C23" w:rsidP="000A0BA2">
      <w:pPr>
        <w:rPr>
          <w:rFonts w:ascii="Times New Roman" w:eastAsia="Times New Roman" w:hAnsi="Times New Roman" w:cs="Times New Roman"/>
          <w:lang w:val="en-GB" w:eastAsia="nl-NL"/>
        </w:rPr>
      </w:pPr>
    </w:p>
    <w:p w14:paraId="797674C4" w14:textId="3A83D906" w:rsidR="007F7C23" w:rsidRDefault="007F7C23" w:rsidP="00A25000">
      <w:pPr>
        <w:rPr>
          <w:rFonts w:ascii="Times New Roman" w:eastAsia="Times New Roman" w:hAnsi="Times New Roman" w:cs="Times New Roman"/>
          <w:lang w:val="en-GB" w:eastAsia="nl-NL"/>
        </w:rPr>
      </w:pPr>
    </w:p>
    <w:p w14:paraId="21489E38" w14:textId="77777777" w:rsidR="007F7C23" w:rsidRDefault="007F7C23">
      <w:pPr>
        <w:rPr>
          <w:rFonts w:ascii="Times New Roman" w:eastAsia="Times New Roman" w:hAnsi="Times New Roman" w:cs="Times New Roman"/>
          <w:lang w:val="en-GB" w:eastAsia="nl-NL"/>
        </w:rPr>
      </w:pPr>
      <w:r>
        <w:rPr>
          <w:rFonts w:ascii="Times New Roman" w:eastAsia="Times New Roman" w:hAnsi="Times New Roman" w:cs="Times New Roman"/>
          <w:lang w:val="en-GB" w:eastAsia="nl-NL"/>
        </w:rPr>
        <w:br w:type="page"/>
      </w:r>
    </w:p>
    <w:p w14:paraId="64A6164B" w14:textId="506A83A1" w:rsidR="00A25000" w:rsidRPr="00174E82" w:rsidRDefault="00A25000" w:rsidP="00A25000">
      <w:pPr>
        <w:rPr>
          <w:rFonts w:ascii="Times New Roman" w:hAnsi="Times New Roman" w:cs="Times New Roman"/>
          <w:szCs w:val="24"/>
          <w:u w:val="single"/>
          <w:lang w:val="en"/>
        </w:rPr>
      </w:pPr>
      <w:r w:rsidRPr="00174E82">
        <w:rPr>
          <w:rFonts w:ascii="Times New Roman" w:hAnsi="Times New Roman" w:cs="Times New Roman"/>
          <w:b/>
          <w:szCs w:val="24"/>
          <w:lang w:val="en"/>
        </w:rPr>
        <w:t xml:space="preserve">Figure </w:t>
      </w:r>
      <w:r w:rsidR="00833277">
        <w:rPr>
          <w:rFonts w:ascii="Times New Roman" w:hAnsi="Times New Roman" w:cs="Times New Roman"/>
          <w:b/>
          <w:szCs w:val="24"/>
          <w:lang w:val="en"/>
        </w:rPr>
        <w:t>S</w:t>
      </w:r>
      <w:r w:rsidRPr="00174E82">
        <w:rPr>
          <w:rFonts w:ascii="Times New Roman" w:hAnsi="Times New Roman" w:cs="Times New Roman"/>
          <w:b/>
          <w:szCs w:val="24"/>
          <w:lang w:val="en"/>
        </w:rPr>
        <w:t>1</w:t>
      </w:r>
      <w:r>
        <w:rPr>
          <w:rFonts w:ascii="Times New Roman" w:hAnsi="Times New Roman" w:cs="Times New Roman"/>
          <w:b/>
          <w:szCs w:val="24"/>
          <w:lang w:val="en"/>
        </w:rPr>
        <w:t xml:space="preserve">. </w:t>
      </w:r>
      <w:r>
        <w:rPr>
          <w:rFonts w:ascii="Times New Roman" w:hAnsi="Times New Roman" w:cs="Times New Roman"/>
          <w:szCs w:val="24"/>
          <w:lang w:val="en"/>
        </w:rPr>
        <w:t>Study flow diagram. H</w:t>
      </w:r>
      <w:r w:rsidR="00F50691">
        <w:rPr>
          <w:rFonts w:ascii="Times New Roman" w:hAnsi="Times New Roman" w:cs="Times New Roman"/>
          <w:szCs w:val="24"/>
          <w:lang w:val="en"/>
        </w:rPr>
        <w:t>F</w:t>
      </w:r>
      <w:r>
        <w:rPr>
          <w:rFonts w:ascii="Times New Roman" w:hAnsi="Times New Roman" w:cs="Times New Roman"/>
          <w:szCs w:val="24"/>
          <w:lang w:val="en"/>
        </w:rPr>
        <w:t>rEF</w:t>
      </w:r>
      <w:r w:rsidR="00F50691">
        <w:rPr>
          <w:rFonts w:ascii="Times New Roman" w:hAnsi="Times New Roman" w:cs="Times New Roman"/>
          <w:szCs w:val="24"/>
          <w:lang w:val="en"/>
        </w:rPr>
        <w:t>=</w:t>
      </w:r>
      <w:r>
        <w:rPr>
          <w:rFonts w:ascii="Times New Roman" w:hAnsi="Times New Roman" w:cs="Times New Roman"/>
          <w:szCs w:val="24"/>
          <w:lang w:val="en"/>
        </w:rPr>
        <w:t xml:space="preserve"> heart failure with reduced ejection fraction; LVEF</w:t>
      </w:r>
      <w:r w:rsidR="00F50691">
        <w:rPr>
          <w:rFonts w:ascii="Times New Roman" w:hAnsi="Times New Roman" w:cs="Times New Roman"/>
          <w:szCs w:val="24"/>
          <w:lang w:val="en"/>
        </w:rPr>
        <w:t xml:space="preserve">= </w:t>
      </w:r>
      <w:r>
        <w:rPr>
          <w:rFonts w:ascii="Times New Roman" w:hAnsi="Times New Roman" w:cs="Times New Roman"/>
          <w:szCs w:val="24"/>
          <w:lang w:val="en"/>
        </w:rPr>
        <w:t xml:space="preserve">left ventricular ejection fraction; </w:t>
      </w:r>
      <w:proofErr w:type="spellStart"/>
      <w:r>
        <w:rPr>
          <w:rFonts w:ascii="Times New Roman" w:hAnsi="Times New Roman" w:cs="Times New Roman"/>
          <w:szCs w:val="24"/>
          <w:lang w:val="en"/>
        </w:rPr>
        <w:t>QoL</w:t>
      </w:r>
      <w:proofErr w:type="spellEnd"/>
      <w:r>
        <w:rPr>
          <w:rFonts w:ascii="Times New Roman" w:hAnsi="Times New Roman" w:cs="Times New Roman"/>
          <w:szCs w:val="24"/>
          <w:lang w:val="en"/>
        </w:rPr>
        <w:t xml:space="preserve">= quality of life; V1= visit </w:t>
      </w:r>
      <w:proofErr w:type="gramStart"/>
      <w:r>
        <w:rPr>
          <w:rFonts w:ascii="Times New Roman" w:hAnsi="Times New Roman" w:cs="Times New Roman"/>
          <w:szCs w:val="24"/>
          <w:lang w:val="en"/>
        </w:rPr>
        <w:t>1(</w:t>
      </w:r>
      <w:proofErr w:type="gramEnd"/>
      <w:r>
        <w:rPr>
          <w:rFonts w:ascii="Times New Roman" w:hAnsi="Times New Roman" w:cs="Times New Roman"/>
          <w:szCs w:val="24"/>
          <w:lang w:val="en"/>
        </w:rPr>
        <w:t>baseline); V2= visit 2 (</w:t>
      </w:r>
      <w:r w:rsidR="00355ED8">
        <w:rPr>
          <w:rFonts w:ascii="Times New Roman" w:hAnsi="Times New Roman" w:cs="Times New Roman"/>
          <w:szCs w:val="24"/>
          <w:lang w:val="en"/>
        </w:rPr>
        <w:t>nine</w:t>
      </w:r>
      <w:r>
        <w:rPr>
          <w:rFonts w:ascii="Times New Roman" w:hAnsi="Times New Roman" w:cs="Times New Roman"/>
          <w:szCs w:val="24"/>
          <w:lang w:val="en"/>
        </w:rPr>
        <w:t xml:space="preserve"> months).</w:t>
      </w:r>
    </w:p>
    <w:p w14:paraId="1C8D9DAE" w14:textId="52B220FF" w:rsidR="00A25000" w:rsidRDefault="00A25000" w:rsidP="00A25000">
      <w:pPr>
        <w:rPr>
          <w:rFonts w:ascii="Times New Roman" w:eastAsia="Times New Roman" w:hAnsi="Times New Roman" w:cs="Times New Roman"/>
          <w:lang w:val="en-GB" w:eastAsia="nl-NL"/>
        </w:rPr>
      </w:pPr>
      <w:r>
        <w:rPr>
          <w:noProof/>
          <w:lang w:val="fr-FR" w:eastAsia="fr-FR"/>
        </w:rPr>
        <w:drawing>
          <wp:inline distT="0" distB="0" distL="0" distR="0" wp14:anchorId="16A8CA1B" wp14:editId="645E1DC3">
            <wp:extent cx="5455861" cy="4773880"/>
            <wp:effectExtent l="0" t="0" r="0" b="825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2275" r="13378"/>
                    <a:stretch/>
                  </pic:blipFill>
                  <pic:spPr bwMode="auto">
                    <a:xfrm>
                      <a:off x="0" y="0"/>
                      <a:ext cx="5460727" cy="477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1C87">
        <w:rPr>
          <w:rFonts w:ascii="Times New Roman" w:hAnsi="Times New Roman" w:cs="Times New Roman"/>
          <w:b/>
          <w:sz w:val="20"/>
          <w:szCs w:val="24"/>
          <w:u w:val="single"/>
          <w:lang w:val="en"/>
        </w:rPr>
        <w:t xml:space="preserve"> </w:t>
      </w:r>
      <w:r>
        <w:rPr>
          <w:rFonts w:ascii="Times New Roman" w:eastAsia="Times New Roman" w:hAnsi="Times New Roman" w:cs="Times New Roman"/>
          <w:lang w:val="en-GB" w:eastAsia="nl-NL"/>
        </w:rPr>
        <w:br w:type="page"/>
      </w:r>
    </w:p>
    <w:p w14:paraId="46B33932" w14:textId="77777777" w:rsidR="00C17E1D" w:rsidRPr="00AD28A4" w:rsidRDefault="00C17E1D" w:rsidP="00AA19BA">
      <w:pPr>
        <w:rPr>
          <w:rFonts w:ascii="Times New Roman" w:eastAsia="Times New Roman" w:hAnsi="Times New Roman" w:cs="Times New Roman"/>
          <w:lang w:val="en-GB" w:eastAsia="nl-NL"/>
        </w:rPr>
        <w:sectPr w:rsidR="00C17E1D" w:rsidRPr="00AD28A4" w:rsidSect="007750AD">
          <w:pgSz w:w="11906" w:h="16838"/>
          <w:pgMar w:top="1418" w:right="991" w:bottom="1418" w:left="1134" w:header="709" w:footer="709" w:gutter="0"/>
          <w:cols w:space="708"/>
          <w:docGrid w:linePitch="360"/>
        </w:sectPr>
      </w:pPr>
    </w:p>
    <w:p w14:paraId="7FE6D694" w14:textId="488BA511" w:rsidR="00AA19BA" w:rsidRPr="0027276C" w:rsidRDefault="00AA19BA" w:rsidP="00AA19B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AB2F66">
        <w:rPr>
          <w:rFonts w:ascii="Times New Roman" w:hAnsi="Times New Roman" w:cs="Times New Roman"/>
          <w:b/>
          <w:sz w:val="24"/>
          <w:lang w:val="en-US"/>
        </w:rPr>
        <w:t xml:space="preserve">Figure </w:t>
      </w:r>
      <w:r w:rsidR="00833277">
        <w:rPr>
          <w:rFonts w:ascii="Times New Roman" w:hAnsi="Times New Roman" w:cs="Times New Roman"/>
          <w:b/>
          <w:sz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lang w:val="en-US"/>
        </w:rPr>
        <w:t>Sex differences in the answers to the items of Kansas City Cardiomyopathy Questionnaire at baseline.</w:t>
      </w:r>
      <w:r w:rsidR="00F50691">
        <w:rPr>
          <w:rFonts w:ascii="Times New Roman" w:hAnsi="Times New Roman" w:cs="Times New Roman"/>
          <w:sz w:val="24"/>
          <w:lang w:val="en-US"/>
        </w:rPr>
        <w:t xml:space="preserve"> HF= heart failure; KCCQ= Kansas City Cardiomyopathy Questionnaire; M= men; Q= question; W= women.</w:t>
      </w:r>
    </w:p>
    <w:p w14:paraId="55C2D8B6" w14:textId="5EBFAA4B" w:rsidR="00AA19BA" w:rsidRPr="009764B9" w:rsidRDefault="009764B9" w:rsidP="00AA19BA">
      <w:pPr>
        <w:rPr>
          <w:b/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79F4ECA3" wp14:editId="16C4BFE7">
            <wp:extent cx="9220200" cy="37623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5D4F" w14:textId="77777777" w:rsidR="00A0354B" w:rsidRDefault="00A0354B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DDC7A6F" w14:textId="338EF77A" w:rsidR="00A0354B" w:rsidRPr="0027276C" w:rsidRDefault="00A0354B" w:rsidP="00A0354B">
      <w:pPr>
        <w:rPr>
          <w:rFonts w:ascii="Times New Roman" w:hAnsi="Times New Roman" w:cs="Times New Roman"/>
          <w:sz w:val="24"/>
          <w:lang w:val="en-US"/>
        </w:rPr>
      </w:pPr>
      <w:bookmarkStart w:id="3" w:name="_Hlk64386574"/>
      <w:r w:rsidRPr="00AB2F66">
        <w:rPr>
          <w:rFonts w:ascii="Times New Roman" w:hAnsi="Times New Roman" w:cs="Times New Roman"/>
          <w:b/>
          <w:sz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sz w:val="24"/>
          <w:lang w:val="en-US"/>
        </w:rPr>
        <w:t>S</w:t>
      </w:r>
      <w:r w:rsidR="00963516">
        <w:rPr>
          <w:rFonts w:ascii="Times New Roman" w:hAnsi="Times New Roman" w:cs="Times New Roman"/>
          <w:b/>
          <w:sz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Sex differences in the answers to the items of Kansas City Cardiomyopathy Questionnaire at nine months. HF= heart failure; KCCQ= Kansas City Cardiomyopathy Questionnaire; M= men; Q= question; W= women.</w:t>
      </w:r>
    </w:p>
    <w:p w14:paraId="69C8971A" w14:textId="2A3A18D2" w:rsidR="00C1044C" w:rsidRDefault="00A0354B">
      <w:pPr>
        <w:rPr>
          <w:b/>
          <w:lang w:val="en-US"/>
        </w:rPr>
      </w:pPr>
      <w:r>
        <w:rPr>
          <w:b/>
          <w:noProof/>
          <w:lang w:val="fr-FR" w:eastAsia="fr-FR"/>
        </w:rPr>
        <w:drawing>
          <wp:inline distT="0" distB="0" distL="0" distR="0" wp14:anchorId="11D6EBDC" wp14:editId="15F5D655">
            <wp:extent cx="8891270" cy="3638550"/>
            <wp:effectExtent l="0" t="0" r="508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r w:rsidR="00C1044C">
        <w:rPr>
          <w:b/>
          <w:lang w:val="en-US"/>
        </w:rPr>
        <w:br w:type="page"/>
      </w:r>
    </w:p>
    <w:p w14:paraId="285C44EB" w14:textId="56D41A0D" w:rsidR="00A0354B" w:rsidRDefault="00A0354B" w:rsidP="00A0354B">
      <w:pPr>
        <w:spacing w:line="480" w:lineRule="auto"/>
        <w:rPr>
          <w:rFonts w:ascii="Times New Roman" w:hAnsi="Times New Roman" w:cs="Times New Roman"/>
          <w:sz w:val="24"/>
        </w:rPr>
      </w:pPr>
      <w:bookmarkStart w:id="4" w:name="_Hlk64386489"/>
      <w:proofErr w:type="spellStart"/>
      <w:r w:rsidRPr="00BD0B78">
        <w:rPr>
          <w:rFonts w:ascii="Times New Roman" w:hAnsi="Times New Roman" w:cs="Times New Roman"/>
          <w:b/>
          <w:sz w:val="24"/>
        </w:rPr>
        <w:t>Figure</w:t>
      </w:r>
      <w:proofErr w:type="spellEnd"/>
      <w:r w:rsidRPr="00BD0B7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</w:t>
      </w:r>
      <w:r w:rsidR="00963516">
        <w:rPr>
          <w:rFonts w:ascii="Times New Roman" w:hAnsi="Times New Roman" w:cs="Times New Roman"/>
          <w:b/>
          <w:sz w:val="24"/>
        </w:rPr>
        <w:t>4</w:t>
      </w:r>
      <w:r w:rsidRPr="00BD0B78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BD0B78">
        <w:rPr>
          <w:rFonts w:ascii="Times New Roman" w:hAnsi="Times New Roman" w:cs="Times New Roman"/>
          <w:sz w:val="24"/>
        </w:rPr>
        <w:t>Sex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differences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D0B78">
        <w:rPr>
          <w:rFonts w:ascii="Times New Roman" w:hAnsi="Times New Roman" w:cs="Times New Roman"/>
          <w:sz w:val="24"/>
        </w:rPr>
        <w:t>the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distribution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answers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0B78">
        <w:rPr>
          <w:rFonts w:ascii="Times New Roman" w:hAnsi="Times New Roman" w:cs="Times New Roman"/>
          <w:sz w:val="24"/>
        </w:rPr>
        <w:t>to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022">
        <w:rPr>
          <w:rFonts w:ascii="Times New Roman" w:hAnsi="Times New Roman" w:cs="Times New Roman"/>
          <w:sz w:val="24"/>
        </w:rPr>
        <w:t>EuroQol</w:t>
      </w:r>
      <w:proofErr w:type="spellEnd"/>
      <w:r w:rsidRPr="00603022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603022">
        <w:rPr>
          <w:rFonts w:ascii="Times New Roman" w:hAnsi="Times New Roman" w:cs="Times New Roman"/>
          <w:sz w:val="24"/>
        </w:rPr>
        <w:t>dimensions</w:t>
      </w:r>
      <w:proofErr w:type="spellEnd"/>
      <w:r>
        <w:rPr>
          <w:rFonts w:ascii="Times New Roman" w:hAnsi="Times New Roman" w:cs="Times New Roman"/>
          <w:sz w:val="24"/>
        </w:rPr>
        <w:t xml:space="preserve"> items</w:t>
      </w:r>
      <w:r w:rsidRPr="00BD0B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</w:rPr>
        <w:t>nine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months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D0B78">
        <w:rPr>
          <w:rFonts w:ascii="Times New Roman" w:hAnsi="Times New Roman" w:cs="Times New Roman"/>
          <w:sz w:val="24"/>
        </w:rPr>
        <w:t>cumulative</w:t>
      </w:r>
      <w:proofErr w:type="spellEnd"/>
      <w:r w:rsidRPr="00BD0B78">
        <w:rPr>
          <w:rFonts w:ascii="Times New Roman" w:hAnsi="Times New Roman" w:cs="Times New Roman"/>
          <w:sz w:val="24"/>
        </w:rPr>
        <w:t xml:space="preserve"> percentages</w:t>
      </w:r>
      <w:r>
        <w:rPr>
          <w:rFonts w:ascii="Times New Roman" w:hAnsi="Times New Roman" w:cs="Times New Roman"/>
          <w:sz w:val="24"/>
        </w:rPr>
        <w:t>)</w:t>
      </w:r>
      <w:r w:rsidRPr="00BD0B7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EQ-5D= </w:t>
      </w:r>
      <w:proofErr w:type="spellStart"/>
      <w:r>
        <w:rPr>
          <w:rFonts w:ascii="Times New Roman" w:hAnsi="Times New Roman" w:cs="Times New Roman"/>
          <w:sz w:val="24"/>
        </w:rPr>
        <w:t>EuroQoL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</w:rPr>
        <w:t>dimensions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F1F8603" w14:textId="617342D0" w:rsidR="00A0354B" w:rsidRDefault="00A0354B" w:rsidP="008902BF">
      <w:pPr>
        <w:spacing w:line="480" w:lineRule="auto"/>
        <w:rPr>
          <w:b/>
          <w:lang w:val="en-US"/>
        </w:rPr>
      </w:pPr>
      <w:r>
        <w:rPr>
          <w:b/>
          <w:noProof/>
          <w:lang w:val="fr-FR" w:eastAsia="fr-FR"/>
        </w:rPr>
        <w:drawing>
          <wp:inline distT="0" distB="0" distL="0" distR="0" wp14:anchorId="2876B1F7" wp14:editId="38BC4E4F">
            <wp:extent cx="4814570" cy="3209713"/>
            <wp:effectExtent l="0" t="0" r="508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534" cy="321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r>
        <w:rPr>
          <w:b/>
          <w:lang w:val="en-US"/>
        </w:rPr>
        <w:br w:type="page"/>
      </w:r>
    </w:p>
    <w:p w14:paraId="577BE5B6" w14:textId="0AA48B54" w:rsidR="000218E8" w:rsidRPr="000218E8" w:rsidRDefault="000218E8" w:rsidP="000218E8">
      <w:pPr>
        <w:rPr>
          <w:rFonts w:ascii="Times New Roman" w:hAnsi="Times New Roman" w:cs="Times New Roman"/>
          <w:sz w:val="24"/>
          <w:lang w:val="en-US"/>
        </w:rPr>
      </w:pPr>
      <w:r w:rsidRPr="000218E8">
        <w:rPr>
          <w:rFonts w:ascii="Times New Roman" w:hAnsi="Times New Roman" w:cs="Times New Roman"/>
          <w:b/>
          <w:bCs/>
          <w:sz w:val="24"/>
          <w:lang w:val="en-US"/>
        </w:rPr>
        <w:t>Figure S</w:t>
      </w:r>
      <w:r w:rsidR="00963516">
        <w:rPr>
          <w:rFonts w:ascii="Times New Roman" w:hAnsi="Times New Roman" w:cs="Times New Roman"/>
          <w:b/>
          <w:bCs/>
          <w:sz w:val="24"/>
          <w:lang w:val="en-US"/>
        </w:rPr>
        <w:t>5</w:t>
      </w:r>
      <w:r w:rsidRPr="000218E8">
        <w:rPr>
          <w:rFonts w:ascii="Times New Roman" w:hAnsi="Times New Roman" w:cs="Times New Roman"/>
          <w:b/>
          <w:bCs/>
          <w:sz w:val="24"/>
          <w:lang w:val="en-US"/>
        </w:rPr>
        <w:t>.</w:t>
      </w:r>
      <w:r w:rsidRPr="000218E8">
        <w:rPr>
          <w:rFonts w:ascii="Times New Roman" w:hAnsi="Times New Roman" w:cs="Times New Roman"/>
          <w:sz w:val="24"/>
          <w:lang w:val="en-US"/>
        </w:rPr>
        <w:t xml:space="preserve"> Shift analysis showing sex differences in fraction target dose of </w:t>
      </w:r>
      <w:r w:rsidR="00BF61AF" w:rsidRPr="00BF61AF">
        <w:rPr>
          <w:rFonts w:ascii="Times New Roman" w:hAnsi="Times New Roman" w:cs="Times New Roman"/>
          <w:sz w:val="24"/>
          <w:lang w:val="en-US"/>
        </w:rPr>
        <w:t>angiotensin-converting enzyme inhibitors (</w:t>
      </w:r>
      <w:proofErr w:type="spellStart"/>
      <w:r w:rsidR="00BF61AF" w:rsidRPr="00BF61AF">
        <w:rPr>
          <w:rFonts w:ascii="Times New Roman" w:hAnsi="Times New Roman" w:cs="Times New Roman"/>
          <w:sz w:val="24"/>
          <w:lang w:val="en-US"/>
        </w:rPr>
        <w:t>ACEi</w:t>
      </w:r>
      <w:proofErr w:type="spellEnd"/>
      <w:r w:rsidR="00BF61AF" w:rsidRPr="00BF61AF">
        <w:rPr>
          <w:rFonts w:ascii="Times New Roman" w:hAnsi="Times New Roman" w:cs="Times New Roman"/>
          <w:sz w:val="24"/>
          <w:lang w:val="en-US"/>
        </w:rPr>
        <w:t xml:space="preserve">) or angiotensin receptor blockers (ARB) </w:t>
      </w:r>
      <w:r w:rsidRPr="000218E8">
        <w:rPr>
          <w:rFonts w:ascii="Times New Roman" w:hAnsi="Times New Roman" w:cs="Times New Roman"/>
          <w:sz w:val="24"/>
          <w:lang w:val="en-US"/>
        </w:rPr>
        <w:t>and β-blockers at baseline. Within each drug category: panel (A) show 1D scatterplots, with the deciles marked by grey vertical lines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0218E8">
        <w:rPr>
          <w:rFonts w:ascii="Times New Roman" w:hAnsi="Times New Roman" w:cs="Times New Roman"/>
          <w:sz w:val="24"/>
          <w:lang w:val="en-US"/>
        </w:rPr>
        <w:t xml:space="preserve">sex groups are plotted along the y-axis; panel (B) depicts the shift function, </w:t>
      </w:r>
      <w:r>
        <w:rPr>
          <w:rFonts w:ascii="Times New Roman" w:hAnsi="Times New Roman" w:cs="Times New Roman"/>
          <w:sz w:val="24"/>
          <w:lang w:val="en-US"/>
        </w:rPr>
        <w:t xml:space="preserve">differences in the distributions for men and women </w:t>
      </w:r>
      <w:r w:rsidRPr="000218E8">
        <w:rPr>
          <w:rFonts w:ascii="Times New Roman" w:hAnsi="Times New Roman" w:cs="Times New Roman"/>
          <w:sz w:val="24"/>
          <w:lang w:val="en-US"/>
        </w:rPr>
        <w:t xml:space="preserve">are plotted along the y-axis for each decile (white </w:t>
      </w:r>
      <w:r>
        <w:rPr>
          <w:rFonts w:ascii="Times New Roman" w:hAnsi="Times New Roman" w:cs="Times New Roman"/>
          <w:sz w:val="24"/>
          <w:lang w:val="en-US"/>
        </w:rPr>
        <w:t>dots</w:t>
      </w:r>
      <w:r w:rsidRPr="000218E8">
        <w:rPr>
          <w:rFonts w:ascii="Times New Roman" w:hAnsi="Times New Roman" w:cs="Times New Roman"/>
          <w:sz w:val="24"/>
          <w:lang w:val="en-US"/>
        </w:rPr>
        <w:t xml:space="preserve">), as a function of women deciles. For each decile difference, the vertical line indicates its 95% bootstrap confidence interval. Overall p-values </w:t>
      </w:r>
      <w:proofErr w:type="gramStart"/>
      <w:r w:rsidRPr="000218E8">
        <w:rPr>
          <w:rFonts w:ascii="Times New Roman" w:hAnsi="Times New Roman" w:cs="Times New Roman"/>
          <w:sz w:val="24"/>
          <w:lang w:val="en-US"/>
        </w:rPr>
        <w:t>are obtained</w:t>
      </w:r>
      <w:proofErr w:type="gramEnd"/>
      <w:r w:rsidRPr="000218E8">
        <w:rPr>
          <w:rFonts w:ascii="Times New Roman" w:hAnsi="Times New Roman" w:cs="Times New Roman"/>
          <w:sz w:val="24"/>
          <w:lang w:val="en-US"/>
        </w:rPr>
        <w:t xml:space="preserve"> comparing each pair of distributions (women vs. men) with the Kolmogorov-Smirnov test.</w:t>
      </w:r>
      <w:r w:rsidR="009C06E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C06E7">
        <w:rPr>
          <w:rFonts w:ascii="Times New Roman" w:hAnsi="Times New Roman" w:cs="Times New Roman"/>
          <w:sz w:val="24"/>
          <w:lang w:val="en-US"/>
        </w:rPr>
        <w:t>ACEi</w:t>
      </w:r>
      <w:proofErr w:type="spellEnd"/>
      <w:r w:rsidR="009C06E7">
        <w:rPr>
          <w:rFonts w:ascii="Times New Roman" w:hAnsi="Times New Roman" w:cs="Times New Roman"/>
          <w:sz w:val="24"/>
          <w:lang w:val="en-US"/>
        </w:rPr>
        <w:t xml:space="preserve">= </w:t>
      </w:r>
      <w:r w:rsidR="009C06E7" w:rsidRPr="00BF61AF">
        <w:rPr>
          <w:rFonts w:ascii="Times New Roman" w:hAnsi="Times New Roman" w:cs="Times New Roman"/>
          <w:sz w:val="24"/>
          <w:lang w:val="en-US"/>
        </w:rPr>
        <w:t>angiotensin-converting enzyme inhibitors</w:t>
      </w:r>
      <w:r w:rsidR="009C06E7">
        <w:rPr>
          <w:rFonts w:ascii="Times New Roman" w:hAnsi="Times New Roman" w:cs="Times New Roman"/>
          <w:sz w:val="24"/>
          <w:lang w:val="en-US"/>
        </w:rPr>
        <w:t xml:space="preserve">; ARB= </w:t>
      </w:r>
      <w:r w:rsidR="009C06E7" w:rsidRPr="00BF61AF">
        <w:rPr>
          <w:rFonts w:ascii="Times New Roman" w:hAnsi="Times New Roman" w:cs="Times New Roman"/>
          <w:sz w:val="24"/>
          <w:lang w:val="en-US"/>
        </w:rPr>
        <w:t>angiotensin receptor blockers</w:t>
      </w:r>
      <w:r w:rsidR="009C06E7">
        <w:rPr>
          <w:rFonts w:ascii="Times New Roman" w:hAnsi="Times New Roman" w:cs="Times New Roman"/>
          <w:sz w:val="24"/>
          <w:lang w:val="en-US"/>
        </w:rPr>
        <w:t>; CI= confidence interval.</w:t>
      </w:r>
    </w:p>
    <w:p w14:paraId="47285E4B" w14:textId="3B895BFC" w:rsidR="000218E8" w:rsidRPr="000218E8" w:rsidRDefault="000218E8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  <w:proofErr w:type="spellStart"/>
      <w:r w:rsidRPr="000218E8">
        <w:rPr>
          <w:rFonts w:ascii="Times New Roman" w:hAnsi="Times New Roman" w:cs="Times New Roman"/>
          <w:b/>
          <w:bCs/>
          <w:sz w:val="24"/>
          <w:lang w:val="en-US"/>
        </w:rPr>
        <w:t>ACE</w:t>
      </w:r>
      <w:r w:rsidR="00811A8B">
        <w:rPr>
          <w:rFonts w:ascii="Times New Roman" w:hAnsi="Times New Roman" w:cs="Times New Roman"/>
          <w:b/>
          <w:bCs/>
          <w:sz w:val="24"/>
          <w:lang w:val="en-US"/>
        </w:rPr>
        <w:t>i</w:t>
      </w:r>
      <w:proofErr w:type="spellEnd"/>
      <w:r w:rsidR="000F4BDE">
        <w:rPr>
          <w:rFonts w:ascii="Times New Roman" w:hAnsi="Times New Roman" w:cs="Times New Roman"/>
          <w:b/>
          <w:bCs/>
          <w:sz w:val="24"/>
          <w:lang w:val="en-US"/>
        </w:rPr>
        <w:t>/ARB</w:t>
      </w:r>
    </w:p>
    <w:p w14:paraId="55019EC6" w14:textId="3BEEBB95" w:rsidR="000218E8" w:rsidRPr="000218E8" w:rsidRDefault="000218E8" w:rsidP="000218E8">
      <w:pPr>
        <w:rPr>
          <w:rFonts w:ascii="Times New Roman" w:hAnsi="Times New Roman" w:cs="Times New Roman"/>
          <w:sz w:val="24"/>
          <w:lang w:val="en-US"/>
        </w:rPr>
      </w:pPr>
      <w:r w:rsidRPr="000218E8">
        <w:rPr>
          <w:rFonts w:ascii="Times New Roman" w:hAnsi="Times New Roman" w:cs="Times New Roman"/>
          <w:sz w:val="24"/>
          <w:lang w:val="en-US"/>
        </w:rPr>
        <w:t xml:space="preserve"> </w:t>
      </w:r>
      <w:r w:rsidRPr="000218E8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1509DF04" wp14:editId="0258D090">
            <wp:extent cx="7088104" cy="1771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06568" cy="18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8E8">
        <w:rPr>
          <w:rFonts w:ascii="Times New Roman" w:hAnsi="Times New Roman" w:cs="Times New Roman"/>
          <w:sz w:val="24"/>
          <w:lang w:val="en-US"/>
        </w:rPr>
        <w:t xml:space="preserve">  p = 0.534 </w:t>
      </w:r>
    </w:p>
    <w:p w14:paraId="0A03841C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61781E41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660FC758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132B5087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12C1ABDE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198C6529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3A34FC8E" w14:textId="2AEB2237" w:rsidR="000218E8" w:rsidRPr="000218E8" w:rsidRDefault="000218E8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  <w:proofErr w:type="gramStart"/>
      <w:r w:rsidRPr="000218E8">
        <w:rPr>
          <w:rFonts w:ascii="Times New Roman" w:hAnsi="Times New Roman" w:cs="Times New Roman"/>
          <w:b/>
          <w:bCs/>
          <w:sz w:val="24"/>
          <w:lang w:val="en-US"/>
        </w:rPr>
        <w:t>β-blockers</w:t>
      </w:r>
      <w:proofErr w:type="gramEnd"/>
    </w:p>
    <w:p w14:paraId="5A09C30F" w14:textId="24F8C321" w:rsidR="000218E8" w:rsidRPr="000218E8" w:rsidRDefault="000218E8" w:rsidP="000218E8">
      <w:pPr>
        <w:rPr>
          <w:rFonts w:ascii="Times New Roman" w:hAnsi="Times New Roman" w:cs="Times New Roman"/>
          <w:sz w:val="24"/>
          <w:lang w:val="en-US"/>
        </w:rPr>
      </w:pPr>
      <w:r w:rsidRPr="000218E8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19A178C3" wp14:editId="11CC8BD9">
            <wp:extent cx="7124700" cy="178079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65818" cy="181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8E8">
        <w:rPr>
          <w:rFonts w:ascii="Times New Roman" w:hAnsi="Times New Roman" w:cs="Times New Roman"/>
          <w:sz w:val="24"/>
          <w:lang w:val="en-US"/>
        </w:rPr>
        <w:t xml:space="preserve">   p = 0.638 </w:t>
      </w:r>
    </w:p>
    <w:p w14:paraId="3D705F37" w14:textId="77777777" w:rsidR="00BF61AF" w:rsidRDefault="00BF61AF">
      <w:pPr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br w:type="page"/>
      </w:r>
    </w:p>
    <w:p w14:paraId="10418030" w14:textId="6581BAE7" w:rsidR="000218E8" w:rsidRPr="000218E8" w:rsidRDefault="000218E8" w:rsidP="000218E8">
      <w:pPr>
        <w:rPr>
          <w:rFonts w:ascii="Times New Roman" w:hAnsi="Times New Roman" w:cs="Times New Roman"/>
          <w:sz w:val="24"/>
          <w:lang w:val="en-US"/>
        </w:rPr>
      </w:pPr>
      <w:r w:rsidRPr="000218E8">
        <w:rPr>
          <w:rFonts w:ascii="Times New Roman" w:hAnsi="Times New Roman" w:cs="Times New Roman"/>
          <w:b/>
          <w:bCs/>
          <w:sz w:val="24"/>
          <w:lang w:val="en-US"/>
        </w:rPr>
        <w:t>Figure S</w:t>
      </w:r>
      <w:r w:rsidR="00963516">
        <w:rPr>
          <w:rFonts w:ascii="Times New Roman" w:hAnsi="Times New Roman" w:cs="Times New Roman"/>
          <w:b/>
          <w:bCs/>
          <w:sz w:val="24"/>
          <w:lang w:val="en-US"/>
        </w:rPr>
        <w:t>6</w:t>
      </w:r>
      <w:r w:rsidRPr="000218E8">
        <w:rPr>
          <w:rFonts w:ascii="Times New Roman" w:hAnsi="Times New Roman" w:cs="Times New Roman"/>
          <w:b/>
          <w:bCs/>
          <w:sz w:val="24"/>
          <w:lang w:val="en-US"/>
        </w:rPr>
        <w:t>.</w:t>
      </w:r>
      <w:r w:rsidRPr="000218E8">
        <w:rPr>
          <w:rFonts w:ascii="Times New Roman" w:hAnsi="Times New Roman" w:cs="Times New Roman"/>
          <w:sz w:val="24"/>
          <w:lang w:val="en-US"/>
        </w:rPr>
        <w:t xml:space="preserve"> Shift analysis showing sex differences in achieved fraction target dose of </w:t>
      </w:r>
      <w:r w:rsidR="00BF61AF" w:rsidRPr="00BF61AF">
        <w:rPr>
          <w:rFonts w:ascii="Times New Roman" w:hAnsi="Times New Roman" w:cs="Times New Roman"/>
          <w:sz w:val="24"/>
          <w:lang w:val="en-US"/>
        </w:rPr>
        <w:t>angiotensin-converting enzyme inhibitors (</w:t>
      </w:r>
      <w:proofErr w:type="spellStart"/>
      <w:r w:rsidR="00BF61AF" w:rsidRPr="00BF61AF">
        <w:rPr>
          <w:rFonts w:ascii="Times New Roman" w:hAnsi="Times New Roman" w:cs="Times New Roman"/>
          <w:sz w:val="24"/>
          <w:lang w:val="en-US"/>
        </w:rPr>
        <w:t>ACEi</w:t>
      </w:r>
      <w:proofErr w:type="spellEnd"/>
      <w:r w:rsidR="00BF61AF" w:rsidRPr="00BF61AF">
        <w:rPr>
          <w:rFonts w:ascii="Times New Roman" w:hAnsi="Times New Roman" w:cs="Times New Roman"/>
          <w:sz w:val="24"/>
          <w:lang w:val="en-US"/>
        </w:rPr>
        <w:t xml:space="preserve">) or angiotensin receptor blockers (ARB) </w:t>
      </w:r>
      <w:r w:rsidRPr="000218E8">
        <w:rPr>
          <w:rFonts w:ascii="Times New Roman" w:hAnsi="Times New Roman" w:cs="Times New Roman"/>
          <w:sz w:val="24"/>
          <w:lang w:val="en-US"/>
        </w:rPr>
        <w:t>and β-blockers.  Within each drug category: panel (A) show 1D scatterplots, with the deciles marked by grey vertical lines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0218E8">
        <w:rPr>
          <w:rFonts w:ascii="Times New Roman" w:hAnsi="Times New Roman" w:cs="Times New Roman"/>
          <w:sz w:val="24"/>
          <w:lang w:val="en-US"/>
        </w:rPr>
        <w:t xml:space="preserve">sex groups are plotted along the y-axis; panel (B) depicts the shift function, </w:t>
      </w:r>
      <w:r>
        <w:rPr>
          <w:rFonts w:ascii="Times New Roman" w:hAnsi="Times New Roman" w:cs="Times New Roman"/>
          <w:sz w:val="24"/>
          <w:lang w:val="en-US"/>
        </w:rPr>
        <w:t xml:space="preserve">differences in the distributions for men and women </w:t>
      </w:r>
      <w:r w:rsidRPr="000218E8">
        <w:rPr>
          <w:rFonts w:ascii="Times New Roman" w:hAnsi="Times New Roman" w:cs="Times New Roman"/>
          <w:sz w:val="24"/>
          <w:lang w:val="en-US"/>
        </w:rPr>
        <w:t xml:space="preserve">are plotted along the y-axis for each decile (white </w:t>
      </w:r>
      <w:r>
        <w:rPr>
          <w:rFonts w:ascii="Times New Roman" w:hAnsi="Times New Roman" w:cs="Times New Roman"/>
          <w:sz w:val="24"/>
          <w:lang w:val="en-US"/>
        </w:rPr>
        <w:t>dots</w:t>
      </w:r>
      <w:r w:rsidRPr="000218E8">
        <w:rPr>
          <w:rFonts w:ascii="Times New Roman" w:hAnsi="Times New Roman" w:cs="Times New Roman"/>
          <w:sz w:val="24"/>
          <w:lang w:val="en-US"/>
        </w:rPr>
        <w:t xml:space="preserve">), as a function of women deciles. For each decile difference, the vertical line indicates its 95% bootstrap confidence interval. Overall p-values </w:t>
      </w:r>
      <w:proofErr w:type="gramStart"/>
      <w:r w:rsidRPr="000218E8">
        <w:rPr>
          <w:rFonts w:ascii="Times New Roman" w:hAnsi="Times New Roman" w:cs="Times New Roman"/>
          <w:sz w:val="24"/>
          <w:lang w:val="en-US"/>
        </w:rPr>
        <w:t>are obtained</w:t>
      </w:r>
      <w:proofErr w:type="gramEnd"/>
      <w:r w:rsidRPr="000218E8">
        <w:rPr>
          <w:rFonts w:ascii="Times New Roman" w:hAnsi="Times New Roman" w:cs="Times New Roman"/>
          <w:sz w:val="24"/>
          <w:lang w:val="en-US"/>
        </w:rPr>
        <w:t xml:space="preserve"> comparing each pair of distributions (women vs. men) with the Kolmogorov-Smirnov test.</w:t>
      </w:r>
      <w:r w:rsidR="009C06E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C06E7">
        <w:rPr>
          <w:rFonts w:ascii="Times New Roman" w:hAnsi="Times New Roman" w:cs="Times New Roman"/>
          <w:sz w:val="24"/>
          <w:lang w:val="en-US"/>
        </w:rPr>
        <w:t>ACEi</w:t>
      </w:r>
      <w:proofErr w:type="spellEnd"/>
      <w:r w:rsidR="009C06E7">
        <w:rPr>
          <w:rFonts w:ascii="Times New Roman" w:hAnsi="Times New Roman" w:cs="Times New Roman"/>
          <w:sz w:val="24"/>
          <w:lang w:val="en-US"/>
        </w:rPr>
        <w:t xml:space="preserve">= </w:t>
      </w:r>
      <w:r w:rsidR="009C06E7" w:rsidRPr="00BF61AF">
        <w:rPr>
          <w:rFonts w:ascii="Times New Roman" w:hAnsi="Times New Roman" w:cs="Times New Roman"/>
          <w:sz w:val="24"/>
          <w:lang w:val="en-US"/>
        </w:rPr>
        <w:t>angiotensin-converting enzyme inhibitors</w:t>
      </w:r>
      <w:r w:rsidR="009C06E7">
        <w:rPr>
          <w:rFonts w:ascii="Times New Roman" w:hAnsi="Times New Roman" w:cs="Times New Roman"/>
          <w:sz w:val="24"/>
          <w:lang w:val="en-US"/>
        </w:rPr>
        <w:t xml:space="preserve">; ARB= </w:t>
      </w:r>
      <w:r w:rsidR="009C06E7" w:rsidRPr="00BF61AF">
        <w:rPr>
          <w:rFonts w:ascii="Times New Roman" w:hAnsi="Times New Roman" w:cs="Times New Roman"/>
          <w:sz w:val="24"/>
          <w:lang w:val="en-US"/>
        </w:rPr>
        <w:t>angiotensin receptor blockers</w:t>
      </w:r>
      <w:r w:rsidR="009C06E7">
        <w:rPr>
          <w:rFonts w:ascii="Times New Roman" w:hAnsi="Times New Roman" w:cs="Times New Roman"/>
          <w:sz w:val="24"/>
          <w:lang w:val="en-US"/>
        </w:rPr>
        <w:t>; CI= confidence interval.</w:t>
      </w:r>
    </w:p>
    <w:p w14:paraId="3BDF716D" w14:textId="5B0EA3F9" w:rsidR="000218E8" w:rsidRPr="000218E8" w:rsidRDefault="000218E8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  <w:proofErr w:type="spellStart"/>
      <w:r w:rsidRPr="000218E8">
        <w:rPr>
          <w:rFonts w:ascii="Times New Roman" w:hAnsi="Times New Roman" w:cs="Times New Roman"/>
          <w:b/>
          <w:bCs/>
          <w:sz w:val="24"/>
          <w:lang w:val="en-US"/>
        </w:rPr>
        <w:t>ACE</w:t>
      </w:r>
      <w:r w:rsidR="00811A8B">
        <w:rPr>
          <w:rFonts w:ascii="Times New Roman" w:hAnsi="Times New Roman" w:cs="Times New Roman"/>
          <w:b/>
          <w:bCs/>
          <w:sz w:val="24"/>
          <w:lang w:val="en-US"/>
        </w:rPr>
        <w:t>i</w:t>
      </w:r>
      <w:proofErr w:type="spellEnd"/>
      <w:r w:rsidR="000F4BDE">
        <w:rPr>
          <w:rFonts w:ascii="Times New Roman" w:hAnsi="Times New Roman" w:cs="Times New Roman"/>
          <w:b/>
          <w:bCs/>
          <w:sz w:val="24"/>
          <w:lang w:val="en-US"/>
        </w:rPr>
        <w:t>/ARB</w:t>
      </w:r>
    </w:p>
    <w:p w14:paraId="12409E58" w14:textId="42215959" w:rsidR="000218E8" w:rsidRPr="000218E8" w:rsidRDefault="000218E8" w:rsidP="000218E8">
      <w:pPr>
        <w:rPr>
          <w:rFonts w:ascii="Times New Roman" w:hAnsi="Times New Roman" w:cs="Times New Roman"/>
          <w:sz w:val="24"/>
          <w:lang w:val="en-US"/>
        </w:rPr>
      </w:pPr>
      <w:r w:rsidRPr="000218E8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120DEE55" wp14:editId="02844F7D">
            <wp:extent cx="7354863" cy="1838325"/>
            <wp:effectExtent l="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10681" cy="185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8E8">
        <w:rPr>
          <w:rFonts w:ascii="Times New Roman" w:hAnsi="Times New Roman" w:cs="Times New Roman"/>
          <w:sz w:val="24"/>
          <w:lang w:val="en-US"/>
        </w:rPr>
        <w:t xml:space="preserve">   p = 0.989 </w:t>
      </w:r>
    </w:p>
    <w:p w14:paraId="70DA8BC8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006BEBBB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585C3F8D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016B3185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1A2E96DB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1DCD6228" w14:textId="77777777" w:rsidR="009C06E7" w:rsidRDefault="009C06E7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54075608" w14:textId="085E1EB9" w:rsidR="000218E8" w:rsidRPr="000218E8" w:rsidRDefault="000218E8" w:rsidP="000218E8">
      <w:pPr>
        <w:rPr>
          <w:rFonts w:ascii="Times New Roman" w:hAnsi="Times New Roman" w:cs="Times New Roman"/>
          <w:b/>
          <w:bCs/>
          <w:sz w:val="24"/>
          <w:lang w:val="en-US"/>
        </w:rPr>
      </w:pPr>
      <w:proofErr w:type="gramStart"/>
      <w:r w:rsidRPr="000218E8">
        <w:rPr>
          <w:rFonts w:ascii="Times New Roman" w:hAnsi="Times New Roman" w:cs="Times New Roman"/>
          <w:b/>
          <w:bCs/>
          <w:sz w:val="24"/>
          <w:lang w:val="en-US"/>
        </w:rPr>
        <w:t>β-blockers</w:t>
      </w:r>
      <w:proofErr w:type="gramEnd"/>
    </w:p>
    <w:p w14:paraId="6DA71602" w14:textId="77777777" w:rsidR="00811A8B" w:rsidRDefault="000218E8" w:rsidP="00AA19BA">
      <w:pPr>
        <w:rPr>
          <w:rFonts w:ascii="Times New Roman" w:hAnsi="Times New Roman" w:cs="Times New Roman"/>
          <w:sz w:val="24"/>
          <w:lang w:val="en-US"/>
        </w:rPr>
      </w:pPr>
      <w:r w:rsidRPr="000218E8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4030F328" wp14:editId="572730AD">
            <wp:extent cx="7362825" cy="1840315"/>
            <wp:effectExtent l="0" t="0" r="0" b="7620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32691" cy="185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8E8">
        <w:rPr>
          <w:rFonts w:ascii="Times New Roman" w:hAnsi="Times New Roman" w:cs="Times New Roman"/>
          <w:sz w:val="24"/>
          <w:lang w:val="en-US"/>
        </w:rPr>
        <w:t xml:space="preserve">   p = 0.992</w:t>
      </w:r>
    </w:p>
    <w:p w14:paraId="45AED68A" w14:textId="77777777" w:rsidR="00BF61AF" w:rsidRDefault="00BF61AF">
      <w:pPr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br w:type="page"/>
      </w:r>
    </w:p>
    <w:p w14:paraId="3734BBDD" w14:textId="3CEC2242" w:rsidR="00C2754E" w:rsidRDefault="00811A8B" w:rsidP="00811A8B">
      <w:pPr>
        <w:rPr>
          <w:rFonts w:ascii="Times New Roman" w:hAnsi="Times New Roman" w:cs="Times New Roman"/>
          <w:sz w:val="24"/>
          <w:lang w:val="en-US"/>
        </w:rPr>
      </w:pPr>
      <w:r w:rsidRPr="00FD3FE9">
        <w:rPr>
          <w:rFonts w:ascii="Times New Roman" w:hAnsi="Times New Roman" w:cs="Times New Roman"/>
          <w:b/>
          <w:bCs/>
          <w:sz w:val="24"/>
          <w:lang w:val="en-US"/>
        </w:rPr>
        <w:t>Figure</w:t>
      </w:r>
      <w:r w:rsidR="00FD3FE9" w:rsidRPr="00FD3FE9">
        <w:rPr>
          <w:rFonts w:ascii="Times New Roman" w:hAnsi="Times New Roman" w:cs="Times New Roman"/>
          <w:b/>
          <w:bCs/>
          <w:sz w:val="24"/>
          <w:lang w:val="en-US"/>
        </w:rPr>
        <w:t xml:space="preserve"> S</w:t>
      </w:r>
      <w:r w:rsidR="00963516">
        <w:rPr>
          <w:rFonts w:ascii="Times New Roman" w:hAnsi="Times New Roman" w:cs="Times New Roman"/>
          <w:b/>
          <w:bCs/>
          <w:sz w:val="24"/>
          <w:lang w:val="en-US"/>
        </w:rPr>
        <w:t>7</w:t>
      </w:r>
      <w:r w:rsidRPr="00FD3FE9">
        <w:rPr>
          <w:rFonts w:ascii="Times New Roman" w:hAnsi="Times New Roman" w:cs="Times New Roman"/>
          <w:b/>
          <w:bCs/>
          <w:sz w:val="24"/>
          <w:lang w:val="en-US"/>
        </w:rPr>
        <w:t>.</w:t>
      </w:r>
      <w:r w:rsidRPr="00811A8B">
        <w:rPr>
          <w:rFonts w:ascii="Times New Roman" w:hAnsi="Times New Roman" w:cs="Times New Roman"/>
          <w:sz w:val="24"/>
          <w:lang w:val="en-US"/>
        </w:rPr>
        <w:t xml:space="preserve"> </w:t>
      </w:r>
      <w:bookmarkStart w:id="5" w:name="_Hlk48126500"/>
      <w:r w:rsidRPr="00811A8B">
        <w:rPr>
          <w:rFonts w:ascii="Times New Roman" w:hAnsi="Times New Roman" w:cs="Times New Roman"/>
          <w:sz w:val="24"/>
          <w:lang w:val="en-US"/>
        </w:rPr>
        <w:t xml:space="preserve">Shift analysis showing sex differences between the quantiles of </w:t>
      </w:r>
      <w:r w:rsidR="00BF61AF">
        <w:rPr>
          <w:rFonts w:ascii="Times New Roman" w:hAnsi="Times New Roman" w:cs="Times New Roman"/>
          <w:sz w:val="24"/>
          <w:lang w:val="en-US"/>
        </w:rPr>
        <w:t xml:space="preserve">Kansas City Cardiomyopathy Questionnaire change (Delta </w:t>
      </w:r>
      <w:r w:rsidR="00BF61AF" w:rsidRPr="00811A8B">
        <w:rPr>
          <w:rFonts w:ascii="Times New Roman" w:hAnsi="Times New Roman" w:cs="Times New Roman"/>
          <w:sz w:val="24"/>
          <w:lang w:val="en-US"/>
        </w:rPr>
        <w:t>KCCQ-OS</w:t>
      </w:r>
      <w:r w:rsidR="00BF61AF">
        <w:rPr>
          <w:rFonts w:ascii="Times New Roman" w:hAnsi="Times New Roman" w:cs="Times New Roman"/>
          <w:sz w:val="24"/>
          <w:lang w:val="en-US"/>
        </w:rPr>
        <w:t>)</w:t>
      </w:r>
      <w:r w:rsidRPr="00811A8B">
        <w:rPr>
          <w:rFonts w:ascii="Times New Roman" w:hAnsi="Times New Roman" w:cs="Times New Roman"/>
          <w:sz w:val="24"/>
          <w:lang w:val="en-US"/>
        </w:rPr>
        <w:t xml:space="preserve"> from baseline to 9 months, at varying levels of achieved fraction target dose of </w:t>
      </w:r>
      <w:r w:rsidR="00BF61AF" w:rsidRPr="00BF61AF">
        <w:rPr>
          <w:rFonts w:ascii="Times New Roman" w:hAnsi="Times New Roman" w:cs="Times New Roman"/>
          <w:sz w:val="24"/>
          <w:lang w:val="en-US"/>
        </w:rPr>
        <w:t>angiotensin-converting enzyme inhibitors (</w:t>
      </w:r>
      <w:proofErr w:type="spellStart"/>
      <w:r w:rsidR="00BF61AF" w:rsidRPr="00BF61AF">
        <w:rPr>
          <w:rFonts w:ascii="Times New Roman" w:hAnsi="Times New Roman" w:cs="Times New Roman"/>
          <w:sz w:val="24"/>
          <w:lang w:val="en-US"/>
        </w:rPr>
        <w:t>ACEi</w:t>
      </w:r>
      <w:proofErr w:type="spellEnd"/>
      <w:r w:rsidR="00BF61AF" w:rsidRPr="00BF61AF">
        <w:rPr>
          <w:rFonts w:ascii="Times New Roman" w:hAnsi="Times New Roman" w:cs="Times New Roman"/>
          <w:sz w:val="24"/>
          <w:lang w:val="en-US"/>
        </w:rPr>
        <w:t xml:space="preserve">) or angiotensin receptor blockers (ARB) </w:t>
      </w:r>
      <w:r w:rsidRPr="00811A8B">
        <w:rPr>
          <w:rFonts w:ascii="Times New Roman" w:hAnsi="Times New Roman" w:cs="Times New Roman"/>
          <w:sz w:val="24"/>
          <w:lang w:val="en-US"/>
        </w:rPr>
        <w:t xml:space="preserve">and β-blockers.  </w:t>
      </w:r>
      <w:bookmarkEnd w:id="5"/>
      <w:r w:rsidRPr="00811A8B">
        <w:rPr>
          <w:rFonts w:ascii="Times New Roman" w:hAnsi="Times New Roman" w:cs="Times New Roman"/>
          <w:sz w:val="24"/>
          <w:lang w:val="en-US"/>
        </w:rPr>
        <w:t xml:space="preserve">Within each dose level: panel (A) show 1D scatterplots, with the deciles marked by grey vertical lines; panel (B) depicts the shift function, </w:t>
      </w:r>
      <w:r w:rsidR="00FD3FE9">
        <w:rPr>
          <w:rFonts w:ascii="Times New Roman" w:hAnsi="Times New Roman" w:cs="Times New Roman"/>
          <w:sz w:val="24"/>
          <w:lang w:val="en-US"/>
        </w:rPr>
        <w:t xml:space="preserve">differences in the distributions for men and women </w:t>
      </w:r>
      <w:r w:rsidR="00FD3FE9" w:rsidRPr="000218E8">
        <w:rPr>
          <w:rFonts w:ascii="Times New Roman" w:hAnsi="Times New Roman" w:cs="Times New Roman"/>
          <w:sz w:val="24"/>
          <w:lang w:val="en-US"/>
        </w:rPr>
        <w:t xml:space="preserve">are plotted along the y-axis for each decile (white </w:t>
      </w:r>
      <w:r w:rsidR="00FD3FE9">
        <w:rPr>
          <w:rFonts w:ascii="Times New Roman" w:hAnsi="Times New Roman" w:cs="Times New Roman"/>
          <w:sz w:val="24"/>
          <w:lang w:val="en-US"/>
        </w:rPr>
        <w:t>dots</w:t>
      </w:r>
      <w:r w:rsidR="00FD3FE9" w:rsidRPr="000218E8">
        <w:rPr>
          <w:rFonts w:ascii="Times New Roman" w:hAnsi="Times New Roman" w:cs="Times New Roman"/>
          <w:sz w:val="24"/>
          <w:lang w:val="en-US"/>
        </w:rPr>
        <w:t>), as a function of women deciles. For each decile difference, the vertical line indicates its 95% bootstrap confidence interval</w:t>
      </w:r>
      <w:r w:rsidRPr="00811A8B">
        <w:rPr>
          <w:rFonts w:ascii="Times New Roman" w:hAnsi="Times New Roman" w:cs="Times New Roman"/>
          <w:sz w:val="24"/>
          <w:lang w:val="en-US"/>
        </w:rPr>
        <w:t xml:space="preserve">. Overall p-values </w:t>
      </w:r>
      <w:proofErr w:type="gramStart"/>
      <w:r w:rsidRPr="00811A8B">
        <w:rPr>
          <w:rFonts w:ascii="Times New Roman" w:hAnsi="Times New Roman" w:cs="Times New Roman"/>
          <w:sz w:val="24"/>
          <w:lang w:val="en-US"/>
        </w:rPr>
        <w:t>are obtained</w:t>
      </w:r>
      <w:proofErr w:type="gramEnd"/>
      <w:r w:rsidRPr="00811A8B">
        <w:rPr>
          <w:rFonts w:ascii="Times New Roman" w:hAnsi="Times New Roman" w:cs="Times New Roman"/>
          <w:sz w:val="24"/>
          <w:lang w:val="en-US"/>
        </w:rPr>
        <w:t xml:space="preserve"> comparing each pair of distributions (women vs. men) with the Kolmogorov-Smirnov test.</w:t>
      </w:r>
      <w:r w:rsidR="009C06E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C06E7">
        <w:rPr>
          <w:rFonts w:ascii="Times New Roman" w:hAnsi="Times New Roman" w:cs="Times New Roman"/>
          <w:sz w:val="24"/>
          <w:lang w:val="en-US"/>
        </w:rPr>
        <w:t>ACEi</w:t>
      </w:r>
      <w:proofErr w:type="spellEnd"/>
      <w:r w:rsidR="009C06E7">
        <w:rPr>
          <w:rFonts w:ascii="Times New Roman" w:hAnsi="Times New Roman" w:cs="Times New Roman"/>
          <w:sz w:val="24"/>
          <w:lang w:val="en-US"/>
        </w:rPr>
        <w:t xml:space="preserve">= </w:t>
      </w:r>
      <w:r w:rsidR="009C06E7" w:rsidRPr="00BF61AF">
        <w:rPr>
          <w:rFonts w:ascii="Times New Roman" w:hAnsi="Times New Roman" w:cs="Times New Roman"/>
          <w:sz w:val="24"/>
          <w:lang w:val="en-US"/>
        </w:rPr>
        <w:t>angiotensin-converting enzyme inhibitors</w:t>
      </w:r>
      <w:r w:rsidR="009C06E7">
        <w:rPr>
          <w:rFonts w:ascii="Times New Roman" w:hAnsi="Times New Roman" w:cs="Times New Roman"/>
          <w:sz w:val="24"/>
          <w:lang w:val="en-US"/>
        </w:rPr>
        <w:t xml:space="preserve">; ARB= </w:t>
      </w:r>
      <w:r w:rsidR="009C06E7" w:rsidRPr="00BF61AF">
        <w:rPr>
          <w:rFonts w:ascii="Times New Roman" w:hAnsi="Times New Roman" w:cs="Times New Roman"/>
          <w:sz w:val="24"/>
          <w:lang w:val="en-US"/>
        </w:rPr>
        <w:t>angiotensin receptor blockers</w:t>
      </w:r>
      <w:r w:rsidR="009C06E7">
        <w:rPr>
          <w:rFonts w:ascii="Times New Roman" w:hAnsi="Times New Roman" w:cs="Times New Roman"/>
          <w:sz w:val="24"/>
          <w:lang w:val="en-US"/>
        </w:rPr>
        <w:t xml:space="preserve">; CI= confidence interval; delta KCCQ-OS= Kansas City Cardiomyopathy Questionnaire change </w:t>
      </w:r>
      <w:r w:rsidR="009C06E7" w:rsidRPr="00811A8B">
        <w:rPr>
          <w:rFonts w:ascii="Times New Roman" w:hAnsi="Times New Roman" w:cs="Times New Roman"/>
          <w:sz w:val="24"/>
          <w:lang w:val="en-US"/>
        </w:rPr>
        <w:t>from baseline to 9 months</w:t>
      </w:r>
      <w:r w:rsidR="009C06E7">
        <w:rPr>
          <w:rFonts w:ascii="Times New Roman" w:hAnsi="Times New Roman" w:cs="Times New Roman"/>
          <w:sz w:val="24"/>
          <w:lang w:val="en-US"/>
        </w:rPr>
        <w:t>; V1= baseline visit; V2= 9 months visit.</w:t>
      </w:r>
    </w:p>
    <w:p w14:paraId="19B9E069" w14:textId="0AE2E068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3CC7BB77" w14:textId="556F9B39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35A2AF20" w14:textId="3D253B29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585B7A3F" w14:textId="486DA15F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30D4953A" w14:textId="666D9222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148C07CF" w14:textId="5B14416D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331ED966" w14:textId="4186FFFC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73174FE5" w14:textId="6060ECDD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016BD10D" w14:textId="203F8F61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416C43CC" w14:textId="7171B9FE" w:rsidR="00C2754E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p w14:paraId="32F9355E" w14:textId="77777777" w:rsidR="00C2754E" w:rsidRPr="00811A8B" w:rsidRDefault="00C2754E" w:rsidP="00811A8B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Grilledutableau"/>
        <w:tblpPr w:leftFromText="180" w:rightFromText="180" w:vertAnchor="page" w:horzAnchor="margin" w:tblpXSpec="center" w:tblpY="992"/>
        <w:tblW w:w="15729" w:type="dxa"/>
        <w:tblLayout w:type="fixed"/>
        <w:tblLook w:val="04A0" w:firstRow="1" w:lastRow="0" w:firstColumn="1" w:lastColumn="0" w:noHBand="0" w:noVBand="1"/>
      </w:tblPr>
      <w:tblGrid>
        <w:gridCol w:w="1135"/>
        <w:gridCol w:w="6373"/>
        <w:gridCol w:w="851"/>
        <w:gridCol w:w="6520"/>
        <w:gridCol w:w="850"/>
      </w:tblGrid>
      <w:tr w:rsidR="00811A8B" w:rsidRPr="00811A8B" w14:paraId="2DA0B35C" w14:textId="77777777" w:rsidTr="00C2754E">
        <w:tc>
          <w:tcPr>
            <w:tcW w:w="1135" w:type="dxa"/>
            <w:tcBorders>
              <w:bottom w:val="single" w:sz="4" w:space="0" w:color="auto"/>
              <w:tl2br w:val="single" w:sz="4" w:space="0" w:color="auto"/>
            </w:tcBorders>
          </w:tcPr>
          <w:p w14:paraId="50A85CDD" w14:textId="7366A94C" w:rsidR="00811A8B" w:rsidRPr="00C2754E" w:rsidRDefault="00FD3FE9" w:rsidP="00C2754E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54E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  </w:t>
            </w:r>
            <w:r w:rsidR="00C2754E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</w:t>
            </w:r>
            <w:r w:rsidRPr="00C2754E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</w:p>
          <w:p w14:paraId="05238A96" w14:textId="2D446CC2" w:rsidR="00FD3FE9" w:rsidRPr="00C2754E" w:rsidRDefault="00C2754E" w:rsidP="00C2754E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      </w:t>
            </w:r>
            <w:r w:rsidRPr="00C2754E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Drug</w:t>
            </w:r>
          </w:p>
          <w:p w14:paraId="65FF7595" w14:textId="570F685D" w:rsidR="00811A8B" w:rsidRPr="00C2754E" w:rsidRDefault="00811A8B" w:rsidP="00C2754E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C2754E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Frac</w:t>
            </w:r>
            <w:proofErr w:type="spellEnd"/>
            <w:r w:rsidRPr="00C2754E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.</w:t>
            </w:r>
          </w:p>
          <w:p w14:paraId="144EB32B" w14:textId="728A6FDE" w:rsidR="00811A8B" w:rsidRPr="00811A8B" w:rsidRDefault="00811A8B" w:rsidP="00C275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2754E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target dose 3 months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2A3C2A86" w14:textId="6DF897FE" w:rsidR="00811A8B" w:rsidRPr="00FD3FE9" w:rsidRDefault="00811A8B" w:rsidP="00C275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FD3FE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ACE</w:t>
            </w:r>
            <w:r w:rsidR="00FD3FE9" w:rsidRPr="00FD3FE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</w:t>
            </w:r>
            <w:proofErr w:type="spellEnd"/>
            <w:r w:rsidR="00FD3FE9" w:rsidRPr="00FD3FE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/ARB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382F78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4381F1CD" w14:textId="77777777" w:rsidR="00811A8B" w:rsidRPr="00FD3FE9" w:rsidRDefault="00811A8B" w:rsidP="00C275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FD3FE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β-Blockers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260BD4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</w:tr>
      <w:tr w:rsidR="00811A8B" w:rsidRPr="00811A8B" w14:paraId="22E1BEAB" w14:textId="77777777" w:rsidTr="00C2754E"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14:paraId="090DA744" w14:textId="77777777" w:rsidR="00811A8B" w:rsidRPr="00FD3FE9" w:rsidRDefault="00811A8B" w:rsidP="00C275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FD3FE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0%</w:t>
            </w:r>
          </w:p>
        </w:tc>
        <w:tc>
          <w:tcPr>
            <w:tcW w:w="6373" w:type="dxa"/>
            <w:tcBorders>
              <w:top w:val="single" w:sz="4" w:space="0" w:color="auto"/>
              <w:bottom w:val="nil"/>
            </w:tcBorders>
          </w:tcPr>
          <w:p w14:paraId="6BD6A32F" w14:textId="77777777" w:rsidR="00811A8B" w:rsidRPr="00811A8B" w:rsidRDefault="00811A8B" w:rsidP="00C275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noProof/>
                <w:sz w:val="24"/>
                <w:lang w:val="fr-FR" w:eastAsia="fr-FR"/>
              </w:rPr>
              <w:drawing>
                <wp:inline distT="0" distB="0" distL="0" distR="0" wp14:anchorId="5D4E5A76" wp14:editId="5562D581">
                  <wp:extent cx="3954145" cy="1186325"/>
                  <wp:effectExtent l="0" t="0" r="825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835" cy="118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243F26DB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0.935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25C25EE0" w14:textId="77777777" w:rsidR="00811A8B" w:rsidRPr="00811A8B" w:rsidRDefault="00811A8B" w:rsidP="00C275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noProof/>
                <w:sz w:val="24"/>
                <w:lang w:val="fr-FR" w:eastAsia="fr-FR"/>
              </w:rPr>
              <w:drawing>
                <wp:inline distT="0" distB="0" distL="0" distR="0" wp14:anchorId="41AA7DCB" wp14:editId="2BEE7B04">
                  <wp:extent cx="4025265" cy="120766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143" cy="1225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2CBE7D82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0.745</w:t>
            </w:r>
          </w:p>
        </w:tc>
      </w:tr>
      <w:tr w:rsidR="00811A8B" w:rsidRPr="00811A8B" w14:paraId="21CA4904" w14:textId="77777777" w:rsidTr="00C2754E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495C62D0" w14:textId="77777777" w:rsidR="00811A8B" w:rsidRPr="00FD3FE9" w:rsidRDefault="00811A8B" w:rsidP="00C275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FD3FE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1-49%</w:t>
            </w:r>
          </w:p>
        </w:tc>
        <w:tc>
          <w:tcPr>
            <w:tcW w:w="6373" w:type="dxa"/>
            <w:tcBorders>
              <w:top w:val="nil"/>
              <w:bottom w:val="nil"/>
            </w:tcBorders>
          </w:tcPr>
          <w:p w14:paraId="7847A458" w14:textId="77777777" w:rsidR="00811A8B" w:rsidRPr="00811A8B" w:rsidRDefault="00811A8B" w:rsidP="00C275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noProof/>
                <w:sz w:val="24"/>
                <w:lang w:val="fr-FR" w:eastAsia="fr-FR"/>
              </w:rPr>
              <w:drawing>
                <wp:inline distT="0" distB="0" distL="0" distR="0" wp14:anchorId="14AEF425" wp14:editId="6393BB44">
                  <wp:extent cx="3954145" cy="1186329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352" cy="118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F78BB8D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0.700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5C00C88" w14:textId="77777777" w:rsidR="00811A8B" w:rsidRPr="00811A8B" w:rsidRDefault="00811A8B" w:rsidP="00C275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noProof/>
                <w:sz w:val="24"/>
                <w:lang w:val="fr-FR" w:eastAsia="fr-FR"/>
              </w:rPr>
              <w:drawing>
                <wp:inline distT="0" distB="0" distL="0" distR="0" wp14:anchorId="19104859" wp14:editId="22D3368B">
                  <wp:extent cx="4025735" cy="12078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207" cy="121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3AD7E12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0.887</w:t>
            </w:r>
          </w:p>
        </w:tc>
      </w:tr>
      <w:tr w:rsidR="00811A8B" w:rsidRPr="00811A8B" w14:paraId="5AC7107C" w14:textId="77777777" w:rsidTr="00C2754E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685FD513" w14:textId="77777777" w:rsidR="00811A8B" w:rsidRPr="00FD3FE9" w:rsidRDefault="00811A8B" w:rsidP="00C275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FD3FE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50-99%</w:t>
            </w:r>
          </w:p>
        </w:tc>
        <w:tc>
          <w:tcPr>
            <w:tcW w:w="6373" w:type="dxa"/>
            <w:tcBorders>
              <w:top w:val="nil"/>
              <w:bottom w:val="nil"/>
            </w:tcBorders>
          </w:tcPr>
          <w:p w14:paraId="3F7E23B4" w14:textId="77777777" w:rsidR="00811A8B" w:rsidRPr="00811A8B" w:rsidRDefault="00811A8B" w:rsidP="00C275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noProof/>
                <w:sz w:val="24"/>
                <w:lang w:val="fr-FR" w:eastAsia="fr-FR"/>
              </w:rPr>
              <w:drawing>
                <wp:inline distT="0" distB="0" distL="0" distR="0" wp14:anchorId="3E2969E1" wp14:editId="25E91D7F">
                  <wp:extent cx="3954483" cy="1186429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526" cy="119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52C7626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0.923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5BD6DC3" w14:textId="77777777" w:rsidR="00811A8B" w:rsidRPr="00811A8B" w:rsidRDefault="00811A8B" w:rsidP="00C275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noProof/>
                <w:sz w:val="24"/>
                <w:lang w:val="fr-FR" w:eastAsia="fr-FR"/>
              </w:rPr>
              <w:drawing>
                <wp:inline distT="0" distB="0" distL="0" distR="0" wp14:anchorId="1923E567" wp14:editId="59D871A8">
                  <wp:extent cx="4049486" cy="1214931"/>
                  <wp:effectExtent l="0" t="0" r="825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568" cy="122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F28C97F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0.862</w:t>
            </w:r>
          </w:p>
        </w:tc>
      </w:tr>
      <w:tr w:rsidR="00811A8B" w:rsidRPr="00811A8B" w14:paraId="001ACF37" w14:textId="77777777" w:rsidTr="00C2754E">
        <w:tc>
          <w:tcPr>
            <w:tcW w:w="1135" w:type="dxa"/>
            <w:tcBorders>
              <w:top w:val="nil"/>
            </w:tcBorders>
            <w:vAlign w:val="center"/>
          </w:tcPr>
          <w:p w14:paraId="21D04EEC" w14:textId="77777777" w:rsidR="00811A8B" w:rsidRPr="00FD3FE9" w:rsidRDefault="00811A8B" w:rsidP="00C275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FD3FE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≥ 100%</w:t>
            </w:r>
          </w:p>
        </w:tc>
        <w:tc>
          <w:tcPr>
            <w:tcW w:w="6373" w:type="dxa"/>
            <w:tcBorders>
              <w:top w:val="nil"/>
            </w:tcBorders>
          </w:tcPr>
          <w:p w14:paraId="4F708076" w14:textId="77777777" w:rsidR="00811A8B" w:rsidRPr="00811A8B" w:rsidRDefault="00811A8B" w:rsidP="00C275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noProof/>
                <w:sz w:val="24"/>
                <w:lang w:val="fr-FR" w:eastAsia="fr-FR"/>
              </w:rPr>
              <w:drawing>
                <wp:inline distT="0" distB="0" distL="0" distR="0" wp14:anchorId="3ABE9DD6" wp14:editId="6CE04AC0">
                  <wp:extent cx="3954145" cy="1186328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059" cy="1191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9FD08B5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0.036</w:t>
            </w:r>
          </w:p>
        </w:tc>
        <w:tc>
          <w:tcPr>
            <w:tcW w:w="6520" w:type="dxa"/>
            <w:tcBorders>
              <w:top w:val="nil"/>
            </w:tcBorders>
          </w:tcPr>
          <w:p w14:paraId="6B43D96C" w14:textId="77777777" w:rsidR="00811A8B" w:rsidRPr="00811A8B" w:rsidRDefault="00811A8B" w:rsidP="00C275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noProof/>
                <w:sz w:val="24"/>
                <w:lang w:val="fr-FR" w:eastAsia="fr-FR"/>
              </w:rPr>
              <w:drawing>
                <wp:inline distT="0" distB="0" distL="0" distR="0" wp14:anchorId="21E5E9EF" wp14:editId="1C85AB9A">
                  <wp:extent cx="3930733" cy="1179303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077" cy="11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4F903FD" w14:textId="77777777" w:rsidR="00811A8B" w:rsidRPr="00811A8B" w:rsidRDefault="00811A8B" w:rsidP="00C275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A8B">
              <w:rPr>
                <w:rFonts w:ascii="Times New Roman" w:hAnsi="Times New Roman" w:cs="Times New Roman"/>
                <w:sz w:val="24"/>
                <w:lang w:val="en-US"/>
              </w:rPr>
              <w:t>0.019</w:t>
            </w:r>
          </w:p>
        </w:tc>
      </w:tr>
    </w:tbl>
    <w:p w14:paraId="75ADE71C" w14:textId="0A39FCE2" w:rsidR="00AA19BA" w:rsidRPr="0011550F" w:rsidRDefault="00AA19BA" w:rsidP="00AA19BA">
      <w:pPr>
        <w:rPr>
          <w:lang w:val="en-US"/>
        </w:rPr>
      </w:pPr>
      <w:r>
        <w:rPr>
          <w:b/>
          <w:lang w:val="en-US"/>
        </w:rPr>
        <w:br w:type="page"/>
      </w:r>
    </w:p>
    <w:p w14:paraId="2B8826BE" w14:textId="77777777" w:rsidR="00AA19BA" w:rsidRDefault="00AA19BA" w:rsidP="00AA19BA">
      <w:pPr>
        <w:rPr>
          <w:b/>
          <w:lang w:val="en-US"/>
        </w:rPr>
        <w:sectPr w:rsidR="00AA19BA" w:rsidSect="00E80E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D7C56EB" w14:textId="49EB1EDC" w:rsidR="00CE2CBC" w:rsidRDefault="00CE2CBC" w:rsidP="00CE2CB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F</w:t>
      </w:r>
      <w:r w:rsidRPr="00AB2F66">
        <w:rPr>
          <w:rFonts w:ascii="Times New Roman" w:hAnsi="Times New Roman" w:cs="Times New Roman"/>
          <w:b/>
          <w:sz w:val="24"/>
          <w:lang w:val="en-US"/>
        </w:rPr>
        <w:t xml:space="preserve">igure </w:t>
      </w:r>
      <w:r w:rsidR="00833277">
        <w:rPr>
          <w:rFonts w:ascii="Times New Roman" w:hAnsi="Times New Roman" w:cs="Times New Roman"/>
          <w:b/>
          <w:sz w:val="24"/>
          <w:lang w:val="en-US"/>
        </w:rPr>
        <w:t>S</w:t>
      </w:r>
      <w:r w:rsidR="00963516">
        <w:rPr>
          <w:rFonts w:ascii="Times New Roman" w:hAnsi="Times New Roman" w:cs="Times New Roman"/>
          <w:b/>
          <w:sz w:val="24"/>
          <w:lang w:val="en-US"/>
        </w:rPr>
        <w:t>8</w:t>
      </w:r>
      <w:r w:rsidRPr="00AB2F66">
        <w:rPr>
          <w:rFonts w:ascii="Times New Roman" w:hAnsi="Times New Roman" w:cs="Times New Roman"/>
          <w:b/>
          <w:sz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Effect plots for all-cause mortality </w:t>
      </w:r>
      <w:proofErr w:type="gramStart"/>
      <w:r>
        <w:rPr>
          <w:rFonts w:ascii="Times New Roman" w:hAnsi="Times New Roman" w:cs="Times New Roman"/>
          <w:sz w:val="24"/>
          <w:lang w:val="en-US"/>
        </w:rPr>
        <w:t>by  (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a) Kansas City Cardiomyopathy Questionnaire </w:t>
      </w:r>
      <w:r w:rsidR="00BF61AF"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lang w:val="en-US"/>
        </w:rPr>
        <w:t xml:space="preserve">verall </w:t>
      </w:r>
      <w:r w:rsidR="00BF61AF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core, </w:t>
      </w:r>
      <w:proofErr w:type="spellStart"/>
      <w:r w:rsidR="00BF61AF">
        <w:rPr>
          <w:rFonts w:ascii="Times New Roman" w:hAnsi="Times New Roman" w:cs="Times New Roman"/>
          <w:sz w:val="24"/>
          <w:lang w:val="en-US"/>
        </w:rPr>
        <w:t>EuroQoL</w:t>
      </w:r>
      <w:proofErr w:type="spellEnd"/>
      <w:r w:rsidR="00BF61AF">
        <w:rPr>
          <w:rFonts w:ascii="Times New Roman" w:hAnsi="Times New Roman" w:cs="Times New Roman"/>
          <w:sz w:val="24"/>
          <w:lang w:val="en-US"/>
        </w:rPr>
        <w:t xml:space="preserve"> 5 dimensions </w:t>
      </w:r>
      <w:r>
        <w:rPr>
          <w:rFonts w:ascii="Times New Roman" w:hAnsi="Times New Roman" w:cs="Times New Roman"/>
          <w:sz w:val="24"/>
          <w:lang w:val="en-US"/>
        </w:rPr>
        <w:t>(b)</w:t>
      </w:r>
      <w:r w:rsidR="00BF61AF">
        <w:rPr>
          <w:rFonts w:ascii="Times New Roman" w:hAnsi="Times New Roman" w:cs="Times New Roman"/>
          <w:sz w:val="24"/>
          <w:lang w:val="en-US"/>
        </w:rPr>
        <w:t xml:space="preserve"> visual analogue scale </w:t>
      </w:r>
      <w:r>
        <w:rPr>
          <w:rFonts w:ascii="Times New Roman" w:hAnsi="Times New Roman" w:cs="Times New Roman"/>
          <w:sz w:val="24"/>
          <w:lang w:val="en-US"/>
        </w:rPr>
        <w:t>and (c) utility score at baseline</w:t>
      </w:r>
      <w:r w:rsidR="004301F8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using adjusted Cox model with</w:t>
      </w:r>
      <w:r w:rsidR="00DF2FF8">
        <w:rPr>
          <w:rFonts w:ascii="Times New Roman" w:hAnsi="Times New Roman" w:cs="Times New Roman"/>
          <w:sz w:val="24"/>
          <w:lang w:val="en-US"/>
        </w:rPr>
        <w:t xml:space="preserve"> the corresponding</w:t>
      </w:r>
      <w:r>
        <w:rPr>
          <w:rFonts w:ascii="Times New Roman" w:hAnsi="Times New Roman" w:cs="Times New Roman"/>
          <w:sz w:val="24"/>
          <w:lang w:val="en-US"/>
        </w:rPr>
        <w:t xml:space="preserve"> median </w:t>
      </w:r>
      <w:r w:rsidR="00DF2FF8">
        <w:rPr>
          <w:rFonts w:ascii="Times New Roman" w:hAnsi="Times New Roman" w:cs="Times New Roman"/>
          <w:sz w:val="24"/>
          <w:lang w:val="en-US"/>
        </w:rPr>
        <w:t>quality of life measure</w:t>
      </w:r>
      <w:r>
        <w:rPr>
          <w:rFonts w:ascii="Times New Roman" w:hAnsi="Times New Roman" w:cs="Times New Roman"/>
          <w:sz w:val="24"/>
          <w:lang w:val="en-US"/>
        </w:rPr>
        <w:t xml:space="preserve"> as reference. </w:t>
      </w:r>
      <w:r w:rsidR="00525A9A">
        <w:rPr>
          <w:rFonts w:ascii="Times New Roman" w:hAnsi="Times New Roman" w:cs="Times New Roman"/>
          <w:sz w:val="24"/>
          <w:lang w:val="en-US"/>
        </w:rPr>
        <w:t>Men</w:t>
      </w:r>
      <w:r>
        <w:rPr>
          <w:rFonts w:ascii="Times New Roman" w:hAnsi="Times New Roman" w:cs="Times New Roman"/>
          <w:sz w:val="24"/>
          <w:lang w:val="en-US"/>
        </w:rPr>
        <w:t xml:space="preserve"> subse</w:t>
      </w:r>
      <w:r w:rsidR="00525A9A">
        <w:rPr>
          <w:rFonts w:ascii="Times New Roman" w:hAnsi="Times New Roman" w:cs="Times New Roman"/>
          <w:sz w:val="24"/>
          <w:lang w:val="en-US"/>
        </w:rPr>
        <w:t xml:space="preserve">t </w:t>
      </w:r>
      <w:proofErr w:type="gramStart"/>
      <w:r w:rsidR="00525A9A">
        <w:rPr>
          <w:rFonts w:ascii="Times New Roman" w:hAnsi="Times New Roman" w:cs="Times New Roman"/>
          <w:sz w:val="24"/>
          <w:lang w:val="en-US"/>
        </w:rPr>
        <w:t>is represented</w:t>
      </w:r>
      <w:proofErr w:type="gramEnd"/>
      <w:r w:rsidR="00525A9A">
        <w:rPr>
          <w:rFonts w:ascii="Times New Roman" w:hAnsi="Times New Roman" w:cs="Times New Roman"/>
          <w:sz w:val="24"/>
          <w:lang w:val="en-US"/>
        </w:rPr>
        <w:t xml:space="preserve"> in blue, women</w:t>
      </w:r>
      <w:r>
        <w:rPr>
          <w:rFonts w:ascii="Times New Roman" w:hAnsi="Times New Roman" w:cs="Times New Roman"/>
          <w:sz w:val="24"/>
          <w:lang w:val="en-US"/>
        </w:rPr>
        <w:t xml:space="preserve"> subset in red. Data density across </w:t>
      </w:r>
      <w:r w:rsidR="00DF2FF8">
        <w:rPr>
          <w:rFonts w:ascii="Times New Roman" w:hAnsi="Times New Roman" w:cs="Times New Roman"/>
          <w:sz w:val="24"/>
          <w:lang w:val="en-US"/>
        </w:rPr>
        <w:t>quality of life</w:t>
      </w:r>
      <w:r>
        <w:rPr>
          <w:rFonts w:ascii="Times New Roman" w:hAnsi="Times New Roman" w:cs="Times New Roman"/>
          <w:sz w:val="24"/>
          <w:lang w:val="en-US"/>
        </w:rPr>
        <w:t xml:space="preserve"> spectrum </w:t>
      </w:r>
      <w:proofErr w:type="gramStart"/>
      <w:r>
        <w:rPr>
          <w:rFonts w:ascii="Times New Roman" w:hAnsi="Times New Roman" w:cs="Times New Roman"/>
          <w:sz w:val="24"/>
          <w:lang w:val="en-US"/>
        </w:rPr>
        <w:t>is plotted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in grey.</w:t>
      </w:r>
      <w:r w:rsidR="009C06E7">
        <w:rPr>
          <w:rFonts w:ascii="Times New Roman" w:hAnsi="Times New Roman" w:cs="Times New Roman"/>
          <w:sz w:val="24"/>
          <w:lang w:val="en-US"/>
        </w:rPr>
        <w:t xml:space="preserve"> </w:t>
      </w:r>
      <w:r w:rsidR="009C06E7" w:rsidRPr="009C06E7">
        <w:rPr>
          <w:rFonts w:ascii="Times New Roman" w:hAnsi="Times New Roman" w:cs="Times New Roman"/>
          <w:sz w:val="24"/>
          <w:lang w:val="en-US"/>
        </w:rPr>
        <w:t xml:space="preserve">EQ-5D= </w:t>
      </w:r>
      <w:proofErr w:type="spellStart"/>
      <w:r w:rsidR="009C06E7" w:rsidRPr="009C06E7">
        <w:rPr>
          <w:rFonts w:ascii="Times New Roman" w:hAnsi="Times New Roman" w:cs="Times New Roman"/>
          <w:sz w:val="24"/>
          <w:lang w:val="en-US"/>
        </w:rPr>
        <w:t>EuroQoL</w:t>
      </w:r>
      <w:proofErr w:type="spellEnd"/>
      <w:r w:rsidR="009C06E7" w:rsidRPr="009C06E7">
        <w:rPr>
          <w:rFonts w:ascii="Times New Roman" w:hAnsi="Times New Roman" w:cs="Times New Roman"/>
          <w:sz w:val="24"/>
          <w:lang w:val="en-US"/>
        </w:rPr>
        <w:t xml:space="preserve"> 5 dimensions; KCCQ= Kansas City Cardiomyopathy Questionnaire; VAS= visual analogue scale.</w:t>
      </w:r>
    </w:p>
    <w:tbl>
      <w:tblPr>
        <w:tblStyle w:val="Grilledutableau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890"/>
      </w:tblGrid>
      <w:tr w:rsidR="00CE2CBC" w14:paraId="3F2D1C93" w14:textId="77777777" w:rsidTr="0035239F">
        <w:tc>
          <w:tcPr>
            <w:tcW w:w="534" w:type="dxa"/>
          </w:tcPr>
          <w:p w14:paraId="261F7D85" w14:textId="77777777" w:rsidR="00CE2CBC" w:rsidRPr="000D7FED" w:rsidRDefault="00CE2CBC" w:rsidP="004444B5">
            <w:pPr>
              <w:rPr>
                <w:b/>
              </w:rPr>
            </w:pPr>
            <w:r w:rsidRPr="000D7FED">
              <w:rPr>
                <w:b/>
              </w:rPr>
              <w:t>a)</w:t>
            </w:r>
          </w:p>
        </w:tc>
        <w:tc>
          <w:tcPr>
            <w:tcW w:w="8890" w:type="dxa"/>
          </w:tcPr>
          <w:p w14:paraId="211F0C71" w14:textId="77777777" w:rsidR="00CE2CBC" w:rsidRDefault="00591E90" w:rsidP="004444B5">
            <w:r>
              <w:rPr>
                <w:noProof/>
                <w:lang w:val="fr-FR" w:eastAsia="fr-FR"/>
              </w:rPr>
              <w:drawing>
                <wp:inline distT="0" distB="0" distL="0" distR="0" wp14:anchorId="3D8A7A15" wp14:editId="047A4BC7">
                  <wp:extent cx="4933950" cy="3700463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334" cy="370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CBC" w14:paraId="00B64D8D" w14:textId="77777777" w:rsidTr="0035239F">
        <w:tc>
          <w:tcPr>
            <w:tcW w:w="534" w:type="dxa"/>
          </w:tcPr>
          <w:p w14:paraId="40ADFEDB" w14:textId="77777777" w:rsidR="00CE2CBC" w:rsidRPr="000D7FED" w:rsidRDefault="00CE2CBC" w:rsidP="004444B5">
            <w:pPr>
              <w:rPr>
                <w:b/>
              </w:rPr>
            </w:pPr>
            <w:r w:rsidRPr="000D7FED">
              <w:rPr>
                <w:b/>
              </w:rPr>
              <w:t>b)</w:t>
            </w:r>
          </w:p>
        </w:tc>
        <w:tc>
          <w:tcPr>
            <w:tcW w:w="8890" w:type="dxa"/>
          </w:tcPr>
          <w:p w14:paraId="6E16EE06" w14:textId="77777777" w:rsidR="00CE2CBC" w:rsidRDefault="00591E90" w:rsidP="004444B5">
            <w:r>
              <w:rPr>
                <w:noProof/>
                <w:lang w:val="fr-FR" w:eastAsia="fr-FR"/>
              </w:rPr>
              <w:drawing>
                <wp:inline distT="0" distB="0" distL="0" distR="0" wp14:anchorId="62B9C418" wp14:editId="0BA4AC68">
                  <wp:extent cx="4933950" cy="3700464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008" cy="370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CBC" w14:paraId="6FF006CB" w14:textId="77777777" w:rsidTr="0035239F">
        <w:tc>
          <w:tcPr>
            <w:tcW w:w="534" w:type="dxa"/>
          </w:tcPr>
          <w:p w14:paraId="6CC9C6F4" w14:textId="77777777" w:rsidR="00CE2CBC" w:rsidRPr="000D7FED" w:rsidRDefault="00CE2CBC" w:rsidP="004444B5">
            <w:pPr>
              <w:rPr>
                <w:b/>
              </w:rPr>
            </w:pPr>
            <w:r w:rsidRPr="000D7FED">
              <w:rPr>
                <w:b/>
              </w:rPr>
              <w:t>c)</w:t>
            </w:r>
          </w:p>
        </w:tc>
        <w:tc>
          <w:tcPr>
            <w:tcW w:w="8890" w:type="dxa"/>
          </w:tcPr>
          <w:p w14:paraId="13E26958" w14:textId="77777777" w:rsidR="00CE2CBC" w:rsidRDefault="00591E90" w:rsidP="004444B5">
            <w:r>
              <w:rPr>
                <w:noProof/>
                <w:lang w:val="fr-FR" w:eastAsia="fr-FR"/>
              </w:rPr>
              <w:drawing>
                <wp:inline distT="0" distB="0" distL="0" distR="0" wp14:anchorId="4776C389" wp14:editId="323829A0">
                  <wp:extent cx="4800600" cy="3600451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001" cy="360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C8082" w14:textId="77777777" w:rsidR="00CE2CBC" w:rsidRPr="002C4130" w:rsidRDefault="00CE2CBC" w:rsidP="00CE2CBC">
      <w:pPr>
        <w:rPr>
          <w:lang w:val="en-GB"/>
        </w:rPr>
      </w:pPr>
    </w:p>
    <w:p w14:paraId="6B9A03A9" w14:textId="5C0BB271" w:rsidR="009C06E7" w:rsidRDefault="00CE2CBC" w:rsidP="009C06E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br w:type="page"/>
      </w:r>
      <w:r w:rsidR="006F21A2">
        <w:rPr>
          <w:rFonts w:ascii="Times New Roman" w:hAnsi="Times New Roman" w:cs="Times New Roman"/>
          <w:b/>
          <w:sz w:val="24"/>
          <w:lang w:val="en-US"/>
        </w:rPr>
        <w:t xml:space="preserve"> F</w:t>
      </w:r>
      <w:r w:rsidR="006F21A2" w:rsidRPr="00AB2F66">
        <w:rPr>
          <w:rFonts w:ascii="Times New Roman" w:hAnsi="Times New Roman" w:cs="Times New Roman"/>
          <w:b/>
          <w:sz w:val="24"/>
          <w:lang w:val="en-US"/>
        </w:rPr>
        <w:t xml:space="preserve">igure </w:t>
      </w:r>
      <w:r w:rsidR="00833277">
        <w:rPr>
          <w:rFonts w:ascii="Times New Roman" w:hAnsi="Times New Roman" w:cs="Times New Roman"/>
          <w:b/>
          <w:sz w:val="24"/>
          <w:lang w:val="en-US"/>
        </w:rPr>
        <w:t>S</w:t>
      </w:r>
      <w:r w:rsidR="00963516">
        <w:rPr>
          <w:rFonts w:ascii="Times New Roman" w:hAnsi="Times New Roman" w:cs="Times New Roman"/>
          <w:b/>
          <w:sz w:val="24"/>
          <w:lang w:val="en-US"/>
        </w:rPr>
        <w:t>9</w:t>
      </w:r>
      <w:r w:rsidR="006F21A2" w:rsidRPr="00AB2F66">
        <w:rPr>
          <w:rFonts w:ascii="Times New Roman" w:hAnsi="Times New Roman" w:cs="Times New Roman"/>
          <w:b/>
          <w:sz w:val="24"/>
          <w:lang w:val="en-US"/>
        </w:rPr>
        <w:t>.</w:t>
      </w:r>
      <w:r w:rsidR="006F21A2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6F21A2">
        <w:rPr>
          <w:rFonts w:ascii="Times New Roman" w:hAnsi="Times New Roman" w:cs="Times New Roman"/>
          <w:sz w:val="24"/>
          <w:lang w:val="en-US"/>
        </w:rPr>
        <w:t xml:space="preserve">Effect plots for </w:t>
      </w:r>
      <w:r w:rsidR="00DF2FF8">
        <w:rPr>
          <w:rFonts w:ascii="Times New Roman" w:hAnsi="Times New Roman" w:cs="Times New Roman"/>
          <w:sz w:val="24"/>
          <w:lang w:val="en-US"/>
        </w:rPr>
        <w:t>heart failure</w:t>
      </w:r>
      <w:r w:rsidR="006F21A2">
        <w:rPr>
          <w:rFonts w:ascii="Times New Roman" w:hAnsi="Times New Roman" w:cs="Times New Roman"/>
          <w:sz w:val="24"/>
          <w:lang w:val="en-US"/>
        </w:rPr>
        <w:t xml:space="preserve"> hospitalization </w:t>
      </w:r>
      <w:proofErr w:type="gramStart"/>
      <w:r w:rsidR="006F21A2">
        <w:rPr>
          <w:rFonts w:ascii="Times New Roman" w:hAnsi="Times New Roman" w:cs="Times New Roman"/>
          <w:sz w:val="24"/>
          <w:lang w:val="en-US"/>
        </w:rPr>
        <w:t>by  (</w:t>
      </w:r>
      <w:proofErr w:type="gramEnd"/>
      <w:r w:rsidR="006F21A2">
        <w:rPr>
          <w:rFonts w:ascii="Times New Roman" w:hAnsi="Times New Roman" w:cs="Times New Roman"/>
          <w:sz w:val="24"/>
          <w:lang w:val="en-US"/>
        </w:rPr>
        <w:t xml:space="preserve">a) Kansas City Cardiomyopathy Questionnaire Overall Score, </w:t>
      </w:r>
      <w:proofErr w:type="spellStart"/>
      <w:r w:rsidR="00DF2FF8">
        <w:rPr>
          <w:rFonts w:ascii="Times New Roman" w:hAnsi="Times New Roman" w:cs="Times New Roman"/>
          <w:sz w:val="24"/>
          <w:lang w:val="en-US"/>
        </w:rPr>
        <w:t>EuroQoL</w:t>
      </w:r>
      <w:proofErr w:type="spellEnd"/>
      <w:r w:rsidR="00DF2FF8">
        <w:rPr>
          <w:rFonts w:ascii="Times New Roman" w:hAnsi="Times New Roman" w:cs="Times New Roman"/>
          <w:sz w:val="24"/>
          <w:lang w:val="en-US"/>
        </w:rPr>
        <w:t xml:space="preserve"> 5 dimensions</w:t>
      </w:r>
      <w:r w:rsidR="006F21A2">
        <w:rPr>
          <w:rFonts w:ascii="Times New Roman" w:hAnsi="Times New Roman" w:cs="Times New Roman"/>
          <w:sz w:val="24"/>
          <w:lang w:val="en-US"/>
        </w:rPr>
        <w:t xml:space="preserve"> (b)</w:t>
      </w:r>
      <w:r w:rsidR="00DF2FF8">
        <w:rPr>
          <w:rFonts w:ascii="Times New Roman" w:hAnsi="Times New Roman" w:cs="Times New Roman"/>
          <w:sz w:val="24"/>
          <w:lang w:val="en-US"/>
        </w:rPr>
        <w:t xml:space="preserve"> visual analogue scale</w:t>
      </w:r>
      <w:r w:rsidR="006F21A2">
        <w:rPr>
          <w:rFonts w:ascii="Times New Roman" w:hAnsi="Times New Roman" w:cs="Times New Roman"/>
          <w:sz w:val="24"/>
          <w:lang w:val="en-US"/>
        </w:rPr>
        <w:t xml:space="preserve"> and (c) utility score at baseline, using adjusted Cox model with </w:t>
      </w:r>
      <w:r w:rsidR="00DF2FF8">
        <w:rPr>
          <w:rFonts w:ascii="Times New Roman" w:hAnsi="Times New Roman" w:cs="Times New Roman"/>
          <w:sz w:val="24"/>
          <w:lang w:val="en-US"/>
        </w:rPr>
        <w:t xml:space="preserve">the corresponding </w:t>
      </w:r>
      <w:r w:rsidR="006F21A2">
        <w:rPr>
          <w:rFonts w:ascii="Times New Roman" w:hAnsi="Times New Roman" w:cs="Times New Roman"/>
          <w:sz w:val="24"/>
          <w:lang w:val="en-US"/>
        </w:rPr>
        <w:t>med</w:t>
      </w:r>
      <w:r w:rsidR="00525A9A">
        <w:rPr>
          <w:rFonts w:ascii="Times New Roman" w:hAnsi="Times New Roman" w:cs="Times New Roman"/>
          <w:sz w:val="24"/>
          <w:lang w:val="en-US"/>
        </w:rPr>
        <w:t xml:space="preserve">ian </w:t>
      </w:r>
      <w:r w:rsidR="00DF2FF8">
        <w:rPr>
          <w:rFonts w:ascii="Times New Roman" w:hAnsi="Times New Roman" w:cs="Times New Roman"/>
          <w:sz w:val="24"/>
          <w:lang w:val="en-US"/>
        </w:rPr>
        <w:t>quality of life measure</w:t>
      </w:r>
      <w:r w:rsidR="00525A9A">
        <w:rPr>
          <w:rFonts w:ascii="Times New Roman" w:hAnsi="Times New Roman" w:cs="Times New Roman"/>
          <w:sz w:val="24"/>
          <w:lang w:val="en-US"/>
        </w:rPr>
        <w:t xml:space="preserve"> as reference. Men</w:t>
      </w:r>
      <w:r w:rsidR="006F21A2">
        <w:rPr>
          <w:rFonts w:ascii="Times New Roman" w:hAnsi="Times New Roman" w:cs="Times New Roman"/>
          <w:sz w:val="24"/>
          <w:lang w:val="en-US"/>
        </w:rPr>
        <w:t xml:space="preserve"> subse</w:t>
      </w:r>
      <w:r w:rsidR="00525A9A">
        <w:rPr>
          <w:rFonts w:ascii="Times New Roman" w:hAnsi="Times New Roman" w:cs="Times New Roman"/>
          <w:sz w:val="24"/>
          <w:lang w:val="en-US"/>
        </w:rPr>
        <w:t xml:space="preserve">t </w:t>
      </w:r>
      <w:proofErr w:type="gramStart"/>
      <w:r w:rsidR="00525A9A">
        <w:rPr>
          <w:rFonts w:ascii="Times New Roman" w:hAnsi="Times New Roman" w:cs="Times New Roman"/>
          <w:sz w:val="24"/>
          <w:lang w:val="en-US"/>
        </w:rPr>
        <w:t>is represented</w:t>
      </w:r>
      <w:proofErr w:type="gramEnd"/>
      <w:r w:rsidR="00525A9A">
        <w:rPr>
          <w:rFonts w:ascii="Times New Roman" w:hAnsi="Times New Roman" w:cs="Times New Roman"/>
          <w:sz w:val="24"/>
          <w:lang w:val="en-US"/>
        </w:rPr>
        <w:t xml:space="preserve"> in blue, women</w:t>
      </w:r>
      <w:r w:rsidR="006F21A2">
        <w:rPr>
          <w:rFonts w:ascii="Times New Roman" w:hAnsi="Times New Roman" w:cs="Times New Roman"/>
          <w:sz w:val="24"/>
          <w:lang w:val="en-US"/>
        </w:rPr>
        <w:t xml:space="preserve"> subset in red. Data density across </w:t>
      </w:r>
      <w:r w:rsidR="00DF2FF8">
        <w:rPr>
          <w:rFonts w:ascii="Times New Roman" w:hAnsi="Times New Roman" w:cs="Times New Roman"/>
          <w:sz w:val="24"/>
          <w:lang w:val="en-US"/>
        </w:rPr>
        <w:t>quality of life</w:t>
      </w:r>
      <w:r w:rsidR="006F21A2">
        <w:rPr>
          <w:rFonts w:ascii="Times New Roman" w:hAnsi="Times New Roman" w:cs="Times New Roman"/>
          <w:sz w:val="24"/>
          <w:lang w:val="en-US"/>
        </w:rPr>
        <w:t xml:space="preserve"> spectrum </w:t>
      </w:r>
      <w:proofErr w:type="gramStart"/>
      <w:r w:rsidR="006F21A2">
        <w:rPr>
          <w:rFonts w:ascii="Times New Roman" w:hAnsi="Times New Roman" w:cs="Times New Roman"/>
          <w:sz w:val="24"/>
          <w:lang w:val="en-US"/>
        </w:rPr>
        <w:t>is plotted</w:t>
      </w:r>
      <w:proofErr w:type="gramEnd"/>
      <w:r w:rsidR="006F21A2">
        <w:rPr>
          <w:rFonts w:ascii="Times New Roman" w:hAnsi="Times New Roman" w:cs="Times New Roman"/>
          <w:sz w:val="24"/>
          <w:lang w:val="en-US"/>
        </w:rPr>
        <w:t xml:space="preserve"> in grey.</w:t>
      </w:r>
      <w:r w:rsidR="009C06E7">
        <w:rPr>
          <w:rFonts w:ascii="Times New Roman" w:hAnsi="Times New Roman" w:cs="Times New Roman"/>
          <w:sz w:val="24"/>
          <w:lang w:val="en-US"/>
        </w:rPr>
        <w:t xml:space="preserve"> </w:t>
      </w:r>
      <w:r w:rsidR="009C06E7" w:rsidRPr="009C06E7">
        <w:rPr>
          <w:rFonts w:ascii="Times New Roman" w:hAnsi="Times New Roman" w:cs="Times New Roman"/>
          <w:sz w:val="24"/>
          <w:lang w:val="en-US"/>
        </w:rPr>
        <w:t xml:space="preserve">EQ-5D= </w:t>
      </w:r>
      <w:proofErr w:type="spellStart"/>
      <w:r w:rsidR="009C06E7" w:rsidRPr="009C06E7">
        <w:rPr>
          <w:rFonts w:ascii="Times New Roman" w:hAnsi="Times New Roman" w:cs="Times New Roman"/>
          <w:sz w:val="24"/>
          <w:lang w:val="en-US"/>
        </w:rPr>
        <w:t>EuroQoL</w:t>
      </w:r>
      <w:proofErr w:type="spellEnd"/>
      <w:r w:rsidR="009C06E7" w:rsidRPr="009C06E7">
        <w:rPr>
          <w:rFonts w:ascii="Times New Roman" w:hAnsi="Times New Roman" w:cs="Times New Roman"/>
          <w:sz w:val="24"/>
          <w:lang w:val="en-US"/>
        </w:rPr>
        <w:t xml:space="preserve"> 5 dimensions; KCCQ= Kansas City Cardiomyopathy Questionnaire; VAS= visual analogue scale.</w:t>
      </w:r>
    </w:p>
    <w:p w14:paraId="746AC494" w14:textId="0E8B6E1F" w:rsidR="006F21A2" w:rsidRDefault="006F21A2" w:rsidP="006F21A2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39"/>
      </w:tblGrid>
      <w:tr w:rsidR="006F21A2" w14:paraId="262C8011" w14:textId="77777777" w:rsidTr="007F51BA">
        <w:tc>
          <w:tcPr>
            <w:tcW w:w="675" w:type="dxa"/>
          </w:tcPr>
          <w:p w14:paraId="3F045B4D" w14:textId="77777777" w:rsidR="006F21A2" w:rsidRPr="000D7FED" w:rsidRDefault="006F21A2" w:rsidP="00F92B9B">
            <w:pPr>
              <w:rPr>
                <w:b/>
              </w:rPr>
            </w:pPr>
            <w:r w:rsidRPr="000D7FED">
              <w:rPr>
                <w:b/>
              </w:rPr>
              <w:t>a)</w:t>
            </w:r>
          </w:p>
        </w:tc>
        <w:tc>
          <w:tcPr>
            <w:tcW w:w="7839" w:type="dxa"/>
          </w:tcPr>
          <w:p w14:paraId="252F646D" w14:textId="77777777" w:rsidR="006F21A2" w:rsidRDefault="002C057F" w:rsidP="00F92B9B">
            <w:r>
              <w:rPr>
                <w:noProof/>
                <w:lang w:val="fr-FR" w:eastAsia="fr-FR"/>
              </w:rPr>
              <w:drawing>
                <wp:inline distT="0" distB="0" distL="0" distR="0" wp14:anchorId="77C5DD94" wp14:editId="7CD276F7">
                  <wp:extent cx="4841176" cy="3630882"/>
                  <wp:effectExtent l="0" t="0" r="0" b="825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086" cy="363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1A2" w14:paraId="5CA133A9" w14:textId="77777777" w:rsidTr="007F51BA">
        <w:tc>
          <w:tcPr>
            <w:tcW w:w="675" w:type="dxa"/>
          </w:tcPr>
          <w:p w14:paraId="1439D72F" w14:textId="77777777" w:rsidR="006F21A2" w:rsidRPr="000D7FED" w:rsidRDefault="006F21A2" w:rsidP="00F92B9B">
            <w:pPr>
              <w:rPr>
                <w:b/>
              </w:rPr>
            </w:pPr>
            <w:r w:rsidRPr="000D7FED">
              <w:rPr>
                <w:b/>
              </w:rPr>
              <w:t>b)</w:t>
            </w:r>
          </w:p>
        </w:tc>
        <w:tc>
          <w:tcPr>
            <w:tcW w:w="7839" w:type="dxa"/>
          </w:tcPr>
          <w:p w14:paraId="0A00D2BC" w14:textId="77777777" w:rsidR="006F21A2" w:rsidRDefault="00062F1E" w:rsidP="00F92B9B">
            <w:r>
              <w:rPr>
                <w:noProof/>
                <w:lang w:val="fr-FR" w:eastAsia="fr-FR"/>
              </w:rPr>
              <w:drawing>
                <wp:inline distT="0" distB="0" distL="0" distR="0" wp14:anchorId="312AD9D7" wp14:editId="53F3ED8A">
                  <wp:extent cx="4607626" cy="3455720"/>
                  <wp:effectExtent l="0" t="0" r="254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444" cy="345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1A2" w14:paraId="7781173B" w14:textId="77777777" w:rsidTr="007F51BA">
        <w:tc>
          <w:tcPr>
            <w:tcW w:w="675" w:type="dxa"/>
          </w:tcPr>
          <w:p w14:paraId="2F47D188" w14:textId="77777777" w:rsidR="006F21A2" w:rsidRPr="000D7FED" w:rsidRDefault="006F21A2" w:rsidP="00F92B9B">
            <w:pPr>
              <w:rPr>
                <w:b/>
              </w:rPr>
            </w:pPr>
            <w:r w:rsidRPr="000D7FED">
              <w:rPr>
                <w:b/>
              </w:rPr>
              <w:t>c)</w:t>
            </w:r>
          </w:p>
        </w:tc>
        <w:tc>
          <w:tcPr>
            <w:tcW w:w="7839" w:type="dxa"/>
          </w:tcPr>
          <w:p w14:paraId="713E20E6" w14:textId="77777777" w:rsidR="006F21A2" w:rsidRDefault="00062F1E" w:rsidP="00F92B9B">
            <w:r>
              <w:rPr>
                <w:noProof/>
                <w:lang w:val="fr-FR" w:eastAsia="fr-FR"/>
              </w:rPr>
              <w:drawing>
                <wp:inline distT="0" distB="0" distL="0" distR="0" wp14:anchorId="4FEC9834" wp14:editId="4297F143">
                  <wp:extent cx="4690754" cy="3518065"/>
                  <wp:effectExtent l="0" t="0" r="0" b="635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05" cy="3519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22679" w14:textId="77777777" w:rsidR="006F21A2" w:rsidRDefault="006F21A2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br w:type="page"/>
      </w:r>
    </w:p>
    <w:p w14:paraId="493AB57E" w14:textId="47C96EB2" w:rsidR="00CE2CBC" w:rsidRDefault="00CE2CBC" w:rsidP="00CE2CB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F</w:t>
      </w:r>
      <w:r w:rsidRPr="00AB2F66">
        <w:rPr>
          <w:rFonts w:ascii="Times New Roman" w:hAnsi="Times New Roman" w:cs="Times New Roman"/>
          <w:b/>
          <w:sz w:val="24"/>
          <w:lang w:val="en-US"/>
        </w:rPr>
        <w:t xml:space="preserve">igure </w:t>
      </w:r>
      <w:r w:rsidR="00833277">
        <w:rPr>
          <w:rFonts w:ascii="Times New Roman" w:hAnsi="Times New Roman" w:cs="Times New Roman"/>
          <w:b/>
          <w:sz w:val="24"/>
          <w:lang w:val="en-US"/>
        </w:rPr>
        <w:t>S</w:t>
      </w:r>
      <w:r w:rsidR="00963516">
        <w:rPr>
          <w:rFonts w:ascii="Times New Roman" w:hAnsi="Times New Roman" w:cs="Times New Roman"/>
          <w:b/>
          <w:sz w:val="24"/>
          <w:lang w:val="en-US"/>
        </w:rPr>
        <w:t>10</w:t>
      </w:r>
      <w:r w:rsidRPr="00AB2F66">
        <w:rPr>
          <w:rFonts w:ascii="Times New Roman" w:hAnsi="Times New Roman" w:cs="Times New Roman"/>
          <w:b/>
          <w:sz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Effect plots for all-cause mortality and/or </w:t>
      </w:r>
      <w:r w:rsidR="00DF2FF8">
        <w:rPr>
          <w:rFonts w:ascii="Times New Roman" w:hAnsi="Times New Roman" w:cs="Times New Roman"/>
          <w:sz w:val="24"/>
          <w:lang w:val="en-US"/>
        </w:rPr>
        <w:t>heart failure</w:t>
      </w:r>
      <w:r>
        <w:rPr>
          <w:rFonts w:ascii="Times New Roman" w:hAnsi="Times New Roman" w:cs="Times New Roman"/>
          <w:sz w:val="24"/>
          <w:lang w:val="en-US"/>
        </w:rPr>
        <w:t xml:space="preserve"> hospitalization </w:t>
      </w:r>
      <w:proofErr w:type="gramStart"/>
      <w:r>
        <w:rPr>
          <w:rFonts w:ascii="Times New Roman" w:hAnsi="Times New Roman" w:cs="Times New Roman"/>
          <w:sz w:val="24"/>
          <w:lang w:val="en-US"/>
        </w:rPr>
        <w:t>by  (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a) Kansas City Cardiomyopathy Questionnaire </w:t>
      </w:r>
      <w:r w:rsidR="00DF2FF8"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lang w:val="en-US"/>
        </w:rPr>
        <w:t xml:space="preserve">verall </w:t>
      </w:r>
      <w:r w:rsidR="00DF2FF8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core, </w:t>
      </w:r>
      <w:proofErr w:type="spellStart"/>
      <w:r w:rsidR="00DF2FF8">
        <w:rPr>
          <w:rFonts w:ascii="Times New Roman" w:hAnsi="Times New Roman" w:cs="Times New Roman"/>
          <w:sz w:val="24"/>
          <w:lang w:val="en-US"/>
        </w:rPr>
        <w:t>EuroQoL</w:t>
      </w:r>
      <w:proofErr w:type="spellEnd"/>
      <w:r w:rsidR="00DF2FF8">
        <w:rPr>
          <w:rFonts w:ascii="Times New Roman" w:hAnsi="Times New Roman" w:cs="Times New Roman"/>
          <w:sz w:val="24"/>
          <w:lang w:val="en-US"/>
        </w:rPr>
        <w:t xml:space="preserve"> 5 dimensions</w:t>
      </w:r>
      <w:r>
        <w:rPr>
          <w:rFonts w:ascii="Times New Roman" w:hAnsi="Times New Roman" w:cs="Times New Roman"/>
          <w:sz w:val="24"/>
          <w:lang w:val="en-US"/>
        </w:rPr>
        <w:t xml:space="preserve"> (b)</w:t>
      </w:r>
      <w:r w:rsidR="00DF2FF8">
        <w:rPr>
          <w:rFonts w:ascii="Times New Roman" w:hAnsi="Times New Roman" w:cs="Times New Roman"/>
          <w:sz w:val="24"/>
          <w:lang w:val="en-US"/>
        </w:rPr>
        <w:t xml:space="preserve"> visual analogue scale </w:t>
      </w:r>
      <w:r>
        <w:rPr>
          <w:rFonts w:ascii="Times New Roman" w:hAnsi="Times New Roman" w:cs="Times New Roman"/>
          <w:sz w:val="24"/>
          <w:lang w:val="en-US"/>
        </w:rPr>
        <w:t>and (c) utility score at baseline</w:t>
      </w:r>
      <w:r w:rsidR="004301F8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 xml:space="preserve">using adjusted Cox model with </w:t>
      </w:r>
      <w:r w:rsidR="00DF2FF8">
        <w:rPr>
          <w:rFonts w:ascii="Times New Roman" w:hAnsi="Times New Roman" w:cs="Times New Roman"/>
          <w:sz w:val="24"/>
          <w:lang w:val="en-US"/>
        </w:rPr>
        <w:t>the corresponding quality of life measure</w:t>
      </w:r>
      <w:r w:rsidR="00525A9A">
        <w:rPr>
          <w:rFonts w:ascii="Times New Roman" w:hAnsi="Times New Roman" w:cs="Times New Roman"/>
          <w:sz w:val="24"/>
          <w:lang w:val="en-US"/>
        </w:rPr>
        <w:t xml:space="preserve"> as reference. Men</w:t>
      </w:r>
      <w:r>
        <w:rPr>
          <w:rFonts w:ascii="Times New Roman" w:hAnsi="Times New Roman" w:cs="Times New Roman"/>
          <w:sz w:val="24"/>
          <w:lang w:val="en-US"/>
        </w:rPr>
        <w:t xml:space="preserve"> subse</w:t>
      </w:r>
      <w:r w:rsidR="00525A9A">
        <w:rPr>
          <w:rFonts w:ascii="Times New Roman" w:hAnsi="Times New Roman" w:cs="Times New Roman"/>
          <w:sz w:val="24"/>
          <w:lang w:val="en-US"/>
        </w:rPr>
        <w:t xml:space="preserve">t </w:t>
      </w:r>
      <w:proofErr w:type="gramStart"/>
      <w:r w:rsidR="00525A9A">
        <w:rPr>
          <w:rFonts w:ascii="Times New Roman" w:hAnsi="Times New Roman" w:cs="Times New Roman"/>
          <w:sz w:val="24"/>
          <w:lang w:val="en-US"/>
        </w:rPr>
        <w:t>is represented</w:t>
      </w:r>
      <w:proofErr w:type="gramEnd"/>
      <w:r w:rsidR="00525A9A">
        <w:rPr>
          <w:rFonts w:ascii="Times New Roman" w:hAnsi="Times New Roman" w:cs="Times New Roman"/>
          <w:sz w:val="24"/>
          <w:lang w:val="en-US"/>
        </w:rPr>
        <w:t xml:space="preserve"> in blue, women</w:t>
      </w:r>
      <w:r>
        <w:rPr>
          <w:rFonts w:ascii="Times New Roman" w:hAnsi="Times New Roman" w:cs="Times New Roman"/>
          <w:sz w:val="24"/>
          <w:lang w:val="en-US"/>
        </w:rPr>
        <w:t xml:space="preserve"> subset in red. Data density across </w:t>
      </w:r>
      <w:r w:rsidR="00DF2FF8">
        <w:rPr>
          <w:rFonts w:ascii="Times New Roman" w:hAnsi="Times New Roman" w:cs="Times New Roman"/>
          <w:sz w:val="24"/>
          <w:lang w:val="en-US"/>
        </w:rPr>
        <w:t>quality of life</w:t>
      </w:r>
      <w:r>
        <w:rPr>
          <w:rFonts w:ascii="Times New Roman" w:hAnsi="Times New Roman" w:cs="Times New Roman"/>
          <w:sz w:val="24"/>
          <w:lang w:val="en-US"/>
        </w:rPr>
        <w:t xml:space="preserve"> spectrum </w:t>
      </w:r>
      <w:proofErr w:type="gramStart"/>
      <w:r>
        <w:rPr>
          <w:rFonts w:ascii="Times New Roman" w:hAnsi="Times New Roman" w:cs="Times New Roman"/>
          <w:sz w:val="24"/>
          <w:lang w:val="en-US"/>
        </w:rPr>
        <w:t>is plotted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in grey.</w:t>
      </w:r>
      <w:r w:rsidR="009C06E7">
        <w:rPr>
          <w:rFonts w:ascii="Times New Roman" w:hAnsi="Times New Roman" w:cs="Times New Roman"/>
          <w:sz w:val="24"/>
          <w:lang w:val="en-US"/>
        </w:rPr>
        <w:t xml:space="preserve"> </w:t>
      </w:r>
      <w:r w:rsidR="009C06E7" w:rsidRPr="009C06E7">
        <w:rPr>
          <w:rFonts w:ascii="Times New Roman" w:hAnsi="Times New Roman" w:cs="Times New Roman"/>
          <w:sz w:val="24"/>
          <w:lang w:val="en-US"/>
        </w:rPr>
        <w:t xml:space="preserve">EQ-5D= </w:t>
      </w:r>
      <w:proofErr w:type="spellStart"/>
      <w:r w:rsidR="009C06E7" w:rsidRPr="009C06E7">
        <w:rPr>
          <w:rFonts w:ascii="Times New Roman" w:hAnsi="Times New Roman" w:cs="Times New Roman"/>
          <w:sz w:val="24"/>
          <w:lang w:val="en-US"/>
        </w:rPr>
        <w:t>EuroQoL</w:t>
      </w:r>
      <w:proofErr w:type="spellEnd"/>
      <w:r w:rsidR="009C06E7" w:rsidRPr="009C06E7">
        <w:rPr>
          <w:rFonts w:ascii="Times New Roman" w:hAnsi="Times New Roman" w:cs="Times New Roman"/>
          <w:sz w:val="24"/>
          <w:lang w:val="en-US"/>
        </w:rPr>
        <w:t xml:space="preserve"> 5 dimensions; KCCQ= Kansas City Cardiomyopathy Questionnaire; VAS= visual analogue scale.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16"/>
      </w:tblGrid>
      <w:tr w:rsidR="00CE2CBC" w14:paraId="1755A5CA" w14:textId="77777777" w:rsidTr="007F51BA">
        <w:tc>
          <w:tcPr>
            <w:tcW w:w="675" w:type="dxa"/>
          </w:tcPr>
          <w:p w14:paraId="6C516BD3" w14:textId="77777777" w:rsidR="00CE2CBC" w:rsidRPr="000D7FED" w:rsidRDefault="00CE2CBC" w:rsidP="004444B5">
            <w:pPr>
              <w:rPr>
                <w:b/>
              </w:rPr>
            </w:pPr>
            <w:r w:rsidRPr="000D7FED">
              <w:rPr>
                <w:b/>
              </w:rPr>
              <w:t>a)</w:t>
            </w:r>
          </w:p>
        </w:tc>
        <w:tc>
          <w:tcPr>
            <w:tcW w:w="8316" w:type="dxa"/>
          </w:tcPr>
          <w:p w14:paraId="0AA281AE" w14:textId="77777777" w:rsidR="00CE2CBC" w:rsidRDefault="00D9517B" w:rsidP="004444B5">
            <w:r>
              <w:rPr>
                <w:noProof/>
                <w:lang w:val="fr-FR" w:eastAsia="fr-FR"/>
              </w:rPr>
              <w:drawing>
                <wp:inline distT="0" distB="0" distL="0" distR="0" wp14:anchorId="56834ED3" wp14:editId="0673D0E5">
                  <wp:extent cx="4983680" cy="3737760"/>
                  <wp:effectExtent l="0" t="0" r="762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647" cy="373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CBC" w14:paraId="3923B3B7" w14:textId="77777777" w:rsidTr="007F51BA">
        <w:tc>
          <w:tcPr>
            <w:tcW w:w="675" w:type="dxa"/>
          </w:tcPr>
          <w:p w14:paraId="4BC5E4FD" w14:textId="77777777" w:rsidR="00CE2CBC" w:rsidRPr="000D7FED" w:rsidRDefault="00CE2CBC" w:rsidP="004444B5">
            <w:pPr>
              <w:rPr>
                <w:b/>
              </w:rPr>
            </w:pPr>
            <w:r w:rsidRPr="000D7FED">
              <w:rPr>
                <w:b/>
              </w:rPr>
              <w:t>b)</w:t>
            </w:r>
          </w:p>
        </w:tc>
        <w:tc>
          <w:tcPr>
            <w:tcW w:w="8316" w:type="dxa"/>
          </w:tcPr>
          <w:p w14:paraId="01EE9701" w14:textId="77777777" w:rsidR="00CE2CBC" w:rsidRDefault="00D9517B" w:rsidP="004444B5">
            <w:r>
              <w:rPr>
                <w:noProof/>
                <w:lang w:val="fr-FR" w:eastAsia="fr-FR"/>
              </w:rPr>
              <w:drawing>
                <wp:inline distT="0" distB="0" distL="0" distR="0" wp14:anchorId="2421854F" wp14:editId="3503F04E">
                  <wp:extent cx="4718461" cy="3538846"/>
                  <wp:effectExtent l="0" t="0" r="6350" b="508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23" cy="354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CBC" w14:paraId="4C56810E" w14:textId="77777777" w:rsidTr="007F51BA">
        <w:tc>
          <w:tcPr>
            <w:tcW w:w="675" w:type="dxa"/>
          </w:tcPr>
          <w:p w14:paraId="29B24FB9" w14:textId="77777777" w:rsidR="00CE2CBC" w:rsidRPr="000D7FED" w:rsidRDefault="00CE2CBC" w:rsidP="004444B5">
            <w:pPr>
              <w:rPr>
                <w:b/>
              </w:rPr>
            </w:pPr>
            <w:r w:rsidRPr="000D7FED">
              <w:rPr>
                <w:b/>
              </w:rPr>
              <w:t>c)</w:t>
            </w:r>
          </w:p>
        </w:tc>
        <w:tc>
          <w:tcPr>
            <w:tcW w:w="8316" w:type="dxa"/>
          </w:tcPr>
          <w:p w14:paraId="38A92754" w14:textId="77777777" w:rsidR="00CE2CBC" w:rsidRDefault="00D9517B" w:rsidP="004444B5">
            <w:r>
              <w:rPr>
                <w:noProof/>
                <w:lang w:val="fr-FR" w:eastAsia="fr-FR"/>
              </w:rPr>
              <w:drawing>
                <wp:inline distT="0" distB="0" distL="0" distR="0" wp14:anchorId="7326BA8C" wp14:editId="2FCF8160">
                  <wp:extent cx="4940135" cy="3705101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084" cy="370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7C4E5" w14:textId="77777777" w:rsidR="00AB2F66" w:rsidRPr="002C4130" w:rsidRDefault="00AB2F66" w:rsidP="00C011F5">
      <w:pPr>
        <w:rPr>
          <w:b/>
          <w:lang w:val="en-GB"/>
        </w:rPr>
      </w:pPr>
    </w:p>
    <w:p w14:paraId="02996A59" w14:textId="77777777" w:rsidR="002A34E0" w:rsidRDefault="002A34E0" w:rsidP="00C011F5">
      <w:pPr>
        <w:rPr>
          <w:b/>
          <w:lang w:val="en-US"/>
        </w:rPr>
      </w:pPr>
    </w:p>
    <w:p w14:paraId="5291940D" w14:textId="77777777" w:rsidR="002A34E0" w:rsidRDefault="002A34E0" w:rsidP="00C011F5">
      <w:pPr>
        <w:rPr>
          <w:b/>
          <w:lang w:val="en-US"/>
        </w:rPr>
      </w:pPr>
    </w:p>
    <w:p w14:paraId="35E987A6" w14:textId="28F9305F" w:rsidR="002A34E0" w:rsidRDefault="002A34E0">
      <w:pPr>
        <w:rPr>
          <w:b/>
          <w:lang w:val="en-US"/>
        </w:rPr>
      </w:pPr>
    </w:p>
    <w:sectPr w:rsidR="002A34E0" w:rsidSect="00C011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298BD" w14:textId="77777777" w:rsidR="00C376B9" w:rsidRDefault="00C376B9" w:rsidP="009C1E60">
      <w:pPr>
        <w:spacing w:after="0" w:line="240" w:lineRule="auto"/>
      </w:pPr>
      <w:r>
        <w:separator/>
      </w:r>
    </w:p>
  </w:endnote>
  <w:endnote w:type="continuationSeparator" w:id="0">
    <w:p w14:paraId="4ED34D1D" w14:textId="77777777" w:rsidR="00C376B9" w:rsidRDefault="00C376B9" w:rsidP="009C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868561"/>
      <w:docPartObj>
        <w:docPartGallery w:val="Page Numbers (Bottom of Page)"/>
        <w:docPartUnique/>
      </w:docPartObj>
    </w:sdtPr>
    <w:sdtEndPr/>
    <w:sdtContent>
      <w:p w14:paraId="00675CB2" w14:textId="362B5EFD" w:rsidR="007F7C23" w:rsidRDefault="007F7C2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7C9" w:rsidRPr="000027C9">
          <w:rPr>
            <w:noProof/>
            <w:lang w:val="it-IT"/>
          </w:rPr>
          <w:t>21</w:t>
        </w:r>
        <w:r>
          <w:fldChar w:fldCharType="end"/>
        </w:r>
      </w:p>
    </w:sdtContent>
  </w:sdt>
  <w:p w14:paraId="7226AF2D" w14:textId="77777777" w:rsidR="007F7C23" w:rsidRDefault="007F7C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37EEF" w14:textId="77777777" w:rsidR="00C376B9" w:rsidRDefault="00C376B9" w:rsidP="009C1E60">
      <w:pPr>
        <w:spacing w:after="0" w:line="240" w:lineRule="auto"/>
      </w:pPr>
      <w:r>
        <w:separator/>
      </w:r>
    </w:p>
  </w:footnote>
  <w:footnote w:type="continuationSeparator" w:id="0">
    <w:p w14:paraId="33B6B41E" w14:textId="77777777" w:rsidR="00C376B9" w:rsidRDefault="00C376B9" w:rsidP="009C1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03BD"/>
    <w:multiLevelType w:val="hybridMultilevel"/>
    <w:tmpl w:val="D8B2DA4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520BAE"/>
    <w:multiLevelType w:val="hybridMultilevel"/>
    <w:tmpl w:val="3D12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5E20"/>
    <w:multiLevelType w:val="hybridMultilevel"/>
    <w:tmpl w:val="FB441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6905"/>
    <w:multiLevelType w:val="hybridMultilevel"/>
    <w:tmpl w:val="96B05EFA"/>
    <w:lvl w:ilvl="0" w:tplc="DE227BE6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9A5F0C"/>
    <w:multiLevelType w:val="hybridMultilevel"/>
    <w:tmpl w:val="C2CEE7A6"/>
    <w:lvl w:ilvl="0" w:tplc="E0A234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E53A8"/>
    <w:multiLevelType w:val="hybridMultilevel"/>
    <w:tmpl w:val="A95253A8"/>
    <w:lvl w:ilvl="0" w:tplc="DDE652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41773"/>
    <w:multiLevelType w:val="hybridMultilevel"/>
    <w:tmpl w:val="955A45D2"/>
    <w:lvl w:ilvl="0" w:tplc="1EA4D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3D0E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2F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49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A2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21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E9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64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83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F6221"/>
    <w:multiLevelType w:val="hybridMultilevel"/>
    <w:tmpl w:val="81DA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52606"/>
    <w:multiLevelType w:val="hybridMultilevel"/>
    <w:tmpl w:val="05A4A77C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0E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2F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49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A2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21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E9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64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83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7F15DA"/>
    <w:multiLevelType w:val="hybridMultilevel"/>
    <w:tmpl w:val="E9004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E4B93"/>
    <w:multiLevelType w:val="hybridMultilevel"/>
    <w:tmpl w:val="05A4A77C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0E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2F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49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A2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21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E9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64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83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7293F"/>
    <w:multiLevelType w:val="hybridMultilevel"/>
    <w:tmpl w:val="9A60F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A5CC7"/>
    <w:multiLevelType w:val="hybridMultilevel"/>
    <w:tmpl w:val="FEA24868"/>
    <w:lvl w:ilvl="0" w:tplc="E9EA3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43"/>
    <w:rsid w:val="000027C9"/>
    <w:rsid w:val="00006896"/>
    <w:rsid w:val="0001144E"/>
    <w:rsid w:val="000218E8"/>
    <w:rsid w:val="0003031C"/>
    <w:rsid w:val="0003143F"/>
    <w:rsid w:val="0003687D"/>
    <w:rsid w:val="00036ED8"/>
    <w:rsid w:val="00046422"/>
    <w:rsid w:val="00050C01"/>
    <w:rsid w:val="00054C2C"/>
    <w:rsid w:val="000553A2"/>
    <w:rsid w:val="00062F1E"/>
    <w:rsid w:val="0006522B"/>
    <w:rsid w:val="00067118"/>
    <w:rsid w:val="00067AF4"/>
    <w:rsid w:val="00084A4B"/>
    <w:rsid w:val="00086E6F"/>
    <w:rsid w:val="000A0BA2"/>
    <w:rsid w:val="000A2258"/>
    <w:rsid w:val="000B22A8"/>
    <w:rsid w:val="000C0626"/>
    <w:rsid w:val="000D1134"/>
    <w:rsid w:val="000E1BCD"/>
    <w:rsid w:val="000E4DAF"/>
    <w:rsid w:val="000E59ED"/>
    <w:rsid w:val="000E6725"/>
    <w:rsid w:val="000F11E9"/>
    <w:rsid w:val="000F4BDE"/>
    <w:rsid w:val="000F6A66"/>
    <w:rsid w:val="001130AB"/>
    <w:rsid w:val="00114352"/>
    <w:rsid w:val="0011550F"/>
    <w:rsid w:val="00116E28"/>
    <w:rsid w:val="0012088D"/>
    <w:rsid w:val="001309A4"/>
    <w:rsid w:val="00130E4D"/>
    <w:rsid w:val="00131041"/>
    <w:rsid w:val="00152CB6"/>
    <w:rsid w:val="001556F3"/>
    <w:rsid w:val="00161719"/>
    <w:rsid w:val="00163ABA"/>
    <w:rsid w:val="00164472"/>
    <w:rsid w:val="00174E82"/>
    <w:rsid w:val="00177CF3"/>
    <w:rsid w:val="00181EBB"/>
    <w:rsid w:val="001A1C87"/>
    <w:rsid w:val="001A2C0E"/>
    <w:rsid w:val="001A2E87"/>
    <w:rsid w:val="001B2016"/>
    <w:rsid w:val="001B399D"/>
    <w:rsid w:val="001E57E9"/>
    <w:rsid w:val="001F4B51"/>
    <w:rsid w:val="00200CFE"/>
    <w:rsid w:val="00212C9D"/>
    <w:rsid w:val="00226B79"/>
    <w:rsid w:val="0024512E"/>
    <w:rsid w:val="002573D5"/>
    <w:rsid w:val="002637F2"/>
    <w:rsid w:val="0027276C"/>
    <w:rsid w:val="0027591F"/>
    <w:rsid w:val="00280050"/>
    <w:rsid w:val="00281931"/>
    <w:rsid w:val="00284A16"/>
    <w:rsid w:val="00284B01"/>
    <w:rsid w:val="00292FF1"/>
    <w:rsid w:val="002A34E0"/>
    <w:rsid w:val="002A5390"/>
    <w:rsid w:val="002C057F"/>
    <w:rsid w:val="002C4130"/>
    <w:rsid w:val="002D1E68"/>
    <w:rsid w:val="002D2871"/>
    <w:rsid w:val="002F7823"/>
    <w:rsid w:val="0032252E"/>
    <w:rsid w:val="00322617"/>
    <w:rsid w:val="00323B9C"/>
    <w:rsid w:val="00330B6C"/>
    <w:rsid w:val="00331357"/>
    <w:rsid w:val="00331741"/>
    <w:rsid w:val="00332479"/>
    <w:rsid w:val="00334B6E"/>
    <w:rsid w:val="0034694B"/>
    <w:rsid w:val="00347702"/>
    <w:rsid w:val="00351408"/>
    <w:rsid w:val="0035239F"/>
    <w:rsid w:val="003523CC"/>
    <w:rsid w:val="00355ED8"/>
    <w:rsid w:val="00363349"/>
    <w:rsid w:val="003709D7"/>
    <w:rsid w:val="00371240"/>
    <w:rsid w:val="00374B30"/>
    <w:rsid w:val="0038138C"/>
    <w:rsid w:val="003832B8"/>
    <w:rsid w:val="003C0636"/>
    <w:rsid w:val="003C6815"/>
    <w:rsid w:val="003D3009"/>
    <w:rsid w:val="003E271E"/>
    <w:rsid w:val="003E674D"/>
    <w:rsid w:val="00400525"/>
    <w:rsid w:val="00403114"/>
    <w:rsid w:val="00405CFC"/>
    <w:rsid w:val="00407A85"/>
    <w:rsid w:val="00413EA2"/>
    <w:rsid w:val="004156CB"/>
    <w:rsid w:val="00420660"/>
    <w:rsid w:val="00423512"/>
    <w:rsid w:val="0042603A"/>
    <w:rsid w:val="004301F8"/>
    <w:rsid w:val="0043045F"/>
    <w:rsid w:val="004444B5"/>
    <w:rsid w:val="00444C78"/>
    <w:rsid w:val="0044657E"/>
    <w:rsid w:val="00454EF8"/>
    <w:rsid w:val="00465902"/>
    <w:rsid w:val="00466DCD"/>
    <w:rsid w:val="0047033D"/>
    <w:rsid w:val="0047077A"/>
    <w:rsid w:val="004728BA"/>
    <w:rsid w:val="00494373"/>
    <w:rsid w:val="00494912"/>
    <w:rsid w:val="00495863"/>
    <w:rsid w:val="004A07C6"/>
    <w:rsid w:val="004A4F72"/>
    <w:rsid w:val="004A6ED3"/>
    <w:rsid w:val="004B09A8"/>
    <w:rsid w:val="004B388D"/>
    <w:rsid w:val="004C1D68"/>
    <w:rsid w:val="004F1F7B"/>
    <w:rsid w:val="005171E4"/>
    <w:rsid w:val="00521BB1"/>
    <w:rsid w:val="00525A9A"/>
    <w:rsid w:val="005262B5"/>
    <w:rsid w:val="00526E0A"/>
    <w:rsid w:val="00553AA7"/>
    <w:rsid w:val="00555D07"/>
    <w:rsid w:val="00557B55"/>
    <w:rsid w:val="0057515D"/>
    <w:rsid w:val="00585855"/>
    <w:rsid w:val="005906A0"/>
    <w:rsid w:val="00591E90"/>
    <w:rsid w:val="005A7122"/>
    <w:rsid w:val="005B1635"/>
    <w:rsid w:val="005B2FBD"/>
    <w:rsid w:val="005B3B09"/>
    <w:rsid w:val="005B548D"/>
    <w:rsid w:val="005D6998"/>
    <w:rsid w:val="005D72F0"/>
    <w:rsid w:val="005E050C"/>
    <w:rsid w:val="005E3ADD"/>
    <w:rsid w:val="005F73E0"/>
    <w:rsid w:val="00615662"/>
    <w:rsid w:val="00621FBA"/>
    <w:rsid w:val="00630EB5"/>
    <w:rsid w:val="0063311D"/>
    <w:rsid w:val="00641D2B"/>
    <w:rsid w:val="0065174D"/>
    <w:rsid w:val="00651EBE"/>
    <w:rsid w:val="0065635B"/>
    <w:rsid w:val="006628E0"/>
    <w:rsid w:val="00685B3D"/>
    <w:rsid w:val="006A4293"/>
    <w:rsid w:val="006B2E78"/>
    <w:rsid w:val="006B39C7"/>
    <w:rsid w:val="006C36F0"/>
    <w:rsid w:val="006C78B2"/>
    <w:rsid w:val="006D192E"/>
    <w:rsid w:val="006D5700"/>
    <w:rsid w:val="006E2F86"/>
    <w:rsid w:val="006F21A2"/>
    <w:rsid w:val="006F6E09"/>
    <w:rsid w:val="006F7109"/>
    <w:rsid w:val="00701441"/>
    <w:rsid w:val="0070370C"/>
    <w:rsid w:val="00705242"/>
    <w:rsid w:val="007128E5"/>
    <w:rsid w:val="0072036C"/>
    <w:rsid w:val="00736398"/>
    <w:rsid w:val="00742D06"/>
    <w:rsid w:val="00743510"/>
    <w:rsid w:val="00745345"/>
    <w:rsid w:val="00750839"/>
    <w:rsid w:val="00754262"/>
    <w:rsid w:val="0075438D"/>
    <w:rsid w:val="00754942"/>
    <w:rsid w:val="00754D83"/>
    <w:rsid w:val="007562B0"/>
    <w:rsid w:val="007621DD"/>
    <w:rsid w:val="00767FF1"/>
    <w:rsid w:val="00771EC9"/>
    <w:rsid w:val="0077467C"/>
    <w:rsid w:val="007750AD"/>
    <w:rsid w:val="00776441"/>
    <w:rsid w:val="00783135"/>
    <w:rsid w:val="00786299"/>
    <w:rsid w:val="0079093C"/>
    <w:rsid w:val="00797539"/>
    <w:rsid w:val="007A48F2"/>
    <w:rsid w:val="007A4A42"/>
    <w:rsid w:val="007A7BEB"/>
    <w:rsid w:val="007B0FF5"/>
    <w:rsid w:val="007B5DDD"/>
    <w:rsid w:val="007D3BB5"/>
    <w:rsid w:val="007D73AF"/>
    <w:rsid w:val="007E124C"/>
    <w:rsid w:val="007E2372"/>
    <w:rsid w:val="007F51BA"/>
    <w:rsid w:val="007F7C23"/>
    <w:rsid w:val="0080011E"/>
    <w:rsid w:val="00802017"/>
    <w:rsid w:val="00811A8B"/>
    <w:rsid w:val="0081350F"/>
    <w:rsid w:val="008136F9"/>
    <w:rsid w:val="008149D6"/>
    <w:rsid w:val="0082441A"/>
    <w:rsid w:val="008251EB"/>
    <w:rsid w:val="00833277"/>
    <w:rsid w:val="0084280D"/>
    <w:rsid w:val="008512DC"/>
    <w:rsid w:val="00873231"/>
    <w:rsid w:val="0088264B"/>
    <w:rsid w:val="00886E04"/>
    <w:rsid w:val="008902BF"/>
    <w:rsid w:val="0089617D"/>
    <w:rsid w:val="008A211A"/>
    <w:rsid w:val="008A4D93"/>
    <w:rsid w:val="008B0CF8"/>
    <w:rsid w:val="008C574E"/>
    <w:rsid w:val="008C5D2D"/>
    <w:rsid w:val="008C60CF"/>
    <w:rsid w:val="008D1A53"/>
    <w:rsid w:val="008D2E78"/>
    <w:rsid w:val="008E4CB6"/>
    <w:rsid w:val="008F3DCF"/>
    <w:rsid w:val="00907D96"/>
    <w:rsid w:val="00911A01"/>
    <w:rsid w:val="0091600F"/>
    <w:rsid w:val="00916643"/>
    <w:rsid w:val="00922F58"/>
    <w:rsid w:val="00927A8A"/>
    <w:rsid w:val="00934B04"/>
    <w:rsid w:val="00946F4A"/>
    <w:rsid w:val="00961CCD"/>
    <w:rsid w:val="00963516"/>
    <w:rsid w:val="00965688"/>
    <w:rsid w:val="0096790D"/>
    <w:rsid w:val="009764B9"/>
    <w:rsid w:val="00987366"/>
    <w:rsid w:val="00993D45"/>
    <w:rsid w:val="009A6A99"/>
    <w:rsid w:val="009B135A"/>
    <w:rsid w:val="009B4A90"/>
    <w:rsid w:val="009B7AC0"/>
    <w:rsid w:val="009C06E7"/>
    <w:rsid w:val="009C1E60"/>
    <w:rsid w:val="009D72B3"/>
    <w:rsid w:val="009F501C"/>
    <w:rsid w:val="00A0354B"/>
    <w:rsid w:val="00A14504"/>
    <w:rsid w:val="00A14A4D"/>
    <w:rsid w:val="00A165C8"/>
    <w:rsid w:val="00A25000"/>
    <w:rsid w:val="00A2732B"/>
    <w:rsid w:val="00A30E8C"/>
    <w:rsid w:val="00A3419D"/>
    <w:rsid w:val="00A4421F"/>
    <w:rsid w:val="00A4443E"/>
    <w:rsid w:val="00A5591B"/>
    <w:rsid w:val="00A56923"/>
    <w:rsid w:val="00A67915"/>
    <w:rsid w:val="00A814D6"/>
    <w:rsid w:val="00A827F6"/>
    <w:rsid w:val="00A84095"/>
    <w:rsid w:val="00A8544E"/>
    <w:rsid w:val="00A95E1F"/>
    <w:rsid w:val="00AA19BA"/>
    <w:rsid w:val="00AA5247"/>
    <w:rsid w:val="00AA622F"/>
    <w:rsid w:val="00AB2F66"/>
    <w:rsid w:val="00AB417E"/>
    <w:rsid w:val="00AD28A4"/>
    <w:rsid w:val="00AE4E87"/>
    <w:rsid w:val="00AE542D"/>
    <w:rsid w:val="00AF11E8"/>
    <w:rsid w:val="00B055CA"/>
    <w:rsid w:val="00B07C36"/>
    <w:rsid w:val="00B32E2D"/>
    <w:rsid w:val="00B45403"/>
    <w:rsid w:val="00B471DB"/>
    <w:rsid w:val="00B578A6"/>
    <w:rsid w:val="00B663BA"/>
    <w:rsid w:val="00B664E3"/>
    <w:rsid w:val="00B73E1B"/>
    <w:rsid w:val="00B91669"/>
    <w:rsid w:val="00B945EE"/>
    <w:rsid w:val="00B97BC9"/>
    <w:rsid w:val="00BA0AAE"/>
    <w:rsid w:val="00BB27A5"/>
    <w:rsid w:val="00BC0626"/>
    <w:rsid w:val="00BC527D"/>
    <w:rsid w:val="00BC5C72"/>
    <w:rsid w:val="00BE0484"/>
    <w:rsid w:val="00BF5E21"/>
    <w:rsid w:val="00BF61AF"/>
    <w:rsid w:val="00C011F5"/>
    <w:rsid w:val="00C0201C"/>
    <w:rsid w:val="00C1044C"/>
    <w:rsid w:val="00C1071D"/>
    <w:rsid w:val="00C10B66"/>
    <w:rsid w:val="00C15D0F"/>
    <w:rsid w:val="00C16C5F"/>
    <w:rsid w:val="00C17E1D"/>
    <w:rsid w:val="00C21380"/>
    <w:rsid w:val="00C21E99"/>
    <w:rsid w:val="00C24D51"/>
    <w:rsid w:val="00C2508A"/>
    <w:rsid w:val="00C2754E"/>
    <w:rsid w:val="00C31F8D"/>
    <w:rsid w:val="00C32A0A"/>
    <w:rsid w:val="00C376B9"/>
    <w:rsid w:val="00C41E78"/>
    <w:rsid w:val="00C435B5"/>
    <w:rsid w:val="00C43862"/>
    <w:rsid w:val="00C51BB4"/>
    <w:rsid w:val="00C52F52"/>
    <w:rsid w:val="00C64799"/>
    <w:rsid w:val="00C6693A"/>
    <w:rsid w:val="00C7414A"/>
    <w:rsid w:val="00C8212D"/>
    <w:rsid w:val="00C861AB"/>
    <w:rsid w:val="00C94322"/>
    <w:rsid w:val="00CB0BF9"/>
    <w:rsid w:val="00CB2B10"/>
    <w:rsid w:val="00CC57EC"/>
    <w:rsid w:val="00CE0421"/>
    <w:rsid w:val="00CE2CBC"/>
    <w:rsid w:val="00CF280B"/>
    <w:rsid w:val="00CF4E97"/>
    <w:rsid w:val="00CF7ED1"/>
    <w:rsid w:val="00D048FB"/>
    <w:rsid w:val="00D1394F"/>
    <w:rsid w:val="00D16F6B"/>
    <w:rsid w:val="00D22D07"/>
    <w:rsid w:val="00D24C73"/>
    <w:rsid w:val="00D30FCA"/>
    <w:rsid w:val="00D343F9"/>
    <w:rsid w:val="00D4305B"/>
    <w:rsid w:val="00D4672E"/>
    <w:rsid w:val="00D766CA"/>
    <w:rsid w:val="00D84D77"/>
    <w:rsid w:val="00D871ED"/>
    <w:rsid w:val="00D92A3E"/>
    <w:rsid w:val="00D93B0B"/>
    <w:rsid w:val="00D9517B"/>
    <w:rsid w:val="00D95942"/>
    <w:rsid w:val="00DA06BA"/>
    <w:rsid w:val="00DA0918"/>
    <w:rsid w:val="00DB542D"/>
    <w:rsid w:val="00DD3BB8"/>
    <w:rsid w:val="00DD3C83"/>
    <w:rsid w:val="00DD5182"/>
    <w:rsid w:val="00DE2FDB"/>
    <w:rsid w:val="00DF2043"/>
    <w:rsid w:val="00DF2FF8"/>
    <w:rsid w:val="00E001A1"/>
    <w:rsid w:val="00E07A17"/>
    <w:rsid w:val="00E13182"/>
    <w:rsid w:val="00E2246D"/>
    <w:rsid w:val="00E22E0E"/>
    <w:rsid w:val="00E245DC"/>
    <w:rsid w:val="00E302ED"/>
    <w:rsid w:val="00E54D41"/>
    <w:rsid w:val="00E56058"/>
    <w:rsid w:val="00E66B2C"/>
    <w:rsid w:val="00E70D12"/>
    <w:rsid w:val="00E75196"/>
    <w:rsid w:val="00E80E79"/>
    <w:rsid w:val="00E8281A"/>
    <w:rsid w:val="00E92496"/>
    <w:rsid w:val="00EA24B4"/>
    <w:rsid w:val="00EA76A5"/>
    <w:rsid w:val="00EB69DC"/>
    <w:rsid w:val="00EC4DD0"/>
    <w:rsid w:val="00EE4191"/>
    <w:rsid w:val="00EF70CF"/>
    <w:rsid w:val="00F025C8"/>
    <w:rsid w:val="00F0695A"/>
    <w:rsid w:val="00F0785B"/>
    <w:rsid w:val="00F21EA4"/>
    <w:rsid w:val="00F24D93"/>
    <w:rsid w:val="00F33953"/>
    <w:rsid w:val="00F461A1"/>
    <w:rsid w:val="00F50691"/>
    <w:rsid w:val="00F61267"/>
    <w:rsid w:val="00F652EE"/>
    <w:rsid w:val="00F75CC1"/>
    <w:rsid w:val="00F8414D"/>
    <w:rsid w:val="00F85D82"/>
    <w:rsid w:val="00F91EC0"/>
    <w:rsid w:val="00F92B9B"/>
    <w:rsid w:val="00F94405"/>
    <w:rsid w:val="00FB25CE"/>
    <w:rsid w:val="00FB7465"/>
    <w:rsid w:val="00FB74F6"/>
    <w:rsid w:val="00FB7E5F"/>
    <w:rsid w:val="00FC0311"/>
    <w:rsid w:val="00FC23C0"/>
    <w:rsid w:val="00FC7BCB"/>
    <w:rsid w:val="00FD2D19"/>
    <w:rsid w:val="00FD3FE9"/>
    <w:rsid w:val="00FD6161"/>
    <w:rsid w:val="00FD712C"/>
    <w:rsid w:val="00FE08B9"/>
    <w:rsid w:val="00FE2C9E"/>
    <w:rsid w:val="00FE33B1"/>
    <w:rsid w:val="00FE5721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AD575"/>
  <w15:docId w15:val="{D56E9D96-7AAC-4E39-B821-94660FA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D93"/>
    <w:rPr>
      <w:lang w:val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AA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16643"/>
    <w:rPr>
      <w:color w:val="0000FF"/>
      <w:u w:val="single"/>
    </w:rPr>
  </w:style>
  <w:style w:type="table" w:styleId="Ombrageclair">
    <w:name w:val="Light Shading"/>
    <w:basedOn w:val="TableauNormal"/>
    <w:uiPriority w:val="60"/>
    <w:rsid w:val="00685B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1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B66"/>
    <w:rPr>
      <w:rFonts w:ascii="Tahoma" w:hAnsi="Tahoma" w:cs="Tahoma"/>
      <w:sz w:val="16"/>
      <w:szCs w:val="16"/>
      <w:lang w:val="nl-NL"/>
    </w:rPr>
  </w:style>
  <w:style w:type="table" w:styleId="Grilledutableau">
    <w:name w:val="Table Grid"/>
    <w:basedOn w:val="TableauNormal"/>
    <w:uiPriority w:val="59"/>
    <w:rsid w:val="0075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11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0F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1Car">
    <w:name w:val="Titre 1 Car"/>
    <w:basedOn w:val="Policepardfaut"/>
    <w:link w:val="Titre1"/>
    <w:uiPriority w:val="9"/>
    <w:rsid w:val="00AA62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A622F"/>
    <w:pPr>
      <w:spacing w:line="259" w:lineRule="auto"/>
      <w:outlineLvl w:val="9"/>
    </w:pPr>
    <w:rPr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AA622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AA622F"/>
    <w:pPr>
      <w:spacing w:after="100" w:line="259" w:lineRule="auto"/>
    </w:pPr>
    <w:rPr>
      <w:rFonts w:eastAsiaTheme="minorEastAsia" w:cs="Times New Roman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AA622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149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49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49D6"/>
    <w:rPr>
      <w:sz w:val="20"/>
      <w:szCs w:val="20"/>
      <w:lang w:val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49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49D6"/>
    <w:rPr>
      <w:b/>
      <w:bCs/>
      <w:sz w:val="20"/>
      <w:szCs w:val="20"/>
      <w:lang w:val="nl-NL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4206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C1E6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E60"/>
    <w:rPr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9C1E6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E60"/>
    <w:rPr>
      <w:lang w:val="nl-NL"/>
    </w:rPr>
  </w:style>
  <w:style w:type="table" w:styleId="Tableausimple1">
    <w:name w:val="Plain Table 1"/>
    <w:basedOn w:val="TableauNormal"/>
    <w:uiPriority w:val="41"/>
    <w:rsid w:val="00323B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4394">
          <w:marLeft w:val="80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597">
          <w:marLeft w:val="80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005">
          <w:marLeft w:val="80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489">
          <w:marLeft w:val="80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449">
          <w:marLeft w:val="80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87">
          <w:marLeft w:val="80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E02F-0D0D-419F-9B0E-B1DEC585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4967</Words>
  <Characters>27320</Characters>
  <Application>Microsoft Office Word</Application>
  <DocSecurity>0</DocSecurity>
  <Lines>227</Lines>
  <Paragraphs>64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Universitair Medisch Centrum Groningen</Company>
  <LinksUpToDate>false</LinksUpToDate>
  <CharactersWithSpaces>32223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Ravera, AR (thorax)</dc:creator>
  <cp:lastModifiedBy>Erwan BOZEC</cp:lastModifiedBy>
  <cp:revision>3</cp:revision>
  <dcterms:created xsi:type="dcterms:W3CDTF">2022-08-18T09:41:00Z</dcterms:created>
  <dcterms:modified xsi:type="dcterms:W3CDTF">2022-08-18T09:41:00Z</dcterms:modified>
</cp:coreProperties>
</file>