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E884" w14:textId="64780ADB" w:rsidR="00E941A9" w:rsidRDefault="00012B40" w:rsidP="00012B40">
      <w:pPr>
        <w:pStyle w:val="BodyBA"/>
        <w:spacing w:line="480" w:lineRule="auto"/>
        <w:rPr>
          <w:rFonts w:ascii="Calibri" w:eastAsia="Calibri" w:hAnsi="Calibri" w:cs="Calibri"/>
        </w:rPr>
      </w:pPr>
      <w:r>
        <w:rPr>
          <w:rFonts w:ascii="Calibri" w:hAnsi="Calibri"/>
          <w:b/>
          <w:bCs/>
        </w:rPr>
        <w:t>Supplementa</w:t>
      </w:r>
      <w:r w:rsidR="00C522CD">
        <w:rPr>
          <w:rFonts w:ascii="Calibri" w:hAnsi="Calibri"/>
          <w:b/>
          <w:bCs/>
        </w:rPr>
        <w:t>l</w:t>
      </w:r>
      <w:r>
        <w:rPr>
          <w:rFonts w:ascii="Calibri" w:hAnsi="Calibri"/>
          <w:b/>
          <w:bCs/>
        </w:rPr>
        <w:t xml:space="preserve"> Table 1:</w:t>
      </w:r>
      <w:r>
        <w:rPr>
          <w:rFonts w:ascii="Calibri" w:hAnsi="Calibri"/>
        </w:rPr>
        <w:t xml:space="preserve"> Baseline Characteristics Based </w:t>
      </w:r>
      <w:r>
        <w:rPr>
          <w:rFonts w:ascii="Calibri" w:hAnsi="Calibri"/>
        </w:rPr>
        <w:t>on First</w:t>
      </w:r>
      <w:r>
        <w:rPr>
          <w:rFonts w:ascii="Calibri" w:hAnsi="Calibri"/>
        </w:rPr>
        <w:t xml:space="preserve"> Adjudication Committee Confirmed HHF</w:t>
      </w:r>
    </w:p>
    <w:tbl>
      <w:tblPr>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73"/>
        <w:gridCol w:w="184"/>
        <w:gridCol w:w="2029"/>
        <w:gridCol w:w="2223"/>
      </w:tblGrid>
      <w:tr w:rsidR="00E941A9" w14:paraId="35D9E888" w14:textId="77777777" w:rsidTr="00012B40">
        <w:trPr>
          <w:trHeight w:val="1273"/>
          <w:jc w:val="center"/>
        </w:trPr>
        <w:tc>
          <w:tcPr>
            <w:tcW w:w="47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5D9E885" w14:textId="77777777" w:rsidR="00E941A9" w:rsidRDefault="00E941A9"/>
        </w:tc>
        <w:tc>
          <w:tcPr>
            <w:tcW w:w="2213" w:type="dxa"/>
            <w:gridSpan w:val="2"/>
            <w:tcBorders>
              <w:top w:val="single" w:sz="4" w:space="0" w:color="000000"/>
              <w:left w:val="nil"/>
              <w:bottom w:val="single" w:sz="4" w:space="0" w:color="000000"/>
              <w:right w:val="nil"/>
            </w:tcBorders>
            <w:shd w:val="clear" w:color="auto" w:fill="FFFFFF"/>
            <w:tcMar>
              <w:top w:w="80" w:type="dxa"/>
              <w:left w:w="437" w:type="dxa"/>
              <w:bottom w:w="80" w:type="dxa"/>
              <w:right w:w="80" w:type="dxa"/>
            </w:tcMar>
          </w:tcPr>
          <w:p w14:paraId="35D9E886" w14:textId="77777777" w:rsidR="00E941A9" w:rsidRDefault="00012B40">
            <w:pPr>
              <w:pStyle w:val="BodyDA"/>
              <w:ind w:left="357"/>
              <w:jc w:val="center"/>
            </w:pPr>
            <w:r>
              <w:rPr>
                <w:rFonts w:ascii="Calibri" w:hAnsi="Calibri"/>
                <w:b/>
                <w:bCs/>
                <w:lang w:val="en-US"/>
              </w:rPr>
              <w:t>Adjudicated HHF</w:t>
            </w:r>
            <w:r>
              <w:rPr>
                <w:rFonts w:ascii="Calibri" w:eastAsia="Calibri" w:hAnsi="Calibri" w:cs="Calibri"/>
                <w:b/>
                <w:bCs/>
                <w:lang w:val="en-US"/>
              </w:rPr>
              <w:br/>
            </w:r>
            <w:r>
              <w:rPr>
                <w:rFonts w:ascii="Calibri" w:hAnsi="Calibri"/>
                <w:b/>
                <w:bCs/>
                <w:lang w:val="en-US"/>
              </w:rPr>
              <w:t>N=588</w:t>
            </w:r>
          </w:p>
        </w:tc>
        <w:tc>
          <w:tcPr>
            <w:tcW w:w="2223" w:type="dxa"/>
            <w:tcBorders>
              <w:top w:val="single" w:sz="4" w:space="0" w:color="000000"/>
              <w:left w:val="nil"/>
              <w:bottom w:val="single" w:sz="4" w:space="0" w:color="000000"/>
              <w:right w:val="nil"/>
            </w:tcBorders>
            <w:shd w:val="clear" w:color="auto" w:fill="FFFFFF"/>
            <w:tcMar>
              <w:top w:w="80" w:type="dxa"/>
              <w:left w:w="437" w:type="dxa"/>
              <w:bottom w:w="80" w:type="dxa"/>
              <w:right w:w="80" w:type="dxa"/>
            </w:tcMar>
          </w:tcPr>
          <w:p w14:paraId="35D9E887" w14:textId="77777777" w:rsidR="00E941A9" w:rsidRDefault="00012B40">
            <w:pPr>
              <w:pStyle w:val="BodyDA"/>
              <w:ind w:left="357"/>
              <w:jc w:val="center"/>
            </w:pPr>
            <w:r>
              <w:rPr>
                <w:rFonts w:ascii="Calibri" w:hAnsi="Calibri"/>
                <w:b/>
                <w:bCs/>
                <w:lang w:val="en-US"/>
              </w:rPr>
              <w:t>No adjudicated HHF</w:t>
            </w:r>
            <w:r>
              <w:rPr>
                <w:rFonts w:ascii="Calibri" w:eastAsia="Calibri" w:hAnsi="Calibri" w:cs="Calibri"/>
                <w:b/>
                <w:bCs/>
                <w:lang w:val="en-US"/>
              </w:rPr>
              <w:br/>
            </w:r>
            <w:r>
              <w:rPr>
                <w:rFonts w:ascii="Calibri" w:hAnsi="Calibri"/>
                <w:b/>
                <w:bCs/>
                <w:lang w:val="en-US"/>
              </w:rPr>
              <w:t>N=3142</w:t>
            </w:r>
          </w:p>
        </w:tc>
      </w:tr>
      <w:tr w:rsidR="00E941A9" w14:paraId="35D9E88C" w14:textId="77777777" w:rsidTr="00012B40">
        <w:trPr>
          <w:trHeight w:val="358"/>
          <w:jc w:val="center"/>
        </w:trPr>
        <w:tc>
          <w:tcPr>
            <w:tcW w:w="4773" w:type="dxa"/>
            <w:tcBorders>
              <w:top w:val="single" w:sz="4" w:space="0" w:color="000000"/>
              <w:left w:val="nil"/>
              <w:bottom w:val="nil"/>
              <w:right w:val="nil"/>
            </w:tcBorders>
            <w:shd w:val="clear" w:color="auto" w:fill="auto"/>
            <w:tcMar>
              <w:top w:w="80" w:type="dxa"/>
              <w:left w:w="80" w:type="dxa"/>
              <w:bottom w:w="80" w:type="dxa"/>
              <w:right w:w="80" w:type="dxa"/>
            </w:tcMar>
          </w:tcPr>
          <w:p w14:paraId="35D9E889" w14:textId="77777777" w:rsidR="00E941A9" w:rsidRDefault="00012B40">
            <w:pPr>
              <w:pStyle w:val="BodyDA"/>
            </w:pPr>
            <w:r>
              <w:rPr>
                <w:rFonts w:ascii="Calibri" w:hAnsi="Calibri"/>
                <w:lang w:val="en-US"/>
              </w:rPr>
              <w:t>Age, years</w:t>
            </w:r>
          </w:p>
        </w:tc>
        <w:tc>
          <w:tcPr>
            <w:tcW w:w="2213" w:type="dxa"/>
            <w:gridSpan w:val="2"/>
            <w:tcBorders>
              <w:top w:val="single" w:sz="4" w:space="0" w:color="000000"/>
              <w:left w:val="nil"/>
              <w:bottom w:val="nil"/>
              <w:right w:val="nil"/>
            </w:tcBorders>
            <w:shd w:val="clear" w:color="auto" w:fill="auto"/>
            <w:tcMar>
              <w:top w:w="80" w:type="dxa"/>
              <w:left w:w="437" w:type="dxa"/>
              <w:bottom w:w="80" w:type="dxa"/>
              <w:right w:w="80" w:type="dxa"/>
            </w:tcMar>
          </w:tcPr>
          <w:p w14:paraId="35D9E88A" w14:textId="77777777" w:rsidR="00E941A9" w:rsidRDefault="00012B40">
            <w:pPr>
              <w:pStyle w:val="BodyDA"/>
              <w:ind w:left="357"/>
              <w:jc w:val="center"/>
            </w:pPr>
            <w:r>
              <w:rPr>
                <w:rFonts w:ascii="Calibri" w:hAnsi="Calibri"/>
                <w:lang w:val="en-US"/>
              </w:rPr>
              <w:t>67.0</w:t>
            </w:r>
            <w:r>
              <w:rPr>
                <w:rFonts w:ascii="Calibri" w:hAnsi="Calibri"/>
                <w:lang w:val="en-US"/>
              </w:rPr>
              <w:t>±</w:t>
            </w:r>
            <w:r>
              <w:rPr>
                <w:rFonts w:ascii="Calibri" w:hAnsi="Calibri"/>
                <w:lang w:val="en-US"/>
              </w:rPr>
              <w:t>11.2</w:t>
            </w:r>
          </w:p>
        </w:tc>
        <w:tc>
          <w:tcPr>
            <w:tcW w:w="2223" w:type="dxa"/>
            <w:tcBorders>
              <w:top w:val="single" w:sz="4" w:space="0" w:color="000000"/>
              <w:left w:val="nil"/>
              <w:bottom w:val="nil"/>
              <w:right w:val="nil"/>
            </w:tcBorders>
            <w:shd w:val="clear" w:color="auto" w:fill="auto"/>
            <w:tcMar>
              <w:top w:w="80" w:type="dxa"/>
              <w:left w:w="437" w:type="dxa"/>
              <w:bottom w:w="80" w:type="dxa"/>
              <w:right w:w="80" w:type="dxa"/>
            </w:tcMar>
          </w:tcPr>
          <w:p w14:paraId="35D9E88B" w14:textId="77777777" w:rsidR="00E941A9" w:rsidRDefault="00012B40">
            <w:pPr>
              <w:pStyle w:val="BodyDA"/>
              <w:ind w:left="357"/>
              <w:jc w:val="center"/>
            </w:pPr>
            <w:r>
              <w:rPr>
                <w:rFonts w:ascii="Calibri" w:hAnsi="Calibri"/>
                <w:lang w:val="en-US"/>
              </w:rPr>
              <w:t>66.8</w:t>
            </w:r>
            <w:r>
              <w:rPr>
                <w:rFonts w:ascii="Calibri" w:hAnsi="Calibri"/>
                <w:lang w:val="en-US"/>
              </w:rPr>
              <w:t>±</w:t>
            </w:r>
            <w:r>
              <w:rPr>
                <w:rFonts w:ascii="Calibri" w:hAnsi="Calibri"/>
                <w:lang w:val="en-US"/>
              </w:rPr>
              <w:t>11.0</w:t>
            </w:r>
          </w:p>
        </w:tc>
      </w:tr>
      <w:tr w:rsidR="00E941A9" w14:paraId="35D9E89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8D" w14:textId="77777777" w:rsidR="00E941A9" w:rsidRDefault="00012B40">
            <w:pPr>
              <w:pStyle w:val="BodyDA"/>
            </w:pPr>
            <w:r>
              <w:rPr>
                <w:rFonts w:ascii="Calibri" w:hAnsi="Calibri"/>
                <w:lang w:val="en-US"/>
              </w:rPr>
              <w:t>Female sex</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8E" w14:textId="77777777" w:rsidR="00E941A9" w:rsidRDefault="00012B40">
            <w:pPr>
              <w:pStyle w:val="BodyDA"/>
              <w:ind w:left="357"/>
              <w:jc w:val="center"/>
            </w:pPr>
            <w:r>
              <w:rPr>
                <w:rFonts w:ascii="Calibri" w:hAnsi="Calibri"/>
                <w:lang w:val="en-US"/>
              </w:rPr>
              <w:t>126 (21.4)</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8F" w14:textId="77777777" w:rsidR="00E941A9" w:rsidRDefault="00012B40">
            <w:pPr>
              <w:pStyle w:val="BodyDA"/>
              <w:ind w:left="357"/>
              <w:jc w:val="center"/>
            </w:pPr>
            <w:r>
              <w:rPr>
                <w:rFonts w:ascii="Calibri" w:hAnsi="Calibri"/>
                <w:lang w:val="en-US"/>
              </w:rPr>
              <w:t xml:space="preserve">767 </w:t>
            </w:r>
            <w:r>
              <w:rPr>
                <w:rFonts w:ascii="Calibri" w:hAnsi="Calibri"/>
                <w:lang w:val="en-US"/>
              </w:rPr>
              <w:t>(24.4)</w:t>
            </w:r>
          </w:p>
        </w:tc>
      </w:tr>
      <w:tr w:rsidR="00E941A9" w14:paraId="35D9E894" w14:textId="77777777" w:rsidTr="00012B40">
        <w:trPr>
          <w:trHeight w:val="310"/>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91" w14:textId="77777777" w:rsidR="00E941A9" w:rsidRDefault="00012B40">
            <w:pPr>
              <w:pStyle w:val="BodyDA"/>
            </w:pPr>
            <w:r>
              <w:rPr>
                <w:rFonts w:ascii="Calibri" w:hAnsi="Calibri"/>
                <w:lang w:val="en-US"/>
              </w:rPr>
              <w:t>Race</w:t>
            </w:r>
          </w:p>
        </w:tc>
        <w:tc>
          <w:tcPr>
            <w:tcW w:w="2213" w:type="dxa"/>
            <w:gridSpan w:val="2"/>
            <w:tcBorders>
              <w:top w:val="nil"/>
              <w:left w:val="nil"/>
              <w:bottom w:val="nil"/>
              <w:right w:val="nil"/>
            </w:tcBorders>
            <w:shd w:val="clear" w:color="auto" w:fill="auto"/>
            <w:tcMar>
              <w:top w:w="80" w:type="dxa"/>
              <w:left w:w="80" w:type="dxa"/>
              <w:bottom w:w="80" w:type="dxa"/>
              <w:right w:w="80" w:type="dxa"/>
            </w:tcMar>
          </w:tcPr>
          <w:p w14:paraId="35D9E892"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893" w14:textId="77777777" w:rsidR="00E941A9" w:rsidRDefault="00E941A9"/>
        </w:tc>
      </w:tr>
      <w:tr w:rsidR="00E941A9" w14:paraId="35D9E898"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95" w14:textId="77777777" w:rsidR="00E941A9" w:rsidRDefault="00012B40">
            <w:pPr>
              <w:pStyle w:val="BodyDA"/>
            </w:pPr>
            <w:r>
              <w:rPr>
                <w:rFonts w:ascii="Calibri" w:hAnsi="Calibri"/>
                <w:lang w:val="en-US"/>
              </w:rPr>
              <w:t xml:space="preserve">    White</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96" w14:textId="77777777" w:rsidR="00E941A9" w:rsidRDefault="00012B40">
            <w:pPr>
              <w:pStyle w:val="BodyDA"/>
              <w:ind w:left="357"/>
              <w:jc w:val="center"/>
            </w:pPr>
            <w:r>
              <w:rPr>
                <w:rFonts w:ascii="Calibri" w:hAnsi="Calibri"/>
                <w:lang w:val="en-US"/>
              </w:rPr>
              <w:t>382 (65.0)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97" w14:textId="77777777" w:rsidR="00E941A9" w:rsidRDefault="00012B40">
            <w:pPr>
              <w:pStyle w:val="BodyDA"/>
              <w:ind w:left="357"/>
              <w:jc w:val="center"/>
            </w:pPr>
            <w:r>
              <w:rPr>
                <w:rFonts w:ascii="Calibri" w:hAnsi="Calibri"/>
                <w:lang w:val="en-US"/>
              </w:rPr>
              <w:t>2247 (71.5)</w:t>
            </w:r>
          </w:p>
        </w:tc>
      </w:tr>
      <w:tr w:rsidR="00E941A9" w14:paraId="35D9E89C"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99" w14:textId="77777777" w:rsidR="00E941A9" w:rsidRDefault="00012B40">
            <w:pPr>
              <w:pStyle w:val="BodyDA"/>
            </w:pPr>
            <w:r>
              <w:rPr>
                <w:rFonts w:ascii="Calibri" w:hAnsi="Calibri"/>
                <w:lang w:val="en-US"/>
              </w:rPr>
              <w:t xml:space="preserve">    Black/African American</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9A" w14:textId="77777777" w:rsidR="00E941A9" w:rsidRDefault="00012B40">
            <w:pPr>
              <w:pStyle w:val="BodyDA"/>
              <w:ind w:left="357"/>
              <w:jc w:val="center"/>
            </w:pPr>
            <w:r>
              <w:rPr>
                <w:rFonts w:ascii="Calibri" w:hAnsi="Calibri"/>
                <w:lang w:val="en-US"/>
              </w:rPr>
              <w:t>59 (10.0)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9B" w14:textId="77777777" w:rsidR="00E941A9" w:rsidRDefault="00012B40">
            <w:pPr>
              <w:pStyle w:val="BodyDA"/>
              <w:ind w:left="357"/>
              <w:jc w:val="center"/>
            </w:pPr>
            <w:r>
              <w:rPr>
                <w:rFonts w:ascii="Calibri" w:hAnsi="Calibri"/>
                <w:lang w:val="en-US"/>
              </w:rPr>
              <w:t>198 (6.3)</w:t>
            </w:r>
          </w:p>
        </w:tc>
      </w:tr>
      <w:tr w:rsidR="00E941A9" w14:paraId="35D9E8A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9D" w14:textId="77777777" w:rsidR="00E941A9" w:rsidRDefault="00012B40">
            <w:pPr>
              <w:pStyle w:val="BodyDA"/>
            </w:pPr>
            <w:r>
              <w:rPr>
                <w:rFonts w:ascii="Calibri" w:hAnsi="Calibri"/>
                <w:lang w:val="en-US"/>
              </w:rPr>
              <w:t xml:space="preserve">    Asian</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9E" w14:textId="77777777" w:rsidR="00E941A9" w:rsidRDefault="00012B40">
            <w:pPr>
              <w:pStyle w:val="BodyDA"/>
              <w:ind w:left="357"/>
              <w:jc w:val="center"/>
            </w:pPr>
            <w:r>
              <w:rPr>
                <w:rFonts w:ascii="Calibri" w:hAnsi="Calibri"/>
                <w:lang w:val="en-US"/>
              </w:rPr>
              <w:t>122 (20.7)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9F" w14:textId="77777777" w:rsidR="00E941A9" w:rsidRDefault="00012B40">
            <w:pPr>
              <w:pStyle w:val="BodyDA"/>
              <w:ind w:left="357"/>
              <w:jc w:val="center"/>
            </w:pPr>
            <w:r>
              <w:rPr>
                <w:rFonts w:ascii="Calibri" w:hAnsi="Calibri"/>
                <w:lang w:val="en-US"/>
              </w:rPr>
              <w:t>550 (17.5)</w:t>
            </w:r>
          </w:p>
        </w:tc>
      </w:tr>
      <w:tr w:rsidR="00E941A9" w14:paraId="35D9E8A4"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A1" w14:textId="77777777" w:rsidR="00E941A9" w:rsidRDefault="00012B40">
            <w:pPr>
              <w:pStyle w:val="BodyDA"/>
            </w:pPr>
            <w:r>
              <w:rPr>
                <w:rFonts w:ascii="Calibri" w:hAnsi="Calibri"/>
                <w:lang w:val="en-US"/>
              </w:rPr>
              <w:t xml:space="preserve">    Other including mixed races</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A2" w14:textId="77777777" w:rsidR="00E941A9" w:rsidRDefault="00012B40">
            <w:pPr>
              <w:pStyle w:val="BodyDA"/>
              <w:ind w:left="357"/>
              <w:jc w:val="center"/>
            </w:pPr>
            <w:r>
              <w:rPr>
                <w:rFonts w:ascii="Calibri" w:hAnsi="Calibri"/>
                <w:lang w:val="en-US"/>
              </w:rPr>
              <w:t>10 (1.7)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A3" w14:textId="77777777" w:rsidR="00E941A9" w:rsidRDefault="00012B40">
            <w:pPr>
              <w:pStyle w:val="BodyDA"/>
              <w:ind w:left="357"/>
              <w:jc w:val="center"/>
            </w:pPr>
            <w:r>
              <w:rPr>
                <w:rFonts w:ascii="Calibri" w:hAnsi="Calibri"/>
                <w:lang w:val="en-US"/>
              </w:rPr>
              <w:t>104 (3.3)</w:t>
            </w:r>
          </w:p>
        </w:tc>
      </w:tr>
      <w:tr w:rsidR="00E941A9" w14:paraId="35D9E8A8"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A5" w14:textId="77777777" w:rsidR="00E941A9" w:rsidRDefault="00012B40">
            <w:pPr>
              <w:pStyle w:val="BodyDA"/>
            </w:pPr>
            <w:r>
              <w:rPr>
                <w:rFonts w:ascii="Calibri" w:hAnsi="Calibri"/>
                <w:lang w:val="en-US"/>
              </w:rPr>
              <w:t xml:space="preserve">    Missing</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A6" w14:textId="77777777" w:rsidR="00E941A9" w:rsidRDefault="00012B40">
            <w:pPr>
              <w:pStyle w:val="BodyDA"/>
              <w:ind w:left="357"/>
              <w:jc w:val="center"/>
            </w:pPr>
            <w:r>
              <w:rPr>
                <w:rFonts w:ascii="Calibri" w:hAnsi="Calibri"/>
                <w:lang w:val="en-US"/>
              </w:rPr>
              <w:t>15 (2.6)</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A7" w14:textId="77777777" w:rsidR="00E941A9" w:rsidRDefault="00012B40">
            <w:pPr>
              <w:pStyle w:val="BodyDA"/>
              <w:ind w:left="357"/>
              <w:jc w:val="center"/>
            </w:pPr>
            <w:r>
              <w:rPr>
                <w:rFonts w:ascii="Calibri" w:hAnsi="Calibri"/>
                <w:lang w:val="en-US"/>
              </w:rPr>
              <w:t>43 (1.4)</w:t>
            </w:r>
          </w:p>
        </w:tc>
      </w:tr>
      <w:tr w:rsidR="00E941A9" w14:paraId="35D9E8AC" w14:textId="77777777" w:rsidTr="00012B40">
        <w:trPr>
          <w:trHeight w:val="310"/>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A9" w14:textId="77777777" w:rsidR="00E941A9" w:rsidRDefault="00012B40">
            <w:pPr>
              <w:pStyle w:val="BodyDA"/>
            </w:pPr>
            <w:r>
              <w:rPr>
                <w:rFonts w:ascii="Calibri" w:hAnsi="Calibri"/>
                <w:lang w:val="en-US"/>
              </w:rPr>
              <w:t>Region</w:t>
            </w:r>
          </w:p>
        </w:tc>
        <w:tc>
          <w:tcPr>
            <w:tcW w:w="2213" w:type="dxa"/>
            <w:gridSpan w:val="2"/>
            <w:tcBorders>
              <w:top w:val="nil"/>
              <w:left w:val="nil"/>
              <w:bottom w:val="nil"/>
              <w:right w:val="nil"/>
            </w:tcBorders>
            <w:shd w:val="clear" w:color="auto" w:fill="auto"/>
            <w:tcMar>
              <w:top w:w="80" w:type="dxa"/>
              <w:left w:w="80" w:type="dxa"/>
              <w:bottom w:w="80" w:type="dxa"/>
              <w:right w:w="80" w:type="dxa"/>
            </w:tcMar>
          </w:tcPr>
          <w:p w14:paraId="35D9E8AA"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8AB" w14:textId="77777777" w:rsidR="00E941A9" w:rsidRDefault="00E941A9"/>
        </w:tc>
      </w:tr>
      <w:tr w:rsidR="00E941A9" w14:paraId="35D9E8B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AD" w14:textId="77777777" w:rsidR="00E941A9" w:rsidRDefault="00012B40">
            <w:pPr>
              <w:pStyle w:val="BodyDA"/>
            </w:pPr>
            <w:r>
              <w:rPr>
                <w:rFonts w:ascii="Calibri" w:hAnsi="Calibri"/>
                <w:lang w:val="en-US"/>
              </w:rPr>
              <w:t xml:space="preserve">    North America</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AE" w14:textId="77777777" w:rsidR="00E941A9" w:rsidRDefault="00012B40">
            <w:pPr>
              <w:pStyle w:val="BodyDA"/>
              <w:ind w:left="357"/>
              <w:jc w:val="center"/>
            </w:pPr>
            <w:r>
              <w:rPr>
                <w:rFonts w:ascii="Calibri" w:hAnsi="Calibri"/>
                <w:lang w:val="en-US"/>
              </w:rPr>
              <w:t>97 (16.5)</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AF" w14:textId="77777777" w:rsidR="00E941A9" w:rsidRDefault="00012B40">
            <w:pPr>
              <w:pStyle w:val="BodyDA"/>
              <w:ind w:left="357"/>
              <w:jc w:val="center"/>
            </w:pPr>
            <w:r>
              <w:rPr>
                <w:rFonts w:ascii="Calibri" w:hAnsi="Calibri"/>
                <w:lang w:val="en-US"/>
              </w:rPr>
              <w:t>328 (10.4)</w:t>
            </w:r>
          </w:p>
        </w:tc>
      </w:tr>
      <w:tr w:rsidR="00E941A9" w14:paraId="35D9E8B4"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B1" w14:textId="77777777" w:rsidR="00E941A9" w:rsidRDefault="00012B40">
            <w:pPr>
              <w:pStyle w:val="BodyDA"/>
            </w:pPr>
            <w:r>
              <w:rPr>
                <w:rFonts w:ascii="Calibri" w:hAnsi="Calibri"/>
                <w:lang w:val="en-US"/>
              </w:rPr>
              <w:t xml:space="preserve">    Latin America</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B2" w14:textId="77777777" w:rsidR="00E941A9" w:rsidRDefault="00012B40">
            <w:pPr>
              <w:pStyle w:val="BodyDA"/>
              <w:ind w:left="357"/>
              <w:jc w:val="center"/>
            </w:pPr>
            <w:r>
              <w:rPr>
                <w:rFonts w:ascii="Calibri" w:hAnsi="Calibri"/>
                <w:lang w:val="en-US"/>
              </w:rPr>
              <w:t>168 (28.6)</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B3" w14:textId="77777777" w:rsidR="00E941A9" w:rsidRDefault="00012B40">
            <w:pPr>
              <w:pStyle w:val="BodyDA"/>
              <w:ind w:left="357"/>
              <w:jc w:val="center"/>
            </w:pPr>
            <w:r>
              <w:rPr>
                <w:rFonts w:ascii="Calibri" w:hAnsi="Calibri"/>
                <w:lang w:val="en-US"/>
              </w:rPr>
              <w:t>1118 (35.6)</w:t>
            </w:r>
          </w:p>
        </w:tc>
      </w:tr>
      <w:tr w:rsidR="00E941A9" w14:paraId="35D9E8B8"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B5" w14:textId="77777777" w:rsidR="00E941A9" w:rsidRDefault="00012B40">
            <w:pPr>
              <w:pStyle w:val="BodyDA"/>
            </w:pPr>
            <w:r>
              <w:rPr>
                <w:rFonts w:ascii="Calibri" w:hAnsi="Calibri"/>
                <w:lang w:val="en-US"/>
              </w:rPr>
              <w:t xml:space="preserve">    Europe</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B6" w14:textId="77777777" w:rsidR="00E941A9" w:rsidRDefault="00012B40">
            <w:pPr>
              <w:pStyle w:val="BodyDA"/>
              <w:ind w:left="357"/>
              <w:jc w:val="center"/>
            </w:pPr>
            <w:r>
              <w:rPr>
                <w:rFonts w:ascii="Calibri" w:hAnsi="Calibri"/>
                <w:lang w:val="en-US"/>
              </w:rPr>
              <w:t>201 (34.2)</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B7" w14:textId="77777777" w:rsidR="00E941A9" w:rsidRDefault="00012B40">
            <w:pPr>
              <w:pStyle w:val="BodyDA"/>
              <w:ind w:left="357"/>
              <w:jc w:val="center"/>
            </w:pPr>
            <w:r>
              <w:rPr>
                <w:rFonts w:ascii="Calibri" w:hAnsi="Calibri"/>
                <w:lang w:val="en-US"/>
              </w:rPr>
              <w:t>1152 (36.7)</w:t>
            </w:r>
          </w:p>
        </w:tc>
      </w:tr>
      <w:tr w:rsidR="00E941A9" w14:paraId="35D9E8BC"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B9" w14:textId="77777777" w:rsidR="00E941A9" w:rsidRDefault="00012B40">
            <w:pPr>
              <w:pStyle w:val="BodyDA"/>
            </w:pPr>
            <w:r>
              <w:rPr>
                <w:rFonts w:ascii="Calibri" w:hAnsi="Calibri"/>
                <w:lang w:val="en-US"/>
              </w:rPr>
              <w:t xml:space="preserve">    Asia</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BA" w14:textId="77777777" w:rsidR="00E941A9" w:rsidRDefault="00012B40">
            <w:pPr>
              <w:pStyle w:val="BodyDA"/>
              <w:ind w:left="357"/>
              <w:jc w:val="center"/>
            </w:pPr>
            <w:r>
              <w:rPr>
                <w:rFonts w:ascii="Calibri" w:hAnsi="Calibri"/>
                <w:lang w:val="en-US"/>
              </w:rPr>
              <w:t>105 (17.9)</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BB" w14:textId="77777777" w:rsidR="00E941A9" w:rsidRDefault="00012B40">
            <w:pPr>
              <w:pStyle w:val="BodyDA"/>
              <w:ind w:left="357"/>
              <w:jc w:val="center"/>
            </w:pPr>
            <w:r>
              <w:rPr>
                <w:rFonts w:ascii="Calibri" w:hAnsi="Calibri"/>
                <w:lang w:val="en-US"/>
              </w:rPr>
              <w:t>388 (12.3)</w:t>
            </w:r>
          </w:p>
        </w:tc>
      </w:tr>
      <w:tr w:rsidR="00E941A9" w14:paraId="35D9E8C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BD" w14:textId="77777777" w:rsidR="00E941A9" w:rsidRDefault="00012B40">
            <w:pPr>
              <w:pStyle w:val="BodyDA"/>
            </w:pPr>
            <w:r>
              <w:rPr>
                <w:rFonts w:ascii="Calibri" w:hAnsi="Calibri"/>
                <w:lang w:val="en-US"/>
              </w:rPr>
              <w:t xml:space="preserve">    Other</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BE" w14:textId="77777777" w:rsidR="00E941A9" w:rsidRDefault="00012B40">
            <w:pPr>
              <w:pStyle w:val="BodyDA"/>
              <w:ind w:left="357"/>
              <w:jc w:val="center"/>
            </w:pPr>
            <w:r>
              <w:rPr>
                <w:rFonts w:ascii="Calibri" w:hAnsi="Calibri"/>
                <w:lang w:val="en-US"/>
              </w:rPr>
              <w:t>17 (2.9)</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BF" w14:textId="77777777" w:rsidR="00E941A9" w:rsidRDefault="00012B40">
            <w:pPr>
              <w:pStyle w:val="BodyDA"/>
              <w:ind w:left="357"/>
              <w:jc w:val="center"/>
            </w:pPr>
            <w:r>
              <w:rPr>
                <w:rFonts w:ascii="Calibri" w:hAnsi="Calibri"/>
                <w:lang w:val="en-US"/>
              </w:rPr>
              <w:t>156 (5.0)</w:t>
            </w:r>
          </w:p>
        </w:tc>
      </w:tr>
      <w:tr w:rsidR="00E941A9" w14:paraId="35D9E8C4" w14:textId="77777777" w:rsidTr="00012B40">
        <w:trPr>
          <w:trHeight w:val="310"/>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C1" w14:textId="77777777" w:rsidR="00E941A9" w:rsidRDefault="00012B40">
            <w:pPr>
              <w:pStyle w:val="BodyDA"/>
            </w:pPr>
            <w:r>
              <w:rPr>
                <w:rFonts w:ascii="Calibri" w:hAnsi="Calibri"/>
                <w:lang w:val="en-US"/>
              </w:rPr>
              <w:t>NYHA class</w:t>
            </w:r>
          </w:p>
        </w:tc>
        <w:tc>
          <w:tcPr>
            <w:tcW w:w="2213" w:type="dxa"/>
            <w:gridSpan w:val="2"/>
            <w:tcBorders>
              <w:top w:val="nil"/>
              <w:left w:val="nil"/>
              <w:bottom w:val="nil"/>
              <w:right w:val="nil"/>
            </w:tcBorders>
            <w:shd w:val="clear" w:color="auto" w:fill="auto"/>
            <w:tcMar>
              <w:top w:w="80" w:type="dxa"/>
              <w:left w:w="80" w:type="dxa"/>
              <w:bottom w:w="80" w:type="dxa"/>
              <w:right w:w="80" w:type="dxa"/>
            </w:tcMar>
          </w:tcPr>
          <w:p w14:paraId="35D9E8C2"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8C3" w14:textId="77777777" w:rsidR="00E941A9" w:rsidRDefault="00E941A9"/>
        </w:tc>
      </w:tr>
      <w:tr w:rsidR="00E941A9" w14:paraId="35D9E8C8"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C5" w14:textId="77777777" w:rsidR="00E941A9" w:rsidRDefault="00012B40">
            <w:pPr>
              <w:pStyle w:val="BodyDA"/>
            </w:pPr>
            <w:r>
              <w:rPr>
                <w:rFonts w:ascii="Calibri" w:hAnsi="Calibri"/>
                <w:lang w:val="en-US"/>
              </w:rPr>
              <w:t xml:space="preserve">    II</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C6" w14:textId="77777777" w:rsidR="00E941A9" w:rsidRDefault="00012B40">
            <w:pPr>
              <w:pStyle w:val="BodyDA"/>
              <w:ind w:left="357"/>
              <w:jc w:val="center"/>
            </w:pPr>
            <w:r>
              <w:rPr>
                <w:rFonts w:ascii="Calibri" w:hAnsi="Calibri"/>
                <w:lang w:val="en-US"/>
              </w:rPr>
              <w:t>372 (63.3)</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C7" w14:textId="77777777" w:rsidR="00E941A9" w:rsidRDefault="00012B40">
            <w:pPr>
              <w:pStyle w:val="BodyDA"/>
              <w:ind w:left="357"/>
              <w:jc w:val="center"/>
            </w:pPr>
            <w:r>
              <w:rPr>
                <w:rFonts w:ascii="Calibri" w:hAnsi="Calibri"/>
                <w:lang w:val="en-US"/>
              </w:rPr>
              <w:t>2428 (77.3)</w:t>
            </w:r>
          </w:p>
        </w:tc>
      </w:tr>
      <w:tr w:rsidR="00E941A9" w14:paraId="35D9E8CC"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C9" w14:textId="77777777" w:rsidR="00E941A9" w:rsidRDefault="00012B40">
            <w:pPr>
              <w:pStyle w:val="BodyDA"/>
            </w:pPr>
            <w:r>
              <w:rPr>
                <w:rFonts w:ascii="Calibri" w:hAnsi="Calibri"/>
                <w:lang w:val="en-US"/>
              </w:rPr>
              <w:t xml:space="preserve">    III</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CA" w14:textId="77777777" w:rsidR="00E941A9" w:rsidRDefault="00012B40">
            <w:pPr>
              <w:pStyle w:val="BodyDA"/>
              <w:ind w:left="357"/>
              <w:jc w:val="center"/>
            </w:pPr>
            <w:r>
              <w:rPr>
                <w:rFonts w:ascii="Calibri" w:hAnsi="Calibri"/>
                <w:lang w:val="en-US"/>
              </w:rPr>
              <w:t>210 (35.7)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CB" w14:textId="77777777" w:rsidR="00E941A9" w:rsidRDefault="00012B40">
            <w:pPr>
              <w:pStyle w:val="BodyDA"/>
              <w:ind w:left="357"/>
              <w:jc w:val="center"/>
            </w:pPr>
            <w:r>
              <w:rPr>
                <w:rFonts w:ascii="Calibri" w:hAnsi="Calibri"/>
                <w:lang w:val="en-US"/>
              </w:rPr>
              <w:t xml:space="preserve">700 </w:t>
            </w:r>
            <w:r>
              <w:rPr>
                <w:rFonts w:ascii="Calibri" w:hAnsi="Calibri"/>
                <w:lang w:val="en-US"/>
              </w:rPr>
              <w:t>(22.3)</w:t>
            </w:r>
          </w:p>
        </w:tc>
      </w:tr>
      <w:tr w:rsidR="00E941A9" w14:paraId="35D9E8D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CD" w14:textId="77777777" w:rsidR="00E941A9" w:rsidRDefault="00012B40">
            <w:pPr>
              <w:pStyle w:val="BodyDA"/>
            </w:pPr>
            <w:r>
              <w:rPr>
                <w:rFonts w:ascii="Calibri" w:hAnsi="Calibri"/>
                <w:lang w:val="en-US"/>
              </w:rPr>
              <w:t xml:space="preserve">    IV</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CE" w14:textId="77777777" w:rsidR="00E941A9" w:rsidRDefault="00012B40">
            <w:pPr>
              <w:pStyle w:val="BodyDA"/>
              <w:ind w:left="357"/>
              <w:jc w:val="center"/>
            </w:pPr>
            <w:r>
              <w:rPr>
                <w:rFonts w:ascii="Calibri" w:hAnsi="Calibri"/>
                <w:lang w:val="en-US"/>
              </w:rPr>
              <w:t>6 (1.0)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CF" w14:textId="77777777" w:rsidR="00E941A9" w:rsidRDefault="00012B40">
            <w:pPr>
              <w:pStyle w:val="BodyDA"/>
              <w:ind w:left="357"/>
              <w:jc w:val="center"/>
            </w:pPr>
            <w:r>
              <w:rPr>
                <w:rFonts w:ascii="Calibri" w:hAnsi="Calibri"/>
                <w:lang w:val="en-US"/>
              </w:rPr>
              <w:t>14 (0.4)</w:t>
            </w:r>
          </w:p>
        </w:tc>
      </w:tr>
      <w:tr w:rsidR="00E941A9" w14:paraId="35D9E8D4"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D1" w14:textId="77777777" w:rsidR="00E941A9" w:rsidRDefault="00012B40">
            <w:pPr>
              <w:pStyle w:val="BodyDA"/>
            </w:pPr>
            <w:r>
              <w:rPr>
                <w:rFonts w:ascii="Calibri" w:hAnsi="Calibri"/>
                <w:lang w:val="en-US"/>
              </w:rPr>
              <w:t>Body mass index, kg/m</w:t>
            </w:r>
            <w:r>
              <w:rPr>
                <w:rFonts w:ascii="Calibri" w:hAnsi="Calibri"/>
                <w:vertAlign w:val="superscript"/>
                <w:lang w:val="en-US"/>
              </w:rPr>
              <w:t>2</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D2" w14:textId="77777777" w:rsidR="00E941A9" w:rsidRDefault="00012B40">
            <w:pPr>
              <w:pStyle w:val="BodyDA"/>
              <w:ind w:left="357"/>
              <w:jc w:val="center"/>
            </w:pPr>
            <w:r>
              <w:rPr>
                <w:rFonts w:ascii="Calibri" w:hAnsi="Calibri"/>
                <w:lang w:val="en-US"/>
              </w:rPr>
              <w:t>28.2</w:t>
            </w:r>
            <w:r>
              <w:rPr>
                <w:rFonts w:ascii="Calibri" w:hAnsi="Calibri"/>
                <w:lang w:val="en-US"/>
              </w:rPr>
              <w:t>±</w:t>
            </w:r>
            <w:r>
              <w:rPr>
                <w:rFonts w:ascii="Calibri" w:hAnsi="Calibri"/>
                <w:lang w:val="en-US"/>
              </w:rPr>
              <w:t>5.7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D3" w14:textId="77777777" w:rsidR="00E941A9" w:rsidRDefault="00012B40">
            <w:pPr>
              <w:pStyle w:val="BodyDA"/>
              <w:ind w:left="357"/>
              <w:jc w:val="center"/>
            </w:pPr>
            <w:r>
              <w:rPr>
                <w:rFonts w:ascii="Calibri" w:hAnsi="Calibri"/>
                <w:lang w:val="en-US"/>
              </w:rPr>
              <w:t>27.8</w:t>
            </w:r>
            <w:r>
              <w:rPr>
                <w:rFonts w:ascii="Calibri" w:hAnsi="Calibri"/>
                <w:lang w:val="en-US"/>
              </w:rPr>
              <w:t>±</w:t>
            </w:r>
            <w:r>
              <w:rPr>
                <w:rFonts w:ascii="Calibri" w:hAnsi="Calibri"/>
                <w:lang w:val="en-US"/>
              </w:rPr>
              <w:t>5.3</w:t>
            </w:r>
          </w:p>
        </w:tc>
      </w:tr>
      <w:tr w:rsidR="00E941A9" w14:paraId="35D9E8D8"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D5" w14:textId="77777777" w:rsidR="00E941A9" w:rsidRDefault="00012B40">
            <w:pPr>
              <w:pStyle w:val="BodyDA"/>
            </w:pPr>
            <w:r>
              <w:rPr>
                <w:rFonts w:ascii="Calibri" w:hAnsi="Calibri"/>
                <w:lang w:val="en-US"/>
              </w:rPr>
              <w:t>Heart rate, beats/min</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D6" w14:textId="77777777" w:rsidR="00E941A9" w:rsidRDefault="00012B40">
            <w:pPr>
              <w:pStyle w:val="BodyDA"/>
              <w:ind w:left="357"/>
              <w:jc w:val="center"/>
            </w:pPr>
            <w:r>
              <w:rPr>
                <w:rFonts w:ascii="Calibri" w:hAnsi="Calibri"/>
                <w:lang w:val="en-US"/>
              </w:rPr>
              <w:t>73.6</w:t>
            </w:r>
            <w:r>
              <w:rPr>
                <w:rFonts w:ascii="Calibri" w:hAnsi="Calibri"/>
                <w:lang w:val="en-US"/>
              </w:rPr>
              <w:t>±</w:t>
            </w:r>
            <w:r>
              <w:rPr>
                <w:rFonts w:ascii="Calibri" w:hAnsi="Calibri"/>
                <w:lang w:val="en-US"/>
              </w:rPr>
              <w:t>11.8</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D7" w14:textId="77777777" w:rsidR="00E941A9" w:rsidRDefault="00012B40">
            <w:pPr>
              <w:pStyle w:val="BodyDA"/>
              <w:ind w:left="357"/>
              <w:jc w:val="center"/>
            </w:pPr>
            <w:r>
              <w:rPr>
                <w:rFonts w:ascii="Calibri" w:hAnsi="Calibri"/>
                <w:lang w:val="en-US"/>
              </w:rPr>
              <w:t>70.8</w:t>
            </w:r>
            <w:r>
              <w:rPr>
                <w:rFonts w:ascii="Calibri" w:hAnsi="Calibri"/>
                <w:lang w:val="en-US"/>
              </w:rPr>
              <w:t>±</w:t>
            </w:r>
            <w:r>
              <w:rPr>
                <w:rFonts w:ascii="Calibri" w:hAnsi="Calibri"/>
                <w:lang w:val="en-US"/>
              </w:rPr>
              <w:t>11.7</w:t>
            </w:r>
          </w:p>
        </w:tc>
      </w:tr>
      <w:tr w:rsidR="00E941A9" w14:paraId="35D9E8DC"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D9" w14:textId="77777777" w:rsidR="00E941A9" w:rsidRDefault="00012B40">
            <w:pPr>
              <w:pStyle w:val="BodyDA"/>
            </w:pPr>
            <w:r>
              <w:rPr>
                <w:rFonts w:ascii="Calibri" w:hAnsi="Calibri"/>
                <w:lang w:val="en-US"/>
              </w:rPr>
              <w:t>Systolic blood pressure, mmHg</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DA" w14:textId="77777777" w:rsidR="00E941A9" w:rsidRDefault="00012B40">
            <w:pPr>
              <w:pStyle w:val="BodyDA"/>
              <w:ind w:left="357"/>
              <w:jc w:val="center"/>
            </w:pPr>
            <w:r>
              <w:rPr>
                <w:rFonts w:ascii="Calibri" w:hAnsi="Calibri"/>
                <w:lang w:val="en-US"/>
              </w:rPr>
              <w:t>118.8</w:t>
            </w:r>
            <w:r>
              <w:rPr>
                <w:rFonts w:ascii="Calibri" w:hAnsi="Calibri"/>
                <w:lang w:val="en-US"/>
              </w:rPr>
              <w:t>±</w:t>
            </w:r>
            <w:r>
              <w:rPr>
                <w:rFonts w:ascii="Calibri" w:hAnsi="Calibri"/>
                <w:lang w:val="en-US"/>
              </w:rPr>
              <w:t>15.4</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DB" w14:textId="77777777" w:rsidR="00E941A9" w:rsidRDefault="00012B40">
            <w:pPr>
              <w:pStyle w:val="BodyDA"/>
              <w:ind w:left="357"/>
              <w:jc w:val="center"/>
            </w:pPr>
            <w:r>
              <w:rPr>
                <w:rFonts w:ascii="Calibri" w:hAnsi="Calibri"/>
                <w:lang w:val="en-US"/>
              </w:rPr>
              <w:t>122.6</w:t>
            </w:r>
            <w:r>
              <w:rPr>
                <w:rFonts w:ascii="Calibri" w:hAnsi="Calibri"/>
                <w:lang w:val="en-US"/>
              </w:rPr>
              <w:t>±</w:t>
            </w:r>
            <w:r>
              <w:rPr>
                <w:rFonts w:ascii="Calibri" w:hAnsi="Calibri"/>
                <w:lang w:val="en-US"/>
              </w:rPr>
              <w:t>15.6</w:t>
            </w:r>
          </w:p>
        </w:tc>
      </w:tr>
      <w:tr w:rsidR="00E941A9" w14:paraId="35D9E8E0" w14:textId="77777777" w:rsidTr="00012B40">
        <w:trPr>
          <w:trHeight w:val="293"/>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DD" w14:textId="77777777" w:rsidR="00E941A9" w:rsidRDefault="00012B40">
            <w:pPr>
              <w:pStyle w:val="BodyDA"/>
            </w:pPr>
            <w:r>
              <w:rPr>
                <w:rFonts w:ascii="Calibri" w:hAnsi="Calibri"/>
                <w:lang w:val="en-US"/>
              </w:rPr>
              <w:t>Diastolic blood pressure, mmHg</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DE" w14:textId="77777777" w:rsidR="00E941A9" w:rsidRDefault="00012B40">
            <w:pPr>
              <w:pStyle w:val="BodyDA"/>
              <w:ind w:left="357"/>
              <w:jc w:val="center"/>
            </w:pPr>
            <w:r>
              <w:rPr>
                <w:rFonts w:ascii="Calibri" w:hAnsi="Calibri"/>
                <w:lang w:val="en-US"/>
              </w:rPr>
              <w:t>73.2</w:t>
            </w:r>
            <w:r>
              <w:rPr>
                <w:rFonts w:ascii="Calibri" w:hAnsi="Calibri"/>
                <w:lang w:val="en-US"/>
              </w:rPr>
              <w:t>±</w:t>
            </w:r>
            <w:r>
              <w:rPr>
                <w:rFonts w:ascii="Calibri" w:hAnsi="Calibri"/>
                <w:lang w:val="en-US"/>
              </w:rPr>
              <w:t>10.7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DF" w14:textId="77777777" w:rsidR="00E941A9" w:rsidRDefault="00012B40">
            <w:pPr>
              <w:pStyle w:val="BodyDA"/>
              <w:ind w:left="357"/>
              <w:jc w:val="center"/>
            </w:pPr>
            <w:r>
              <w:rPr>
                <w:rFonts w:ascii="Calibri" w:hAnsi="Calibri"/>
                <w:lang w:val="en-US"/>
              </w:rPr>
              <w:t>74.0</w:t>
            </w:r>
            <w:r>
              <w:rPr>
                <w:rFonts w:ascii="Calibri" w:hAnsi="Calibri"/>
                <w:lang w:val="en-US"/>
              </w:rPr>
              <w:t>±</w:t>
            </w:r>
            <w:r>
              <w:rPr>
                <w:rFonts w:ascii="Calibri" w:hAnsi="Calibri"/>
                <w:lang w:val="en-US"/>
              </w:rPr>
              <w:t>10.8</w:t>
            </w:r>
          </w:p>
        </w:tc>
      </w:tr>
      <w:tr w:rsidR="00E941A9" w14:paraId="35D9E8E4" w14:textId="77777777" w:rsidTr="00012B40">
        <w:trPr>
          <w:trHeight w:val="867"/>
          <w:jc w:val="center"/>
        </w:trPr>
        <w:tc>
          <w:tcPr>
            <w:tcW w:w="4773" w:type="dxa"/>
            <w:tcBorders>
              <w:top w:val="nil"/>
              <w:left w:val="nil"/>
              <w:bottom w:val="nil"/>
              <w:right w:val="nil"/>
            </w:tcBorders>
            <w:shd w:val="clear" w:color="auto" w:fill="auto"/>
            <w:tcMar>
              <w:top w:w="80" w:type="dxa"/>
              <w:left w:w="80" w:type="dxa"/>
              <w:bottom w:w="80" w:type="dxa"/>
              <w:right w:w="80" w:type="dxa"/>
            </w:tcMar>
          </w:tcPr>
          <w:p w14:paraId="35D9E8E1" w14:textId="77777777" w:rsidR="00E941A9" w:rsidRDefault="00012B40">
            <w:pPr>
              <w:pStyle w:val="BodyDA"/>
            </w:pPr>
            <w:r>
              <w:rPr>
                <w:rFonts w:ascii="Calibri" w:hAnsi="Calibri"/>
                <w:lang w:val="sv-SE"/>
              </w:rPr>
              <w:lastRenderedPageBreak/>
              <w:t xml:space="preserve">NT-proBNP, pg/mL, median, </w:t>
            </w:r>
            <w:r>
              <w:rPr>
                <w:rFonts w:ascii="Calibri" w:hAnsi="Calibri"/>
                <w:lang w:val="sv-SE"/>
              </w:rPr>
              <w:t>(IQR)</w:t>
            </w:r>
          </w:p>
        </w:tc>
        <w:tc>
          <w:tcPr>
            <w:tcW w:w="2213" w:type="dxa"/>
            <w:gridSpan w:val="2"/>
            <w:tcBorders>
              <w:top w:val="nil"/>
              <w:left w:val="nil"/>
              <w:bottom w:val="nil"/>
              <w:right w:val="nil"/>
            </w:tcBorders>
            <w:shd w:val="clear" w:color="auto" w:fill="auto"/>
            <w:tcMar>
              <w:top w:w="80" w:type="dxa"/>
              <w:left w:w="437" w:type="dxa"/>
              <w:bottom w:w="80" w:type="dxa"/>
              <w:right w:w="80" w:type="dxa"/>
            </w:tcMar>
          </w:tcPr>
          <w:p w14:paraId="35D9E8E2" w14:textId="77777777" w:rsidR="00E941A9" w:rsidRDefault="00012B40">
            <w:pPr>
              <w:pStyle w:val="BodyDA"/>
              <w:ind w:left="357"/>
              <w:jc w:val="center"/>
            </w:pPr>
            <w:r>
              <w:rPr>
                <w:rFonts w:ascii="Calibri" w:hAnsi="Calibri"/>
                <w:lang w:val="en-US"/>
              </w:rPr>
              <w:t>3090.5</w:t>
            </w:r>
            <w:r>
              <w:rPr>
                <w:rFonts w:ascii="Calibri" w:eastAsia="Calibri" w:hAnsi="Calibri" w:cs="Calibri"/>
                <w:lang w:val="en-US"/>
              </w:rPr>
              <w:br/>
            </w:r>
            <w:r>
              <w:rPr>
                <w:rFonts w:ascii="Calibri" w:hAnsi="Calibri"/>
                <w:lang w:val="en-US"/>
              </w:rPr>
              <w:t xml:space="preserve">(1709.0 </w:t>
            </w:r>
            <w:r>
              <w:rPr>
                <w:rFonts w:ascii="Calibri" w:hAnsi="Calibri"/>
                <w:lang w:val="en-US"/>
              </w:rPr>
              <w:t xml:space="preserve">– </w:t>
            </w:r>
            <w:r>
              <w:rPr>
                <w:rFonts w:ascii="Calibri" w:hAnsi="Calibri"/>
                <w:lang w:val="en-US"/>
              </w:rPr>
              <w:t>5853.0)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E3" w14:textId="77777777" w:rsidR="00E941A9" w:rsidRDefault="00012B40">
            <w:pPr>
              <w:pStyle w:val="BodyDA"/>
              <w:ind w:left="357"/>
              <w:jc w:val="center"/>
            </w:pPr>
            <w:r>
              <w:rPr>
                <w:rFonts w:ascii="Calibri" w:hAnsi="Calibri"/>
                <w:lang w:val="en-US"/>
              </w:rPr>
              <w:t>1762.0</w:t>
            </w:r>
            <w:r>
              <w:rPr>
                <w:rFonts w:ascii="Calibri" w:eastAsia="Calibri" w:hAnsi="Calibri" w:cs="Calibri"/>
                <w:lang w:val="en-US"/>
              </w:rPr>
              <w:br/>
            </w:r>
            <w:r>
              <w:rPr>
                <w:rFonts w:ascii="Calibri" w:hAnsi="Calibri"/>
                <w:lang w:val="en-US"/>
              </w:rPr>
              <w:t xml:space="preserve">(1039.0 </w:t>
            </w:r>
            <w:r>
              <w:rPr>
                <w:rFonts w:ascii="Calibri" w:hAnsi="Calibri"/>
                <w:lang w:val="en-US"/>
              </w:rPr>
              <w:t xml:space="preserve">– </w:t>
            </w:r>
            <w:r>
              <w:rPr>
                <w:rFonts w:ascii="Calibri" w:hAnsi="Calibri"/>
                <w:lang w:val="en-US"/>
              </w:rPr>
              <w:t>3095.0)</w:t>
            </w:r>
          </w:p>
        </w:tc>
      </w:tr>
      <w:tr w:rsidR="00E941A9" w14:paraId="35D9E8E8" w14:textId="77777777" w:rsidTr="00012B40">
        <w:trPr>
          <w:trHeight w:val="310"/>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E5" w14:textId="77777777" w:rsidR="00E941A9" w:rsidRDefault="00012B40">
            <w:pPr>
              <w:pStyle w:val="BodyDA"/>
            </w:pPr>
            <w:r>
              <w:rPr>
                <w:rFonts w:ascii="Calibri" w:hAnsi="Calibri"/>
                <w:lang w:val="en-US"/>
              </w:rPr>
              <w:t>Cause of heart failure</w:t>
            </w:r>
          </w:p>
        </w:tc>
        <w:tc>
          <w:tcPr>
            <w:tcW w:w="2029" w:type="dxa"/>
            <w:tcBorders>
              <w:top w:val="nil"/>
              <w:left w:val="nil"/>
              <w:bottom w:val="nil"/>
              <w:right w:val="nil"/>
            </w:tcBorders>
            <w:shd w:val="clear" w:color="auto" w:fill="auto"/>
            <w:tcMar>
              <w:top w:w="80" w:type="dxa"/>
              <w:left w:w="80" w:type="dxa"/>
              <w:bottom w:w="80" w:type="dxa"/>
              <w:right w:w="80" w:type="dxa"/>
            </w:tcMar>
          </w:tcPr>
          <w:p w14:paraId="35D9E8E6"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8E7" w14:textId="77777777" w:rsidR="00E941A9" w:rsidRDefault="00E941A9"/>
        </w:tc>
      </w:tr>
      <w:tr w:rsidR="00E941A9" w14:paraId="35D9E8EC"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E9" w14:textId="77777777" w:rsidR="00E941A9" w:rsidRDefault="00012B40">
            <w:pPr>
              <w:pStyle w:val="BodyDA"/>
              <w:tabs>
                <w:tab w:val="left" w:pos="1140"/>
              </w:tabs>
            </w:pPr>
            <w:r>
              <w:rPr>
                <w:rFonts w:ascii="Calibri" w:hAnsi="Calibri"/>
                <w:lang w:val="en-US"/>
              </w:rPr>
              <w:t xml:space="preserve">    Ischemic</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8EA" w14:textId="77777777" w:rsidR="00E941A9" w:rsidRDefault="00012B40">
            <w:pPr>
              <w:pStyle w:val="BodyDA"/>
              <w:ind w:left="357"/>
              <w:jc w:val="center"/>
            </w:pPr>
            <w:r>
              <w:rPr>
                <w:rFonts w:ascii="Calibri" w:hAnsi="Calibri"/>
                <w:lang w:val="en-US"/>
              </w:rPr>
              <w:t>302 ( 51.4)</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EB" w14:textId="77777777" w:rsidR="00E941A9" w:rsidRDefault="00012B40">
            <w:pPr>
              <w:pStyle w:val="BodyDA"/>
              <w:ind w:left="357"/>
              <w:jc w:val="center"/>
            </w:pPr>
            <w:r>
              <w:rPr>
                <w:rFonts w:ascii="Calibri" w:hAnsi="Calibri"/>
                <w:lang w:val="en-US"/>
              </w:rPr>
              <w:t>1627 (51.8)</w:t>
            </w:r>
          </w:p>
        </w:tc>
      </w:tr>
      <w:tr w:rsidR="00E941A9" w14:paraId="35D9E8F0" w14:textId="77777777" w:rsidTr="00012B40">
        <w:trPr>
          <w:trHeight w:val="310"/>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ED" w14:textId="77777777" w:rsidR="00E941A9" w:rsidRDefault="00012B40">
            <w:pPr>
              <w:pStyle w:val="BodyDA"/>
            </w:pPr>
            <w:r>
              <w:rPr>
                <w:rFonts w:ascii="Calibri" w:hAnsi="Calibri"/>
                <w:lang w:val="en-US"/>
              </w:rPr>
              <w:t>Medical history</w:t>
            </w:r>
          </w:p>
        </w:tc>
        <w:tc>
          <w:tcPr>
            <w:tcW w:w="2029" w:type="dxa"/>
            <w:tcBorders>
              <w:top w:val="nil"/>
              <w:left w:val="nil"/>
              <w:bottom w:val="nil"/>
              <w:right w:val="nil"/>
            </w:tcBorders>
            <w:shd w:val="clear" w:color="auto" w:fill="auto"/>
            <w:tcMar>
              <w:top w:w="80" w:type="dxa"/>
              <w:left w:w="80" w:type="dxa"/>
              <w:bottom w:w="80" w:type="dxa"/>
              <w:right w:w="80" w:type="dxa"/>
            </w:tcMar>
          </w:tcPr>
          <w:p w14:paraId="35D9E8EE"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8EF" w14:textId="77777777" w:rsidR="00E941A9" w:rsidRDefault="00E941A9"/>
        </w:tc>
      </w:tr>
      <w:tr w:rsidR="00E941A9" w14:paraId="35D9E8F4"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F1" w14:textId="77777777" w:rsidR="00E941A9" w:rsidRDefault="00012B40">
            <w:pPr>
              <w:pStyle w:val="BodyDA"/>
            </w:pPr>
            <w:r>
              <w:rPr>
                <w:rFonts w:ascii="Calibri" w:hAnsi="Calibri"/>
                <w:lang w:val="en-US"/>
              </w:rPr>
              <w:t xml:space="preserve">    DM at baseline</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8F2" w14:textId="77777777" w:rsidR="00E941A9" w:rsidRDefault="00012B40">
            <w:pPr>
              <w:pStyle w:val="BodyDA"/>
              <w:ind w:left="357"/>
              <w:jc w:val="center"/>
            </w:pPr>
            <w:r>
              <w:rPr>
                <w:rFonts w:ascii="Calibri" w:hAnsi="Calibri"/>
                <w:lang w:val="en-US"/>
              </w:rPr>
              <w:t>341 (58.0)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F3" w14:textId="77777777" w:rsidR="00E941A9" w:rsidRDefault="00012B40">
            <w:pPr>
              <w:pStyle w:val="BodyDA"/>
              <w:ind w:left="357"/>
              <w:jc w:val="center"/>
            </w:pPr>
            <w:r>
              <w:rPr>
                <w:rFonts w:ascii="Calibri" w:hAnsi="Calibri"/>
                <w:lang w:val="en-US"/>
              </w:rPr>
              <w:t>1515 (48.2)</w:t>
            </w:r>
          </w:p>
        </w:tc>
      </w:tr>
      <w:tr w:rsidR="00E941A9" w14:paraId="35D9E8F8"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F5" w14:textId="77777777" w:rsidR="00E941A9" w:rsidRDefault="00012B40">
            <w:pPr>
              <w:pStyle w:val="BodyDA"/>
            </w:pPr>
            <w:r>
              <w:rPr>
                <w:rFonts w:ascii="Calibri" w:hAnsi="Calibri"/>
                <w:lang w:val="en-US"/>
              </w:rPr>
              <w:t xml:space="preserve">    Atrial fibrillation</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8F6" w14:textId="77777777" w:rsidR="00E941A9" w:rsidRDefault="00012B40">
            <w:pPr>
              <w:pStyle w:val="BodyDA"/>
              <w:ind w:left="357"/>
              <w:jc w:val="center"/>
            </w:pPr>
            <w:r>
              <w:rPr>
                <w:rFonts w:ascii="Calibri" w:hAnsi="Calibri"/>
                <w:lang w:val="en-US"/>
              </w:rPr>
              <w:t>249 (42.3)</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F7" w14:textId="77777777" w:rsidR="00E941A9" w:rsidRDefault="00012B40">
            <w:pPr>
              <w:pStyle w:val="BodyDA"/>
              <w:ind w:left="357"/>
              <w:jc w:val="center"/>
            </w:pPr>
            <w:r>
              <w:rPr>
                <w:rFonts w:ascii="Calibri" w:hAnsi="Calibri"/>
                <w:lang w:val="en-US"/>
              </w:rPr>
              <w:t>1120 (35.6)</w:t>
            </w:r>
          </w:p>
        </w:tc>
      </w:tr>
      <w:tr w:rsidR="00E941A9" w14:paraId="35D9E8FC"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F9" w14:textId="77777777" w:rsidR="00E941A9" w:rsidRDefault="00012B40">
            <w:pPr>
              <w:pStyle w:val="BodyDA"/>
              <w:tabs>
                <w:tab w:val="left" w:pos="1110"/>
              </w:tabs>
            </w:pPr>
            <w:r>
              <w:rPr>
                <w:rFonts w:ascii="Calibri" w:hAnsi="Calibri"/>
                <w:lang w:val="en-US"/>
              </w:rPr>
              <w:t xml:space="preserve">    Hypertension</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8FA" w14:textId="77777777" w:rsidR="00E941A9" w:rsidRDefault="00012B40">
            <w:pPr>
              <w:pStyle w:val="BodyDA"/>
              <w:ind w:left="357"/>
              <w:jc w:val="center"/>
            </w:pPr>
            <w:r>
              <w:rPr>
                <w:rFonts w:ascii="Calibri" w:hAnsi="Calibri"/>
                <w:lang w:val="en-US"/>
              </w:rPr>
              <w:t>455 (77.4)</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FB" w14:textId="77777777" w:rsidR="00E941A9" w:rsidRDefault="00012B40">
            <w:pPr>
              <w:pStyle w:val="BodyDA"/>
              <w:ind w:left="357"/>
              <w:jc w:val="center"/>
            </w:pPr>
            <w:r>
              <w:rPr>
                <w:rFonts w:ascii="Calibri" w:hAnsi="Calibri"/>
                <w:lang w:val="en-US"/>
              </w:rPr>
              <w:t>2243 (71.4)</w:t>
            </w:r>
          </w:p>
        </w:tc>
      </w:tr>
      <w:tr w:rsidR="00E941A9" w14:paraId="35D9E900"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8FD" w14:textId="77777777" w:rsidR="00E941A9" w:rsidRDefault="00012B40">
            <w:pPr>
              <w:pStyle w:val="BodyDA"/>
            </w:pPr>
            <w:r>
              <w:rPr>
                <w:rFonts w:ascii="Calibri" w:hAnsi="Calibri"/>
                <w:lang w:val="en-US"/>
              </w:rPr>
              <w:t xml:space="preserve">    History of HHF in the last 12 months </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8FE" w14:textId="77777777" w:rsidR="00E941A9" w:rsidRDefault="00012B40">
            <w:pPr>
              <w:pStyle w:val="BodyDA"/>
              <w:ind w:left="357"/>
              <w:jc w:val="center"/>
            </w:pPr>
            <w:r>
              <w:rPr>
                <w:rFonts w:ascii="Calibri" w:hAnsi="Calibri"/>
                <w:lang w:val="en-US"/>
              </w:rPr>
              <w:t>251 (42.7)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8FF" w14:textId="77777777" w:rsidR="00E941A9" w:rsidRDefault="00012B40">
            <w:pPr>
              <w:pStyle w:val="BodyDA"/>
              <w:ind w:left="357"/>
              <w:jc w:val="center"/>
            </w:pPr>
            <w:r>
              <w:rPr>
                <w:rFonts w:ascii="Calibri" w:hAnsi="Calibri"/>
                <w:lang w:val="en-US"/>
              </w:rPr>
              <w:t>900 (28.6)</w:t>
            </w:r>
          </w:p>
        </w:tc>
      </w:tr>
      <w:tr w:rsidR="00E941A9" w14:paraId="35D9E904" w14:textId="77777777" w:rsidTr="00012B40">
        <w:trPr>
          <w:trHeight w:val="310"/>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01" w14:textId="77777777" w:rsidR="00E941A9" w:rsidRDefault="00012B40">
            <w:pPr>
              <w:pStyle w:val="BodyDA"/>
            </w:pPr>
            <w:r>
              <w:rPr>
                <w:rFonts w:ascii="Calibri" w:hAnsi="Calibri"/>
                <w:lang w:val="en-US"/>
              </w:rPr>
              <w:t>eGFR</w:t>
            </w:r>
            <w:r>
              <w:rPr>
                <w:rFonts w:ascii="Calibri" w:hAnsi="Calibri"/>
                <w:lang w:val="en-US"/>
              </w:rPr>
              <w:t> </w:t>
            </w:r>
          </w:p>
        </w:tc>
        <w:tc>
          <w:tcPr>
            <w:tcW w:w="2029" w:type="dxa"/>
            <w:tcBorders>
              <w:top w:val="nil"/>
              <w:left w:val="nil"/>
              <w:bottom w:val="nil"/>
              <w:right w:val="nil"/>
            </w:tcBorders>
            <w:shd w:val="clear" w:color="auto" w:fill="auto"/>
            <w:tcMar>
              <w:top w:w="80" w:type="dxa"/>
              <w:left w:w="80" w:type="dxa"/>
              <w:bottom w:w="80" w:type="dxa"/>
              <w:right w:w="80" w:type="dxa"/>
            </w:tcMar>
          </w:tcPr>
          <w:p w14:paraId="35D9E902"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903" w14:textId="77777777" w:rsidR="00E941A9" w:rsidRDefault="00E941A9"/>
        </w:tc>
      </w:tr>
      <w:tr w:rsidR="00E941A9" w14:paraId="35D9E908"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05" w14:textId="77777777" w:rsidR="00E941A9" w:rsidRDefault="00012B40">
            <w:pPr>
              <w:pStyle w:val="BodyDA"/>
            </w:pPr>
            <w:r>
              <w:rPr>
                <w:rFonts w:ascii="Calibri" w:hAnsi="Calibri"/>
                <w:lang w:val="en-US"/>
              </w:rPr>
              <w:t xml:space="preserve">    mL/min/1.73 m</w:t>
            </w:r>
            <w:r>
              <w:rPr>
                <w:rFonts w:ascii="Calibri" w:hAnsi="Calibri"/>
                <w:vertAlign w:val="superscript"/>
                <w:lang w:val="en-US"/>
              </w:rPr>
              <w:t>2</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06" w14:textId="77777777" w:rsidR="00E941A9" w:rsidRDefault="00012B40">
            <w:pPr>
              <w:pStyle w:val="BodyDA"/>
              <w:ind w:left="357"/>
              <w:jc w:val="center"/>
            </w:pPr>
            <w:r>
              <w:rPr>
                <w:rFonts w:ascii="Calibri" w:hAnsi="Calibri"/>
                <w:lang w:val="en-US"/>
              </w:rPr>
              <w:t>58.3</w:t>
            </w:r>
            <w:r>
              <w:rPr>
                <w:rFonts w:ascii="Calibri" w:hAnsi="Calibri"/>
                <w:lang w:val="en-US"/>
              </w:rPr>
              <w:t>±</w:t>
            </w:r>
            <w:r>
              <w:rPr>
                <w:rFonts w:ascii="Calibri" w:hAnsi="Calibri"/>
                <w:lang w:val="en-US"/>
              </w:rPr>
              <w:t>22.2</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07" w14:textId="77777777" w:rsidR="00E941A9" w:rsidRDefault="00012B40">
            <w:pPr>
              <w:pStyle w:val="BodyDA"/>
              <w:ind w:left="357"/>
              <w:jc w:val="center"/>
            </w:pPr>
            <w:r>
              <w:rPr>
                <w:rFonts w:ascii="Calibri" w:hAnsi="Calibri"/>
                <w:lang w:val="en-US"/>
              </w:rPr>
              <w:t>62.7</w:t>
            </w:r>
            <w:r>
              <w:rPr>
                <w:rFonts w:ascii="Calibri" w:hAnsi="Calibri"/>
                <w:lang w:val="en-US"/>
              </w:rPr>
              <w:t>±</w:t>
            </w:r>
            <w:r>
              <w:rPr>
                <w:rFonts w:ascii="Calibri" w:hAnsi="Calibri"/>
                <w:lang w:val="en-US"/>
              </w:rPr>
              <w:t>21.4</w:t>
            </w:r>
          </w:p>
        </w:tc>
      </w:tr>
      <w:tr w:rsidR="00E941A9" w14:paraId="35D9E90C"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09" w14:textId="77777777" w:rsidR="00E941A9" w:rsidRDefault="00012B40">
            <w:pPr>
              <w:pStyle w:val="BodyDA"/>
            </w:pPr>
            <w:r>
              <w:rPr>
                <w:rFonts w:ascii="Calibri" w:hAnsi="Calibri"/>
                <w:lang w:val="en-US"/>
              </w:rPr>
              <w:t xml:space="preserve">    &lt;60 mL/min/1.73 m</w:t>
            </w:r>
            <w:r>
              <w:rPr>
                <w:rFonts w:ascii="Calibri" w:hAnsi="Calibri"/>
                <w:vertAlign w:val="superscript"/>
                <w:lang w:val="en-US"/>
              </w:rPr>
              <w:t>2</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0A" w14:textId="77777777" w:rsidR="00E941A9" w:rsidRDefault="00012B40">
            <w:pPr>
              <w:pStyle w:val="BodyDA"/>
              <w:ind w:left="357"/>
              <w:jc w:val="center"/>
            </w:pPr>
            <w:r>
              <w:rPr>
                <w:rFonts w:ascii="Calibri" w:hAnsi="Calibri"/>
                <w:lang w:val="en-US"/>
              </w:rPr>
              <w:t>324 (55.1)</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0B" w14:textId="77777777" w:rsidR="00E941A9" w:rsidRDefault="00012B40">
            <w:pPr>
              <w:pStyle w:val="BodyDA"/>
              <w:ind w:left="357"/>
              <w:jc w:val="center"/>
            </w:pPr>
            <w:r>
              <w:rPr>
                <w:rFonts w:ascii="Calibri" w:hAnsi="Calibri"/>
                <w:lang w:val="en-US"/>
              </w:rPr>
              <w:t>1475 (46.9)</w:t>
            </w:r>
          </w:p>
        </w:tc>
      </w:tr>
      <w:tr w:rsidR="00E941A9" w14:paraId="35D9E910" w14:textId="77777777" w:rsidTr="00012B40">
        <w:trPr>
          <w:trHeight w:val="310"/>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0D" w14:textId="77777777" w:rsidR="00E941A9" w:rsidRDefault="00012B40">
            <w:pPr>
              <w:pStyle w:val="BodyDA"/>
            </w:pPr>
            <w:r>
              <w:rPr>
                <w:rFonts w:ascii="Calibri" w:hAnsi="Calibri"/>
                <w:lang w:val="en-US"/>
              </w:rPr>
              <w:t>Device therapy</w:t>
            </w:r>
            <w:r>
              <w:rPr>
                <w:rFonts w:ascii="Calibri" w:hAnsi="Calibri"/>
                <w:lang w:val="en-US"/>
              </w:rPr>
              <w:t> </w:t>
            </w:r>
          </w:p>
        </w:tc>
        <w:tc>
          <w:tcPr>
            <w:tcW w:w="2029" w:type="dxa"/>
            <w:tcBorders>
              <w:top w:val="nil"/>
              <w:left w:val="nil"/>
              <w:bottom w:val="nil"/>
              <w:right w:val="nil"/>
            </w:tcBorders>
            <w:shd w:val="clear" w:color="auto" w:fill="auto"/>
            <w:tcMar>
              <w:top w:w="80" w:type="dxa"/>
              <w:left w:w="80" w:type="dxa"/>
              <w:bottom w:w="80" w:type="dxa"/>
              <w:right w:w="80" w:type="dxa"/>
            </w:tcMar>
          </w:tcPr>
          <w:p w14:paraId="35D9E90E"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90F" w14:textId="77777777" w:rsidR="00E941A9" w:rsidRDefault="00E941A9"/>
        </w:tc>
      </w:tr>
      <w:tr w:rsidR="00E941A9" w14:paraId="35D9E914"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11" w14:textId="77777777" w:rsidR="00E941A9" w:rsidRDefault="00012B40">
            <w:pPr>
              <w:pStyle w:val="BodyDA"/>
            </w:pPr>
            <w:r>
              <w:rPr>
                <w:rFonts w:ascii="Calibri" w:hAnsi="Calibri"/>
                <w:lang w:val="en-US"/>
              </w:rPr>
              <w:t xml:space="preserve">    ICD or CRT-D</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12" w14:textId="77777777" w:rsidR="00E941A9" w:rsidRDefault="00012B40">
            <w:pPr>
              <w:pStyle w:val="BodyDA"/>
              <w:ind w:left="357"/>
              <w:jc w:val="center"/>
            </w:pPr>
            <w:r>
              <w:rPr>
                <w:rFonts w:ascii="Calibri" w:hAnsi="Calibri"/>
                <w:lang w:val="en-US"/>
              </w:rPr>
              <w:t>227 (38.6)</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13" w14:textId="77777777" w:rsidR="00E941A9" w:rsidRDefault="00012B40">
            <w:pPr>
              <w:pStyle w:val="BodyDA"/>
              <w:ind w:left="357"/>
              <w:jc w:val="center"/>
            </w:pPr>
            <w:r>
              <w:rPr>
                <w:rFonts w:ascii="Calibri" w:hAnsi="Calibri"/>
                <w:lang w:val="en-US"/>
              </w:rPr>
              <w:t xml:space="preserve">944 </w:t>
            </w:r>
            <w:r>
              <w:rPr>
                <w:rFonts w:ascii="Calibri" w:hAnsi="Calibri"/>
                <w:lang w:val="en-US"/>
              </w:rPr>
              <w:t>(30.0)</w:t>
            </w:r>
          </w:p>
        </w:tc>
      </w:tr>
      <w:tr w:rsidR="00E941A9" w14:paraId="35D9E918"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15" w14:textId="77777777" w:rsidR="00E941A9" w:rsidRDefault="00012B40">
            <w:pPr>
              <w:pStyle w:val="BodyDA"/>
            </w:pPr>
            <w:r>
              <w:rPr>
                <w:rFonts w:ascii="Calibri" w:hAnsi="Calibri"/>
                <w:lang w:val="en-US"/>
              </w:rPr>
              <w:t xml:space="preserve">    CRT</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16" w14:textId="77777777" w:rsidR="00E941A9" w:rsidRDefault="00012B40">
            <w:pPr>
              <w:pStyle w:val="BodyDA"/>
              <w:ind w:left="357"/>
              <w:jc w:val="center"/>
            </w:pPr>
            <w:r>
              <w:rPr>
                <w:rFonts w:ascii="Calibri" w:hAnsi="Calibri"/>
                <w:lang w:val="en-US"/>
              </w:rPr>
              <w:t>88 (15.0)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17" w14:textId="77777777" w:rsidR="00E941A9" w:rsidRDefault="00012B40">
            <w:pPr>
              <w:pStyle w:val="BodyDA"/>
              <w:ind w:left="357"/>
              <w:jc w:val="center"/>
            </w:pPr>
            <w:r>
              <w:rPr>
                <w:rFonts w:ascii="Calibri" w:hAnsi="Calibri"/>
                <w:lang w:val="en-US"/>
              </w:rPr>
              <w:t>354 (11.3)</w:t>
            </w:r>
          </w:p>
        </w:tc>
      </w:tr>
      <w:tr w:rsidR="00E941A9" w14:paraId="35D9E91C" w14:textId="77777777" w:rsidTr="00012B40">
        <w:trPr>
          <w:trHeight w:val="310"/>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19" w14:textId="77777777" w:rsidR="00E941A9" w:rsidRDefault="00012B40">
            <w:pPr>
              <w:pStyle w:val="BodyDA"/>
            </w:pPr>
            <w:r>
              <w:rPr>
                <w:rFonts w:ascii="Calibri" w:hAnsi="Calibri"/>
                <w:lang w:val="en-US"/>
              </w:rPr>
              <w:t>Heart failure medication</w:t>
            </w:r>
          </w:p>
        </w:tc>
        <w:tc>
          <w:tcPr>
            <w:tcW w:w="2029" w:type="dxa"/>
            <w:tcBorders>
              <w:top w:val="nil"/>
              <w:left w:val="nil"/>
              <w:bottom w:val="nil"/>
              <w:right w:val="nil"/>
            </w:tcBorders>
            <w:shd w:val="clear" w:color="auto" w:fill="auto"/>
            <w:tcMar>
              <w:top w:w="80" w:type="dxa"/>
              <w:left w:w="80" w:type="dxa"/>
              <w:bottom w:w="80" w:type="dxa"/>
              <w:right w:w="80" w:type="dxa"/>
            </w:tcMar>
          </w:tcPr>
          <w:p w14:paraId="35D9E91A" w14:textId="77777777" w:rsidR="00E941A9" w:rsidRDefault="00E941A9"/>
        </w:tc>
        <w:tc>
          <w:tcPr>
            <w:tcW w:w="2223" w:type="dxa"/>
            <w:tcBorders>
              <w:top w:val="nil"/>
              <w:left w:val="nil"/>
              <w:bottom w:val="nil"/>
              <w:right w:val="nil"/>
            </w:tcBorders>
            <w:shd w:val="clear" w:color="auto" w:fill="auto"/>
            <w:tcMar>
              <w:top w:w="80" w:type="dxa"/>
              <w:left w:w="80" w:type="dxa"/>
              <w:bottom w:w="80" w:type="dxa"/>
              <w:right w:w="80" w:type="dxa"/>
            </w:tcMar>
          </w:tcPr>
          <w:p w14:paraId="35D9E91B" w14:textId="77777777" w:rsidR="00E941A9" w:rsidRDefault="00E941A9"/>
        </w:tc>
      </w:tr>
      <w:tr w:rsidR="00E941A9" w14:paraId="35D9E920"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1D" w14:textId="77777777" w:rsidR="00E941A9" w:rsidRDefault="00012B40">
            <w:pPr>
              <w:pStyle w:val="BodyDA"/>
              <w:tabs>
                <w:tab w:val="left" w:pos="885"/>
                <w:tab w:val="left" w:pos="1500"/>
              </w:tabs>
            </w:pPr>
            <w:r>
              <w:rPr>
                <w:rFonts w:ascii="Calibri" w:hAnsi="Calibri"/>
                <w:lang w:val="en-US"/>
              </w:rPr>
              <w:t xml:space="preserve">    ACE inhibitor</w:t>
            </w:r>
            <w:r>
              <w:rPr>
                <w:rFonts w:ascii="Calibri" w:hAnsi="Calibri"/>
                <w:lang w:val="en-US"/>
              </w:rPr>
              <w:tab/>
            </w:r>
          </w:p>
        </w:tc>
        <w:tc>
          <w:tcPr>
            <w:tcW w:w="2029" w:type="dxa"/>
            <w:tcBorders>
              <w:top w:val="nil"/>
              <w:left w:val="nil"/>
              <w:bottom w:val="nil"/>
              <w:right w:val="nil"/>
            </w:tcBorders>
            <w:shd w:val="clear" w:color="auto" w:fill="auto"/>
            <w:tcMar>
              <w:top w:w="80" w:type="dxa"/>
              <w:left w:w="437" w:type="dxa"/>
              <w:bottom w:w="80" w:type="dxa"/>
              <w:right w:w="80" w:type="dxa"/>
            </w:tcMar>
          </w:tcPr>
          <w:p w14:paraId="35D9E91E" w14:textId="77777777" w:rsidR="00E941A9" w:rsidRDefault="00012B40">
            <w:pPr>
              <w:pStyle w:val="BodyDA"/>
              <w:ind w:left="357"/>
              <w:jc w:val="center"/>
            </w:pPr>
            <w:r>
              <w:rPr>
                <w:rFonts w:ascii="Calibri" w:hAnsi="Calibri"/>
                <w:lang w:val="en-US"/>
              </w:rPr>
              <w:t>241 (41.0)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1F" w14:textId="77777777" w:rsidR="00E941A9" w:rsidRDefault="00012B40">
            <w:pPr>
              <w:pStyle w:val="BodyDA"/>
              <w:ind w:left="357"/>
              <w:jc w:val="center"/>
            </w:pPr>
            <w:r>
              <w:rPr>
                <w:rFonts w:ascii="Calibri" w:hAnsi="Calibri"/>
                <w:lang w:val="en-US"/>
              </w:rPr>
              <w:t>1462 (46.5)</w:t>
            </w:r>
          </w:p>
        </w:tc>
      </w:tr>
      <w:tr w:rsidR="00E941A9" w14:paraId="35D9E924"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21" w14:textId="77777777" w:rsidR="00E941A9" w:rsidRDefault="00012B40">
            <w:pPr>
              <w:pStyle w:val="BodyDA"/>
            </w:pPr>
            <w:r>
              <w:rPr>
                <w:rFonts w:ascii="Calibri" w:hAnsi="Calibri"/>
                <w:lang w:val="en-US"/>
              </w:rPr>
              <w:t xml:space="preserve">    ARB</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22" w14:textId="77777777" w:rsidR="00E941A9" w:rsidRDefault="00012B40">
            <w:pPr>
              <w:pStyle w:val="BodyDA"/>
              <w:ind w:left="357"/>
              <w:jc w:val="center"/>
            </w:pPr>
            <w:r>
              <w:rPr>
                <w:rFonts w:ascii="Calibri" w:hAnsi="Calibri"/>
                <w:lang w:val="en-US"/>
              </w:rPr>
              <w:t>151 (25.7)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23" w14:textId="77777777" w:rsidR="00E941A9" w:rsidRDefault="00012B40">
            <w:pPr>
              <w:pStyle w:val="BodyDA"/>
              <w:ind w:left="357"/>
              <w:jc w:val="center"/>
            </w:pPr>
            <w:r>
              <w:rPr>
                <w:rFonts w:ascii="Calibri" w:hAnsi="Calibri"/>
                <w:lang w:val="en-US"/>
              </w:rPr>
              <w:t>757 (24.1)</w:t>
            </w:r>
          </w:p>
        </w:tc>
      </w:tr>
      <w:tr w:rsidR="00E941A9" w14:paraId="35D9E928"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25" w14:textId="77777777" w:rsidR="00E941A9" w:rsidRDefault="00012B40">
            <w:pPr>
              <w:pStyle w:val="BodyDA"/>
            </w:pPr>
            <w:r>
              <w:rPr>
                <w:rFonts w:ascii="Calibri" w:hAnsi="Calibri"/>
                <w:lang w:val="en-US"/>
              </w:rPr>
              <w:t xml:space="preserve">    ARNi</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26" w14:textId="77777777" w:rsidR="00E941A9" w:rsidRDefault="00012B40">
            <w:pPr>
              <w:pStyle w:val="BodyDA"/>
              <w:ind w:left="357"/>
              <w:jc w:val="center"/>
            </w:pPr>
            <w:r>
              <w:rPr>
                <w:rFonts w:ascii="Calibri" w:hAnsi="Calibri"/>
                <w:lang w:val="en-US"/>
              </w:rPr>
              <w:t>116 (19.7)</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27" w14:textId="77777777" w:rsidR="00E941A9" w:rsidRDefault="00012B40">
            <w:pPr>
              <w:pStyle w:val="BodyDA"/>
              <w:ind w:left="357"/>
              <w:jc w:val="center"/>
            </w:pPr>
            <w:r>
              <w:rPr>
                <w:rFonts w:ascii="Calibri" w:hAnsi="Calibri"/>
                <w:lang w:val="en-US"/>
              </w:rPr>
              <w:t>611 (19.4)</w:t>
            </w:r>
          </w:p>
        </w:tc>
      </w:tr>
      <w:tr w:rsidR="00E941A9" w14:paraId="35D9E92C"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29" w14:textId="77777777" w:rsidR="00E941A9" w:rsidRDefault="00012B40">
            <w:pPr>
              <w:pStyle w:val="BodyDA"/>
            </w:pPr>
            <w:r>
              <w:rPr>
                <w:rFonts w:ascii="Calibri" w:hAnsi="Calibri"/>
                <w:lang w:val="en-US"/>
              </w:rPr>
              <w:t xml:space="preserve">    Diuretic other than MRA</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2A" w14:textId="77777777" w:rsidR="00E941A9" w:rsidRDefault="00012B40">
            <w:pPr>
              <w:pStyle w:val="BodyDA"/>
              <w:ind w:left="357"/>
              <w:jc w:val="center"/>
            </w:pPr>
            <w:r>
              <w:rPr>
                <w:rFonts w:ascii="Calibri" w:hAnsi="Calibri"/>
                <w:lang w:val="en-US"/>
              </w:rPr>
              <w:t>554 (94.2)</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2B" w14:textId="77777777" w:rsidR="00E941A9" w:rsidRDefault="00012B40">
            <w:pPr>
              <w:pStyle w:val="BodyDA"/>
              <w:ind w:left="357"/>
              <w:jc w:val="center"/>
            </w:pPr>
            <w:r>
              <w:rPr>
                <w:rFonts w:ascii="Calibri" w:hAnsi="Calibri"/>
                <w:lang w:val="en-US"/>
              </w:rPr>
              <w:t>2694 (85.7)</w:t>
            </w:r>
          </w:p>
        </w:tc>
      </w:tr>
      <w:tr w:rsidR="00E941A9" w14:paraId="35D9E930" w14:textId="77777777" w:rsidTr="00012B40">
        <w:trPr>
          <w:trHeight w:val="293"/>
          <w:jc w:val="center"/>
        </w:trPr>
        <w:tc>
          <w:tcPr>
            <w:tcW w:w="4957" w:type="dxa"/>
            <w:gridSpan w:val="2"/>
            <w:tcBorders>
              <w:top w:val="nil"/>
              <w:left w:val="nil"/>
              <w:bottom w:val="nil"/>
              <w:right w:val="nil"/>
            </w:tcBorders>
            <w:shd w:val="clear" w:color="auto" w:fill="auto"/>
            <w:tcMar>
              <w:top w:w="80" w:type="dxa"/>
              <w:left w:w="80" w:type="dxa"/>
              <w:bottom w:w="80" w:type="dxa"/>
              <w:right w:w="80" w:type="dxa"/>
            </w:tcMar>
          </w:tcPr>
          <w:p w14:paraId="35D9E92D" w14:textId="77777777" w:rsidR="00E941A9" w:rsidRDefault="00012B40">
            <w:pPr>
              <w:pStyle w:val="BodyDA"/>
            </w:pPr>
            <w:r>
              <w:rPr>
                <w:rFonts w:ascii="Calibri" w:hAnsi="Calibri"/>
                <w:lang w:val="en-US"/>
              </w:rPr>
              <w:t xml:space="preserve">    MRA</w:t>
            </w:r>
          </w:p>
        </w:tc>
        <w:tc>
          <w:tcPr>
            <w:tcW w:w="2029" w:type="dxa"/>
            <w:tcBorders>
              <w:top w:val="nil"/>
              <w:left w:val="nil"/>
              <w:bottom w:val="nil"/>
              <w:right w:val="nil"/>
            </w:tcBorders>
            <w:shd w:val="clear" w:color="auto" w:fill="auto"/>
            <w:tcMar>
              <w:top w:w="80" w:type="dxa"/>
              <w:left w:w="437" w:type="dxa"/>
              <w:bottom w:w="80" w:type="dxa"/>
              <w:right w:w="80" w:type="dxa"/>
            </w:tcMar>
          </w:tcPr>
          <w:p w14:paraId="35D9E92E" w14:textId="77777777" w:rsidR="00E941A9" w:rsidRDefault="00012B40">
            <w:pPr>
              <w:pStyle w:val="BodyDA"/>
              <w:ind w:left="357"/>
              <w:jc w:val="center"/>
            </w:pPr>
            <w:r>
              <w:rPr>
                <w:rFonts w:ascii="Calibri" w:hAnsi="Calibri"/>
                <w:lang w:val="en-US"/>
              </w:rPr>
              <w:t>400 (68.0)</w:t>
            </w:r>
          </w:p>
        </w:tc>
        <w:tc>
          <w:tcPr>
            <w:tcW w:w="2223" w:type="dxa"/>
            <w:tcBorders>
              <w:top w:val="nil"/>
              <w:left w:val="nil"/>
              <w:bottom w:val="nil"/>
              <w:right w:val="nil"/>
            </w:tcBorders>
            <w:shd w:val="clear" w:color="auto" w:fill="auto"/>
            <w:tcMar>
              <w:top w:w="80" w:type="dxa"/>
              <w:left w:w="437" w:type="dxa"/>
              <w:bottom w:w="80" w:type="dxa"/>
              <w:right w:w="80" w:type="dxa"/>
            </w:tcMar>
          </w:tcPr>
          <w:p w14:paraId="35D9E92F" w14:textId="77777777" w:rsidR="00E941A9" w:rsidRDefault="00012B40">
            <w:pPr>
              <w:pStyle w:val="BodyDA"/>
              <w:ind w:left="357"/>
              <w:jc w:val="center"/>
            </w:pPr>
            <w:r>
              <w:rPr>
                <w:rFonts w:ascii="Calibri" w:hAnsi="Calibri"/>
                <w:lang w:val="en-US"/>
              </w:rPr>
              <w:t xml:space="preserve">2261 </w:t>
            </w:r>
            <w:r>
              <w:rPr>
                <w:rFonts w:ascii="Calibri" w:hAnsi="Calibri"/>
                <w:lang w:val="en-US"/>
              </w:rPr>
              <w:t>(72.0)</w:t>
            </w:r>
          </w:p>
        </w:tc>
      </w:tr>
      <w:tr w:rsidR="00E941A9" w14:paraId="35D9E934" w14:textId="77777777" w:rsidTr="00012B40">
        <w:trPr>
          <w:trHeight w:val="288"/>
          <w:jc w:val="center"/>
        </w:trPr>
        <w:tc>
          <w:tcPr>
            <w:tcW w:w="4957"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5D9E931" w14:textId="77777777" w:rsidR="00E941A9" w:rsidRDefault="00012B40">
            <w:pPr>
              <w:pStyle w:val="BodyDA"/>
            </w:pPr>
            <w:r>
              <w:rPr>
                <w:rFonts w:ascii="Calibri" w:hAnsi="Calibri"/>
                <w:lang w:val="en-US"/>
              </w:rPr>
              <w:t xml:space="preserve">    Beta blocker</w:t>
            </w:r>
          </w:p>
        </w:tc>
        <w:tc>
          <w:tcPr>
            <w:tcW w:w="2029" w:type="dxa"/>
            <w:tcBorders>
              <w:top w:val="nil"/>
              <w:left w:val="nil"/>
              <w:bottom w:val="single" w:sz="4" w:space="0" w:color="000000"/>
              <w:right w:val="nil"/>
            </w:tcBorders>
            <w:shd w:val="clear" w:color="auto" w:fill="auto"/>
            <w:tcMar>
              <w:top w:w="80" w:type="dxa"/>
              <w:left w:w="437" w:type="dxa"/>
              <w:bottom w:w="80" w:type="dxa"/>
              <w:right w:w="80" w:type="dxa"/>
            </w:tcMar>
          </w:tcPr>
          <w:p w14:paraId="35D9E932" w14:textId="77777777" w:rsidR="00E941A9" w:rsidRDefault="00012B40">
            <w:pPr>
              <w:pStyle w:val="BodyDA"/>
              <w:ind w:left="357"/>
              <w:jc w:val="center"/>
            </w:pPr>
            <w:r>
              <w:rPr>
                <w:rFonts w:ascii="Calibri" w:hAnsi="Calibri"/>
                <w:lang w:val="en-US"/>
              </w:rPr>
              <w:t>549 (93.4)</w:t>
            </w:r>
          </w:p>
        </w:tc>
        <w:tc>
          <w:tcPr>
            <w:tcW w:w="2223" w:type="dxa"/>
            <w:tcBorders>
              <w:top w:val="nil"/>
              <w:left w:val="nil"/>
              <w:bottom w:val="single" w:sz="4" w:space="0" w:color="000000"/>
              <w:right w:val="nil"/>
            </w:tcBorders>
            <w:shd w:val="clear" w:color="auto" w:fill="auto"/>
            <w:tcMar>
              <w:top w:w="80" w:type="dxa"/>
              <w:left w:w="437" w:type="dxa"/>
              <w:bottom w:w="80" w:type="dxa"/>
              <w:right w:w="80" w:type="dxa"/>
            </w:tcMar>
          </w:tcPr>
          <w:p w14:paraId="35D9E933" w14:textId="77777777" w:rsidR="00E941A9" w:rsidRDefault="00012B40">
            <w:pPr>
              <w:pStyle w:val="BodyDA"/>
              <w:ind w:left="357"/>
              <w:jc w:val="center"/>
            </w:pPr>
            <w:r>
              <w:rPr>
                <w:rFonts w:ascii="Calibri" w:hAnsi="Calibri"/>
                <w:lang w:val="en-US"/>
              </w:rPr>
              <w:t>2984 (95.0)</w:t>
            </w:r>
          </w:p>
        </w:tc>
      </w:tr>
    </w:tbl>
    <w:p w14:paraId="35D9E938" w14:textId="77777777" w:rsidR="00E941A9" w:rsidRDefault="00012B40">
      <w:pPr>
        <w:pStyle w:val="BodyBA"/>
        <w:spacing w:line="480" w:lineRule="auto"/>
        <w:rPr>
          <w:rFonts w:ascii="Calibri" w:eastAsia="Calibri" w:hAnsi="Calibri" w:cs="Calibri"/>
        </w:rPr>
      </w:pPr>
      <w:r>
        <w:rPr>
          <w:rFonts w:ascii="Calibri" w:hAnsi="Calibri"/>
        </w:rPr>
        <w:t xml:space="preserve">Data are n (%) or mean +/-SD, unless otherwise stated. </w:t>
      </w:r>
    </w:p>
    <w:p w14:paraId="35D9E93B" w14:textId="07DE567D" w:rsidR="00E941A9" w:rsidRPr="00012B40" w:rsidRDefault="00012B40" w:rsidP="00012B40">
      <w:pPr>
        <w:pStyle w:val="BodyBA"/>
        <w:spacing w:line="480" w:lineRule="auto"/>
      </w:pPr>
      <w:r>
        <w:rPr>
          <w:rFonts w:ascii="Calibri" w:hAnsi="Calibri"/>
        </w:rPr>
        <w:t xml:space="preserve">ACE, angiotensin-converting enzyme; ARB, angiotensin receptor blocker; ARNI, angiotensin receptor neprilysin inhibitor; CRT-D, cardiac </w:t>
      </w:r>
      <w:r>
        <w:rPr>
          <w:rFonts w:ascii="Calibri" w:hAnsi="Calibri"/>
        </w:rPr>
        <w:t>resynchronization therapy defibrillator; DM, diabetes mellitus; eGFR, estimated glomerular filtration rate; HHF, hospitalization for heart failure; ICD, implantable cardioverter defibrillator; MRA, mineralocorticoid receptor antagonist; NYHA, New York Hear</w:t>
      </w:r>
      <w:r>
        <w:rPr>
          <w:rFonts w:ascii="Calibri" w:hAnsi="Calibri"/>
        </w:rPr>
        <w:t>t Association; NT-proBNP, N-terminal-prohormone brain natriuretic peptide.</w:t>
      </w:r>
      <w:r>
        <w:rPr>
          <w:rFonts w:ascii="Arial Unicode MS" w:hAnsi="Arial Unicode MS"/>
        </w:rPr>
        <w:br w:type="column"/>
      </w:r>
      <w:r>
        <w:rPr>
          <w:rFonts w:ascii="Calibri" w:hAnsi="Calibri"/>
          <w:b/>
          <w:bCs/>
        </w:rPr>
        <w:t>Supplementa</w:t>
      </w:r>
      <w:r w:rsidR="00C522CD">
        <w:rPr>
          <w:rFonts w:ascii="Calibri" w:hAnsi="Calibri"/>
          <w:b/>
          <w:bCs/>
        </w:rPr>
        <w:t>l</w:t>
      </w:r>
      <w:r>
        <w:rPr>
          <w:rFonts w:ascii="Calibri" w:hAnsi="Calibri"/>
          <w:b/>
          <w:bCs/>
        </w:rPr>
        <w:t xml:space="preserve"> Table 2:</w:t>
      </w:r>
      <w:r>
        <w:rPr>
          <w:rFonts w:ascii="Calibri" w:hAnsi="Calibri"/>
        </w:rPr>
        <w:t xml:space="preserve"> Baseline Characteristics Based on </w:t>
      </w:r>
      <w:r>
        <w:rPr>
          <w:rFonts w:ascii="Calibri" w:hAnsi="Calibri"/>
        </w:rPr>
        <w:t>First</w:t>
      </w:r>
      <w:r>
        <w:rPr>
          <w:rFonts w:ascii="Calibri" w:hAnsi="Calibri"/>
        </w:rPr>
        <w:t xml:space="preserve"> Adjudication Committee Confirmed HHF</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83"/>
        <w:gridCol w:w="2050"/>
        <w:gridCol w:w="2187"/>
      </w:tblGrid>
      <w:tr w:rsidR="00E941A9" w14:paraId="35D9E940" w14:textId="77777777" w:rsidTr="00012B40">
        <w:trPr>
          <w:trHeight w:val="973"/>
          <w:jc w:val="center"/>
        </w:trPr>
        <w:tc>
          <w:tcPr>
            <w:tcW w:w="478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5D9E93C" w14:textId="77777777" w:rsidR="00E941A9" w:rsidRDefault="00E941A9"/>
        </w:tc>
        <w:tc>
          <w:tcPr>
            <w:tcW w:w="205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5D9E93D" w14:textId="790AA41D" w:rsidR="00E941A9" w:rsidRDefault="00012B40">
            <w:pPr>
              <w:pStyle w:val="BodyDA"/>
              <w:jc w:val="center"/>
            </w:pPr>
            <w:r>
              <w:rPr>
                <w:rFonts w:ascii="Calibri" w:hAnsi="Calibri"/>
                <w:b/>
                <w:bCs/>
                <w:lang w:val="en-US"/>
              </w:rPr>
              <w:t xml:space="preserve">First HHF </w:t>
            </w:r>
            <w:r w:rsidR="003B4E4D">
              <w:rPr>
                <w:rFonts w:ascii="Calibri" w:hAnsi="Calibri" w:cs="Calibri"/>
                <w:b/>
                <w:bCs/>
                <w:lang w:val="en-US"/>
              </w:rPr>
              <w:t>–</w:t>
            </w:r>
            <w:r>
              <w:rPr>
                <w:rFonts w:ascii="Calibri" w:hAnsi="Calibri"/>
                <w:b/>
                <w:bCs/>
                <w:lang w:val="en-US"/>
              </w:rPr>
              <w:t xml:space="preserve"> SCTI</w:t>
            </w:r>
            <w:r>
              <w:rPr>
                <w:rFonts w:ascii="Calibri" w:eastAsia="Calibri" w:hAnsi="Calibri" w:cs="Calibri"/>
                <w:b/>
                <w:bCs/>
                <w:lang w:val="en-US"/>
              </w:rPr>
              <w:br/>
            </w:r>
            <w:r>
              <w:rPr>
                <w:rFonts w:ascii="Calibri" w:hAnsi="Calibri"/>
                <w:b/>
                <w:bCs/>
                <w:lang w:val="en-US"/>
              </w:rPr>
              <w:t>N=520</w:t>
            </w:r>
          </w:p>
        </w:tc>
        <w:tc>
          <w:tcPr>
            <w:tcW w:w="21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5D9E93E" w14:textId="77777777" w:rsidR="00E941A9" w:rsidRDefault="00012B40">
            <w:pPr>
              <w:pStyle w:val="BodyDA"/>
              <w:jc w:val="center"/>
              <w:rPr>
                <w:rFonts w:ascii="Calibri" w:eastAsia="Calibri" w:hAnsi="Calibri" w:cs="Calibri"/>
                <w:b/>
                <w:bCs/>
              </w:rPr>
            </w:pPr>
            <w:r>
              <w:rPr>
                <w:rFonts w:ascii="Calibri" w:hAnsi="Calibri"/>
                <w:b/>
                <w:bCs/>
                <w:lang w:val="en-US"/>
              </w:rPr>
              <w:t xml:space="preserve">First HHF </w:t>
            </w:r>
            <w:r>
              <w:rPr>
                <w:rFonts w:ascii="Calibri" w:hAnsi="Calibri"/>
                <w:b/>
                <w:bCs/>
                <w:lang w:val="en-US"/>
              </w:rPr>
              <w:t xml:space="preserve">– </w:t>
            </w:r>
            <w:r>
              <w:rPr>
                <w:rFonts w:ascii="Calibri" w:hAnsi="Calibri"/>
                <w:b/>
                <w:bCs/>
                <w:lang w:val="en-US"/>
              </w:rPr>
              <w:t xml:space="preserve">non-SCTI </w:t>
            </w:r>
          </w:p>
          <w:p w14:paraId="35D9E93F" w14:textId="77777777" w:rsidR="00E941A9" w:rsidRDefault="00012B40">
            <w:pPr>
              <w:pStyle w:val="BodyDA"/>
              <w:jc w:val="center"/>
            </w:pPr>
            <w:r>
              <w:rPr>
                <w:rFonts w:ascii="Calibri" w:hAnsi="Calibri"/>
                <w:b/>
                <w:bCs/>
                <w:lang w:val="en-US"/>
              </w:rPr>
              <w:t>N=68</w:t>
            </w:r>
          </w:p>
        </w:tc>
      </w:tr>
      <w:tr w:rsidR="00E941A9" w14:paraId="35D9E944" w14:textId="77777777" w:rsidTr="00012B40">
        <w:trPr>
          <w:trHeight w:val="358"/>
          <w:jc w:val="center"/>
        </w:trPr>
        <w:tc>
          <w:tcPr>
            <w:tcW w:w="4783" w:type="dxa"/>
            <w:tcBorders>
              <w:top w:val="single" w:sz="4" w:space="0" w:color="000000"/>
              <w:left w:val="nil"/>
              <w:bottom w:val="nil"/>
              <w:right w:val="nil"/>
            </w:tcBorders>
            <w:shd w:val="clear" w:color="auto" w:fill="auto"/>
            <w:tcMar>
              <w:top w:w="80" w:type="dxa"/>
              <w:left w:w="80" w:type="dxa"/>
              <w:bottom w:w="80" w:type="dxa"/>
              <w:right w:w="80" w:type="dxa"/>
            </w:tcMar>
          </w:tcPr>
          <w:p w14:paraId="35D9E941" w14:textId="77777777" w:rsidR="00E941A9" w:rsidRDefault="00012B40">
            <w:pPr>
              <w:pStyle w:val="BodyDA"/>
            </w:pPr>
            <w:r>
              <w:rPr>
                <w:rFonts w:ascii="Calibri" w:hAnsi="Calibri"/>
                <w:lang w:val="en-US"/>
              </w:rPr>
              <w:t>Age, years</w:t>
            </w:r>
          </w:p>
        </w:tc>
        <w:tc>
          <w:tcPr>
            <w:tcW w:w="2050" w:type="dxa"/>
            <w:tcBorders>
              <w:top w:val="single" w:sz="4" w:space="0" w:color="000000"/>
              <w:left w:val="nil"/>
              <w:bottom w:val="nil"/>
              <w:right w:val="nil"/>
            </w:tcBorders>
            <w:shd w:val="clear" w:color="auto" w:fill="auto"/>
            <w:tcMar>
              <w:top w:w="80" w:type="dxa"/>
              <w:left w:w="80" w:type="dxa"/>
              <w:bottom w:w="80" w:type="dxa"/>
              <w:right w:w="80" w:type="dxa"/>
            </w:tcMar>
          </w:tcPr>
          <w:p w14:paraId="35D9E942" w14:textId="77777777" w:rsidR="00E941A9" w:rsidRDefault="00012B40">
            <w:pPr>
              <w:pStyle w:val="BodyDA"/>
              <w:jc w:val="center"/>
            </w:pPr>
            <w:r>
              <w:rPr>
                <w:rFonts w:ascii="Calibri" w:hAnsi="Calibri"/>
                <w:lang w:val="en-US"/>
              </w:rPr>
              <w:t>67.1</w:t>
            </w:r>
            <w:r>
              <w:rPr>
                <w:rFonts w:ascii="Calibri" w:hAnsi="Calibri"/>
                <w:lang w:val="en-US"/>
              </w:rPr>
              <w:t>±</w:t>
            </w:r>
            <w:r>
              <w:rPr>
                <w:rFonts w:ascii="Calibri" w:hAnsi="Calibri"/>
                <w:lang w:val="en-US"/>
              </w:rPr>
              <w:t>11.2</w:t>
            </w:r>
          </w:p>
        </w:tc>
        <w:tc>
          <w:tcPr>
            <w:tcW w:w="2187" w:type="dxa"/>
            <w:tcBorders>
              <w:top w:val="single" w:sz="4" w:space="0" w:color="000000"/>
              <w:left w:val="nil"/>
              <w:bottom w:val="nil"/>
              <w:right w:val="nil"/>
            </w:tcBorders>
            <w:shd w:val="clear" w:color="auto" w:fill="auto"/>
            <w:tcMar>
              <w:top w:w="80" w:type="dxa"/>
              <w:left w:w="80" w:type="dxa"/>
              <w:bottom w:w="80" w:type="dxa"/>
              <w:right w:w="80" w:type="dxa"/>
            </w:tcMar>
          </w:tcPr>
          <w:p w14:paraId="35D9E943" w14:textId="77777777" w:rsidR="00E941A9" w:rsidRDefault="00012B40">
            <w:pPr>
              <w:pStyle w:val="BodyDA"/>
              <w:jc w:val="center"/>
            </w:pPr>
            <w:r>
              <w:rPr>
                <w:rFonts w:ascii="Calibri" w:hAnsi="Calibri"/>
                <w:lang w:val="en-US"/>
              </w:rPr>
              <w:t>66.3</w:t>
            </w:r>
            <w:r>
              <w:rPr>
                <w:rFonts w:ascii="Calibri" w:hAnsi="Calibri"/>
                <w:lang w:val="en-US"/>
              </w:rPr>
              <w:t>±</w:t>
            </w:r>
            <w:r>
              <w:rPr>
                <w:rFonts w:ascii="Calibri" w:hAnsi="Calibri"/>
                <w:lang w:val="en-US"/>
              </w:rPr>
              <w:t>11.5</w:t>
            </w:r>
          </w:p>
        </w:tc>
      </w:tr>
      <w:tr w:rsidR="00E941A9" w14:paraId="35D9E94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45" w14:textId="77777777" w:rsidR="00E941A9" w:rsidRDefault="00012B40">
            <w:pPr>
              <w:pStyle w:val="BodyDA"/>
            </w:pPr>
            <w:r>
              <w:rPr>
                <w:rFonts w:ascii="Calibri" w:hAnsi="Calibri"/>
                <w:lang w:val="en-US"/>
              </w:rPr>
              <w:t>Female sex</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46" w14:textId="77777777" w:rsidR="00E941A9" w:rsidRDefault="00012B40">
            <w:pPr>
              <w:pStyle w:val="BodyDA"/>
              <w:jc w:val="center"/>
            </w:pPr>
            <w:r>
              <w:rPr>
                <w:rFonts w:ascii="Calibri" w:hAnsi="Calibri"/>
                <w:lang w:val="en-US"/>
              </w:rPr>
              <w:t>109 (21.0)</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47" w14:textId="77777777" w:rsidR="00E941A9" w:rsidRDefault="00012B40">
            <w:pPr>
              <w:pStyle w:val="BodyDA"/>
              <w:jc w:val="center"/>
            </w:pPr>
            <w:r>
              <w:rPr>
                <w:rFonts w:ascii="Calibri" w:hAnsi="Calibri"/>
                <w:lang w:val="en-US"/>
              </w:rPr>
              <w:t>17 (25.0)</w:t>
            </w:r>
          </w:p>
        </w:tc>
      </w:tr>
      <w:tr w:rsidR="00E941A9" w14:paraId="35D9E94C"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49" w14:textId="77777777" w:rsidR="00E941A9" w:rsidRDefault="00012B40">
            <w:pPr>
              <w:pStyle w:val="BodyDA"/>
            </w:pPr>
            <w:r>
              <w:rPr>
                <w:rFonts w:ascii="Calibri" w:hAnsi="Calibri"/>
                <w:lang w:val="en-US"/>
              </w:rPr>
              <w:t>Race</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4A"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4B" w14:textId="77777777" w:rsidR="00E941A9" w:rsidRDefault="00E941A9"/>
        </w:tc>
      </w:tr>
      <w:tr w:rsidR="00E941A9" w14:paraId="35D9E95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4D" w14:textId="77777777" w:rsidR="00E941A9" w:rsidRDefault="00012B40">
            <w:pPr>
              <w:pStyle w:val="BodyDA"/>
            </w:pPr>
            <w:r>
              <w:rPr>
                <w:rFonts w:ascii="Calibri" w:hAnsi="Calibri"/>
                <w:lang w:val="en-US"/>
              </w:rPr>
              <w:t xml:space="preserve">    White</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4E" w14:textId="77777777" w:rsidR="00E941A9" w:rsidRDefault="00012B40">
            <w:pPr>
              <w:pStyle w:val="BodyDA"/>
              <w:jc w:val="center"/>
            </w:pPr>
            <w:r>
              <w:rPr>
                <w:rFonts w:ascii="Calibri" w:hAnsi="Calibri"/>
                <w:lang w:val="en-US"/>
              </w:rPr>
              <w:t>332 (63.8)</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4F" w14:textId="77777777" w:rsidR="00E941A9" w:rsidRDefault="00012B40">
            <w:pPr>
              <w:pStyle w:val="BodyDA"/>
              <w:jc w:val="center"/>
            </w:pPr>
            <w:r>
              <w:rPr>
                <w:rFonts w:ascii="Calibri" w:hAnsi="Calibri"/>
                <w:lang w:val="en-US"/>
              </w:rPr>
              <w:t>50 (73.5)</w:t>
            </w:r>
          </w:p>
        </w:tc>
      </w:tr>
      <w:tr w:rsidR="00E941A9" w14:paraId="35D9E95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51" w14:textId="77777777" w:rsidR="00E941A9" w:rsidRDefault="00012B40">
            <w:pPr>
              <w:pStyle w:val="BodyDA"/>
            </w:pPr>
            <w:r>
              <w:rPr>
                <w:rFonts w:ascii="Calibri" w:hAnsi="Calibri"/>
                <w:lang w:val="en-US"/>
              </w:rPr>
              <w:t xml:space="preserve">    Black/African American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52" w14:textId="77777777" w:rsidR="00E941A9" w:rsidRDefault="00012B40">
            <w:pPr>
              <w:pStyle w:val="BodyDA"/>
              <w:jc w:val="center"/>
            </w:pPr>
            <w:r>
              <w:rPr>
                <w:rFonts w:ascii="Calibri" w:hAnsi="Calibri"/>
                <w:lang w:val="en-US"/>
              </w:rPr>
              <w:t>52 (10.0)</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53" w14:textId="77777777" w:rsidR="00E941A9" w:rsidRDefault="00012B40">
            <w:pPr>
              <w:pStyle w:val="BodyDA"/>
              <w:jc w:val="center"/>
            </w:pPr>
            <w:r>
              <w:rPr>
                <w:rFonts w:ascii="Calibri" w:hAnsi="Calibri"/>
                <w:lang w:val="en-US"/>
              </w:rPr>
              <w:t>7 (10.3)</w:t>
            </w:r>
          </w:p>
        </w:tc>
      </w:tr>
      <w:tr w:rsidR="00E941A9" w14:paraId="35D9E95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55" w14:textId="77777777" w:rsidR="00E941A9" w:rsidRDefault="00012B40">
            <w:pPr>
              <w:pStyle w:val="BodyDA"/>
            </w:pPr>
            <w:r>
              <w:rPr>
                <w:rFonts w:ascii="Calibri" w:hAnsi="Calibri"/>
                <w:lang w:val="en-US"/>
              </w:rPr>
              <w:t xml:space="preserve">    Asian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56" w14:textId="77777777" w:rsidR="00E941A9" w:rsidRDefault="00012B40">
            <w:pPr>
              <w:pStyle w:val="BodyDA"/>
              <w:jc w:val="center"/>
            </w:pPr>
            <w:r>
              <w:rPr>
                <w:rFonts w:ascii="Calibri" w:hAnsi="Calibri"/>
                <w:lang w:val="en-US"/>
              </w:rPr>
              <w:t>113 (21.7)</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57" w14:textId="77777777" w:rsidR="00E941A9" w:rsidRDefault="00012B40">
            <w:pPr>
              <w:pStyle w:val="BodyDA"/>
              <w:jc w:val="center"/>
            </w:pPr>
            <w:r>
              <w:rPr>
                <w:rFonts w:ascii="Calibri" w:hAnsi="Calibri"/>
                <w:lang w:val="en-US"/>
              </w:rPr>
              <w:t>9 (13.2)</w:t>
            </w:r>
          </w:p>
        </w:tc>
      </w:tr>
      <w:tr w:rsidR="00E941A9" w14:paraId="35D9E95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59" w14:textId="77777777" w:rsidR="00E941A9" w:rsidRDefault="00012B40">
            <w:pPr>
              <w:pStyle w:val="BodyDA"/>
            </w:pPr>
            <w:r>
              <w:rPr>
                <w:rFonts w:ascii="Calibri" w:hAnsi="Calibri"/>
                <w:lang w:val="en-US"/>
              </w:rPr>
              <w:t xml:space="preserve">    Other including mixed races</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5A" w14:textId="77777777" w:rsidR="00E941A9" w:rsidRDefault="00012B40">
            <w:pPr>
              <w:pStyle w:val="BodyDA"/>
              <w:jc w:val="center"/>
            </w:pPr>
            <w:r>
              <w:rPr>
                <w:rFonts w:ascii="Calibri" w:hAnsi="Calibri"/>
                <w:lang w:val="en-US"/>
              </w:rPr>
              <w:t>8 (1.5)</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5B" w14:textId="77777777" w:rsidR="00E941A9" w:rsidRDefault="00012B40">
            <w:pPr>
              <w:pStyle w:val="BodyDA"/>
              <w:jc w:val="center"/>
            </w:pPr>
            <w:r>
              <w:rPr>
                <w:rFonts w:ascii="Calibri" w:hAnsi="Calibri"/>
                <w:lang w:val="en-US"/>
              </w:rPr>
              <w:t>2 (2.9)</w:t>
            </w:r>
          </w:p>
        </w:tc>
      </w:tr>
      <w:tr w:rsidR="00E941A9" w14:paraId="35D9E96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5D" w14:textId="77777777" w:rsidR="00E941A9" w:rsidRDefault="00012B40">
            <w:pPr>
              <w:pStyle w:val="BodyDA"/>
            </w:pPr>
            <w:r>
              <w:rPr>
                <w:rFonts w:ascii="Calibri" w:hAnsi="Calibri"/>
                <w:lang w:val="en-US"/>
              </w:rPr>
              <w:t xml:space="preserve">    Missing</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5E" w14:textId="77777777" w:rsidR="00E941A9" w:rsidRDefault="00012B40">
            <w:pPr>
              <w:pStyle w:val="BodyDA"/>
              <w:jc w:val="center"/>
            </w:pPr>
            <w:r>
              <w:rPr>
                <w:rFonts w:ascii="Calibri" w:hAnsi="Calibri"/>
                <w:lang w:val="en-US"/>
              </w:rPr>
              <w:t>15 (2.9)</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5F" w14:textId="77777777" w:rsidR="00E941A9" w:rsidRDefault="00012B40">
            <w:pPr>
              <w:pStyle w:val="BodyDA"/>
              <w:jc w:val="center"/>
            </w:pPr>
            <w:r>
              <w:rPr>
                <w:rFonts w:ascii="Calibri" w:hAnsi="Calibri"/>
                <w:lang w:val="en-US"/>
              </w:rPr>
              <w:t>0</w:t>
            </w:r>
          </w:p>
        </w:tc>
      </w:tr>
      <w:tr w:rsidR="00E941A9" w14:paraId="35D9E964"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61" w14:textId="77777777" w:rsidR="00E941A9" w:rsidRDefault="00012B40">
            <w:pPr>
              <w:pStyle w:val="BodyDA"/>
            </w:pPr>
            <w:r>
              <w:rPr>
                <w:rFonts w:ascii="Calibri" w:hAnsi="Calibri"/>
                <w:lang w:val="en-US"/>
              </w:rPr>
              <w:t>Region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62"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63" w14:textId="77777777" w:rsidR="00E941A9" w:rsidRDefault="00E941A9"/>
        </w:tc>
      </w:tr>
      <w:tr w:rsidR="00E941A9" w14:paraId="35D9E96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65" w14:textId="77777777" w:rsidR="00E941A9" w:rsidRDefault="00012B40">
            <w:pPr>
              <w:pStyle w:val="BodyDA"/>
            </w:pPr>
            <w:r>
              <w:rPr>
                <w:rFonts w:ascii="Calibri" w:hAnsi="Calibri"/>
                <w:lang w:val="en-US"/>
              </w:rPr>
              <w:t xml:space="preserve">    North America</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66" w14:textId="77777777" w:rsidR="00E941A9" w:rsidRDefault="00012B40">
            <w:pPr>
              <w:pStyle w:val="BodyDA"/>
              <w:jc w:val="center"/>
            </w:pPr>
            <w:r>
              <w:rPr>
                <w:rFonts w:ascii="Calibri" w:hAnsi="Calibri"/>
                <w:lang w:val="en-US"/>
              </w:rPr>
              <w:t>89 (17.1)</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67" w14:textId="77777777" w:rsidR="00E941A9" w:rsidRDefault="00012B40">
            <w:pPr>
              <w:pStyle w:val="BodyDA"/>
              <w:jc w:val="center"/>
            </w:pPr>
            <w:r>
              <w:rPr>
                <w:rFonts w:ascii="Calibri" w:hAnsi="Calibri"/>
                <w:lang w:val="en-US"/>
              </w:rPr>
              <w:t>8 (11.8)</w:t>
            </w:r>
          </w:p>
        </w:tc>
      </w:tr>
      <w:tr w:rsidR="00E941A9" w14:paraId="35D9E96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69" w14:textId="77777777" w:rsidR="00E941A9" w:rsidRDefault="00012B40">
            <w:pPr>
              <w:pStyle w:val="BodyDA"/>
            </w:pPr>
            <w:r>
              <w:rPr>
                <w:rFonts w:ascii="Calibri" w:hAnsi="Calibri"/>
                <w:lang w:val="en-US"/>
              </w:rPr>
              <w:t xml:space="preserve">    Latin America</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6A" w14:textId="77777777" w:rsidR="00E941A9" w:rsidRDefault="00012B40">
            <w:pPr>
              <w:pStyle w:val="BodyDA"/>
              <w:jc w:val="center"/>
            </w:pPr>
            <w:r>
              <w:rPr>
                <w:rFonts w:ascii="Calibri" w:hAnsi="Calibri"/>
                <w:lang w:val="en-US"/>
              </w:rPr>
              <w:t>142 ( 27.3)</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6B" w14:textId="77777777" w:rsidR="00E941A9" w:rsidRDefault="00012B40">
            <w:pPr>
              <w:pStyle w:val="BodyDA"/>
              <w:jc w:val="center"/>
            </w:pPr>
            <w:r>
              <w:rPr>
                <w:rFonts w:ascii="Calibri" w:hAnsi="Calibri"/>
                <w:lang w:val="en-US"/>
              </w:rPr>
              <w:t>26 ( 38.2)</w:t>
            </w:r>
          </w:p>
        </w:tc>
      </w:tr>
      <w:tr w:rsidR="00E941A9" w14:paraId="35D9E97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6D" w14:textId="77777777" w:rsidR="00E941A9" w:rsidRDefault="00012B40">
            <w:pPr>
              <w:pStyle w:val="BodyDA"/>
            </w:pPr>
            <w:r>
              <w:rPr>
                <w:rFonts w:ascii="Calibri" w:hAnsi="Calibri"/>
                <w:lang w:val="en-US"/>
              </w:rPr>
              <w:t xml:space="preserve">    Europe</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6E" w14:textId="77777777" w:rsidR="00E941A9" w:rsidRDefault="00012B40">
            <w:pPr>
              <w:pStyle w:val="BodyDA"/>
              <w:jc w:val="center"/>
            </w:pPr>
            <w:r>
              <w:rPr>
                <w:rFonts w:ascii="Calibri" w:hAnsi="Calibri"/>
                <w:lang w:val="en-US"/>
              </w:rPr>
              <w:t>176 ( 33.8)</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6F" w14:textId="77777777" w:rsidR="00E941A9" w:rsidRDefault="00012B40">
            <w:pPr>
              <w:pStyle w:val="BodyDA"/>
              <w:jc w:val="center"/>
            </w:pPr>
            <w:r>
              <w:rPr>
                <w:rFonts w:ascii="Calibri" w:hAnsi="Calibri"/>
                <w:lang w:val="en-US"/>
              </w:rPr>
              <w:t>25 ( 36.8)</w:t>
            </w:r>
          </w:p>
        </w:tc>
      </w:tr>
      <w:tr w:rsidR="00E941A9" w14:paraId="35D9E97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71" w14:textId="77777777" w:rsidR="00E941A9" w:rsidRDefault="00012B40">
            <w:pPr>
              <w:pStyle w:val="BodyDA"/>
            </w:pPr>
            <w:r>
              <w:rPr>
                <w:rFonts w:ascii="Calibri" w:hAnsi="Calibri"/>
                <w:lang w:val="en-US"/>
              </w:rPr>
              <w:t xml:space="preserve">    Asia</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72" w14:textId="77777777" w:rsidR="00E941A9" w:rsidRDefault="00012B40">
            <w:pPr>
              <w:pStyle w:val="BodyDA"/>
              <w:jc w:val="center"/>
            </w:pPr>
            <w:r>
              <w:rPr>
                <w:rFonts w:ascii="Calibri" w:hAnsi="Calibri"/>
                <w:lang w:val="en-US"/>
              </w:rPr>
              <w:t>97 ( 18.7)</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73" w14:textId="77777777" w:rsidR="00E941A9" w:rsidRDefault="00012B40">
            <w:pPr>
              <w:pStyle w:val="BodyDA"/>
              <w:jc w:val="center"/>
            </w:pPr>
            <w:r>
              <w:rPr>
                <w:rFonts w:ascii="Calibri" w:hAnsi="Calibri"/>
                <w:lang w:val="en-US"/>
              </w:rPr>
              <w:t>8 ( 11.8)</w:t>
            </w:r>
          </w:p>
        </w:tc>
      </w:tr>
      <w:tr w:rsidR="00E941A9" w14:paraId="35D9E97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75" w14:textId="77777777" w:rsidR="00E941A9" w:rsidRDefault="00012B40">
            <w:pPr>
              <w:pStyle w:val="BodyDA"/>
            </w:pPr>
            <w:r>
              <w:rPr>
                <w:rFonts w:ascii="Calibri" w:hAnsi="Calibri"/>
                <w:lang w:val="en-US"/>
              </w:rPr>
              <w:t xml:space="preserve">    Other</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76" w14:textId="77777777" w:rsidR="00E941A9" w:rsidRDefault="00012B40">
            <w:pPr>
              <w:pStyle w:val="BodyDA"/>
              <w:jc w:val="center"/>
            </w:pPr>
            <w:r>
              <w:rPr>
                <w:rFonts w:ascii="Calibri" w:hAnsi="Calibri"/>
                <w:lang w:val="en-US"/>
              </w:rPr>
              <w:t>16 ( 3.1)</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77" w14:textId="77777777" w:rsidR="00E941A9" w:rsidRDefault="00012B40">
            <w:pPr>
              <w:pStyle w:val="BodyDA"/>
              <w:jc w:val="center"/>
            </w:pPr>
            <w:r>
              <w:rPr>
                <w:rFonts w:ascii="Calibri" w:hAnsi="Calibri"/>
                <w:lang w:val="en-US"/>
              </w:rPr>
              <w:t>1 ( 1.5)</w:t>
            </w:r>
          </w:p>
        </w:tc>
      </w:tr>
      <w:tr w:rsidR="00E941A9" w14:paraId="35D9E97C"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79" w14:textId="77777777" w:rsidR="00E941A9" w:rsidRDefault="00012B40">
            <w:pPr>
              <w:pStyle w:val="BodyDA"/>
            </w:pPr>
            <w:r>
              <w:rPr>
                <w:rFonts w:ascii="Calibri" w:hAnsi="Calibri"/>
                <w:lang w:val="en-US"/>
              </w:rPr>
              <w:t>NYHA class</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7A"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7B" w14:textId="77777777" w:rsidR="00E941A9" w:rsidRDefault="00E941A9"/>
        </w:tc>
      </w:tr>
      <w:tr w:rsidR="00E941A9" w14:paraId="35D9E98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7D" w14:textId="77777777" w:rsidR="00E941A9" w:rsidRDefault="00012B40">
            <w:pPr>
              <w:pStyle w:val="BodyDA"/>
            </w:pPr>
            <w:r>
              <w:rPr>
                <w:rFonts w:ascii="Calibri" w:hAnsi="Calibri"/>
                <w:lang w:val="en-US"/>
              </w:rPr>
              <w:t xml:space="preserve">    II</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7E" w14:textId="77777777" w:rsidR="00E941A9" w:rsidRDefault="00012B40">
            <w:pPr>
              <w:pStyle w:val="BodyDA"/>
              <w:jc w:val="center"/>
            </w:pPr>
            <w:r>
              <w:rPr>
                <w:rFonts w:ascii="Calibri" w:hAnsi="Calibri"/>
                <w:lang w:val="en-US"/>
              </w:rPr>
              <w:t>330 (63.5)</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7F" w14:textId="77777777" w:rsidR="00E941A9" w:rsidRDefault="00012B40">
            <w:pPr>
              <w:pStyle w:val="BodyDA"/>
              <w:jc w:val="center"/>
            </w:pPr>
            <w:r>
              <w:rPr>
                <w:rFonts w:ascii="Calibri" w:hAnsi="Calibri"/>
                <w:lang w:val="en-US"/>
              </w:rPr>
              <w:t>42 (61.8)</w:t>
            </w:r>
          </w:p>
        </w:tc>
      </w:tr>
      <w:tr w:rsidR="00E941A9" w14:paraId="35D9E98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81" w14:textId="77777777" w:rsidR="00E941A9" w:rsidRDefault="00012B40">
            <w:pPr>
              <w:pStyle w:val="BodyDA"/>
            </w:pPr>
            <w:r>
              <w:rPr>
                <w:rFonts w:ascii="Calibri" w:hAnsi="Calibri"/>
                <w:lang w:val="en-US"/>
              </w:rPr>
              <w:t xml:space="preserve">    III</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82" w14:textId="77777777" w:rsidR="00E941A9" w:rsidRDefault="00012B40">
            <w:pPr>
              <w:pStyle w:val="BodyDA"/>
              <w:jc w:val="center"/>
            </w:pPr>
            <w:r>
              <w:rPr>
                <w:rFonts w:ascii="Calibri" w:hAnsi="Calibri"/>
                <w:lang w:val="en-US"/>
              </w:rPr>
              <w:t>185 (35.6)</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83" w14:textId="77777777" w:rsidR="00E941A9" w:rsidRDefault="00012B40">
            <w:pPr>
              <w:pStyle w:val="BodyDA"/>
              <w:jc w:val="center"/>
            </w:pPr>
            <w:r>
              <w:rPr>
                <w:rFonts w:ascii="Calibri" w:hAnsi="Calibri"/>
                <w:lang w:val="en-US"/>
              </w:rPr>
              <w:t xml:space="preserve">25 </w:t>
            </w:r>
            <w:r>
              <w:rPr>
                <w:rFonts w:ascii="Calibri" w:hAnsi="Calibri"/>
                <w:lang w:val="en-US"/>
              </w:rPr>
              <w:t>(36.8)</w:t>
            </w:r>
          </w:p>
        </w:tc>
      </w:tr>
      <w:tr w:rsidR="00E941A9" w14:paraId="35D9E98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85" w14:textId="77777777" w:rsidR="00E941A9" w:rsidRDefault="00012B40">
            <w:pPr>
              <w:pStyle w:val="BodyDA"/>
            </w:pPr>
            <w:r>
              <w:rPr>
                <w:rFonts w:ascii="Calibri" w:hAnsi="Calibri"/>
                <w:lang w:val="en-US"/>
              </w:rPr>
              <w:t xml:space="preserve">    IV</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86" w14:textId="77777777" w:rsidR="00E941A9" w:rsidRDefault="00012B40">
            <w:pPr>
              <w:pStyle w:val="BodyDA"/>
              <w:jc w:val="center"/>
            </w:pPr>
            <w:r>
              <w:rPr>
                <w:rFonts w:ascii="Calibri" w:hAnsi="Calibri"/>
                <w:lang w:val="en-US"/>
              </w:rPr>
              <w:t>5 (1.0)</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87" w14:textId="77777777" w:rsidR="00E941A9" w:rsidRDefault="00012B40">
            <w:pPr>
              <w:pStyle w:val="BodyDA"/>
              <w:jc w:val="center"/>
            </w:pPr>
            <w:r>
              <w:rPr>
                <w:rFonts w:ascii="Calibri" w:hAnsi="Calibri"/>
                <w:lang w:val="en-US"/>
              </w:rPr>
              <w:t>1 (1.5)</w:t>
            </w:r>
          </w:p>
        </w:tc>
      </w:tr>
      <w:tr w:rsidR="00E941A9" w14:paraId="35D9E98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89" w14:textId="77777777" w:rsidR="00E941A9" w:rsidRDefault="00012B40">
            <w:pPr>
              <w:pStyle w:val="BodyDA"/>
            </w:pPr>
            <w:r>
              <w:rPr>
                <w:rFonts w:ascii="Calibri" w:hAnsi="Calibri"/>
                <w:lang w:val="en-US"/>
              </w:rPr>
              <w:t>Body mass index, kg/m</w:t>
            </w:r>
            <w:r>
              <w:rPr>
                <w:rFonts w:ascii="Calibri" w:hAnsi="Calibri"/>
                <w:vertAlign w:val="superscript"/>
                <w:lang w:val="en-US"/>
              </w:rPr>
              <w:t>2</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8A" w14:textId="77777777" w:rsidR="00E941A9" w:rsidRDefault="00012B40">
            <w:pPr>
              <w:pStyle w:val="BodyDA"/>
              <w:jc w:val="center"/>
            </w:pPr>
            <w:r>
              <w:rPr>
                <w:rFonts w:ascii="Calibri" w:hAnsi="Calibri"/>
                <w:lang w:val="en-US"/>
              </w:rPr>
              <w:t>28.2</w:t>
            </w:r>
            <w:r>
              <w:rPr>
                <w:rFonts w:ascii="Calibri" w:hAnsi="Calibri"/>
                <w:lang w:val="en-US"/>
              </w:rPr>
              <w:t>±</w:t>
            </w:r>
            <w:r>
              <w:rPr>
                <w:rFonts w:ascii="Calibri" w:hAnsi="Calibri"/>
                <w:lang w:val="en-US"/>
              </w:rPr>
              <w:t>5.8</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8B" w14:textId="77777777" w:rsidR="00E941A9" w:rsidRDefault="00012B40">
            <w:pPr>
              <w:pStyle w:val="BodyDA"/>
              <w:jc w:val="center"/>
            </w:pPr>
            <w:r>
              <w:rPr>
                <w:rFonts w:ascii="Calibri" w:hAnsi="Calibri"/>
                <w:lang w:val="en-US"/>
              </w:rPr>
              <w:t>27.8</w:t>
            </w:r>
            <w:r>
              <w:rPr>
                <w:rFonts w:ascii="Calibri" w:hAnsi="Calibri"/>
                <w:lang w:val="en-US"/>
              </w:rPr>
              <w:t>±</w:t>
            </w:r>
            <w:r>
              <w:rPr>
                <w:rFonts w:ascii="Calibri" w:hAnsi="Calibri"/>
                <w:lang w:val="en-US"/>
              </w:rPr>
              <w:t>5.1</w:t>
            </w:r>
          </w:p>
        </w:tc>
      </w:tr>
      <w:tr w:rsidR="00E941A9" w14:paraId="35D9E99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8D" w14:textId="77777777" w:rsidR="00E941A9" w:rsidRDefault="00012B40">
            <w:pPr>
              <w:pStyle w:val="BodyDA"/>
            </w:pPr>
            <w:r>
              <w:rPr>
                <w:rFonts w:ascii="Calibri" w:hAnsi="Calibri"/>
                <w:lang w:val="en-US"/>
              </w:rPr>
              <w:t>Heart rate, beats/min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8E" w14:textId="77777777" w:rsidR="00E941A9" w:rsidRDefault="00012B40">
            <w:pPr>
              <w:pStyle w:val="BodyDA"/>
              <w:jc w:val="center"/>
            </w:pPr>
            <w:r>
              <w:rPr>
                <w:rFonts w:ascii="Calibri" w:hAnsi="Calibri"/>
                <w:lang w:val="en-US"/>
              </w:rPr>
              <w:t>73.7</w:t>
            </w:r>
            <w:r>
              <w:rPr>
                <w:rFonts w:ascii="Calibri" w:hAnsi="Calibri"/>
                <w:lang w:val="en-US"/>
              </w:rPr>
              <w:t>±</w:t>
            </w:r>
            <w:r>
              <w:rPr>
                <w:rFonts w:ascii="Calibri" w:hAnsi="Calibri"/>
                <w:lang w:val="en-US"/>
              </w:rPr>
              <w:t>11.9</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8F" w14:textId="77777777" w:rsidR="00E941A9" w:rsidRDefault="00012B40">
            <w:pPr>
              <w:pStyle w:val="BodyDA"/>
              <w:jc w:val="center"/>
            </w:pPr>
            <w:r>
              <w:rPr>
                <w:rFonts w:ascii="Calibri" w:hAnsi="Calibri"/>
                <w:lang w:val="en-US"/>
              </w:rPr>
              <w:t>73.1</w:t>
            </w:r>
            <w:r>
              <w:rPr>
                <w:rFonts w:ascii="Calibri" w:hAnsi="Calibri"/>
                <w:lang w:val="en-US"/>
              </w:rPr>
              <w:t>±</w:t>
            </w:r>
            <w:r>
              <w:rPr>
                <w:rFonts w:ascii="Calibri" w:hAnsi="Calibri"/>
                <w:lang w:val="en-US"/>
              </w:rPr>
              <w:t>11.0</w:t>
            </w:r>
          </w:p>
        </w:tc>
      </w:tr>
      <w:tr w:rsidR="00E941A9" w14:paraId="35D9E99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91" w14:textId="77777777" w:rsidR="00E941A9" w:rsidRDefault="00012B40">
            <w:pPr>
              <w:pStyle w:val="BodyDA"/>
            </w:pPr>
            <w:r>
              <w:rPr>
                <w:rFonts w:ascii="Calibri" w:hAnsi="Calibri"/>
                <w:lang w:val="en-US"/>
              </w:rPr>
              <w:t>Systolic blood pressure, mmHg</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92" w14:textId="77777777" w:rsidR="00E941A9" w:rsidRDefault="00012B40">
            <w:pPr>
              <w:pStyle w:val="BodyDA"/>
              <w:jc w:val="center"/>
            </w:pPr>
            <w:r>
              <w:rPr>
                <w:rFonts w:ascii="Calibri" w:hAnsi="Calibri"/>
                <w:lang w:val="en-US"/>
              </w:rPr>
              <w:t>118.3</w:t>
            </w:r>
            <w:r>
              <w:rPr>
                <w:rFonts w:ascii="Calibri" w:hAnsi="Calibri"/>
                <w:lang w:val="en-US"/>
              </w:rPr>
              <w:t>±</w:t>
            </w:r>
            <w:r>
              <w:rPr>
                <w:rFonts w:ascii="Calibri" w:hAnsi="Calibri"/>
                <w:lang w:val="en-US"/>
              </w:rPr>
              <w:t>15.1</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93" w14:textId="77777777" w:rsidR="00E941A9" w:rsidRDefault="00012B40">
            <w:pPr>
              <w:pStyle w:val="BodyDA"/>
              <w:jc w:val="center"/>
            </w:pPr>
            <w:r>
              <w:rPr>
                <w:rFonts w:ascii="Calibri" w:hAnsi="Calibri"/>
                <w:lang w:val="en-US"/>
              </w:rPr>
              <w:t>122.6</w:t>
            </w:r>
            <w:r>
              <w:rPr>
                <w:rFonts w:ascii="Calibri" w:hAnsi="Calibri"/>
                <w:lang w:val="en-US"/>
              </w:rPr>
              <w:t>±</w:t>
            </w:r>
            <w:r>
              <w:rPr>
                <w:rFonts w:ascii="Calibri" w:hAnsi="Calibri"/>
                <w:lang w:val="en-US"/>
              </w:rPr>
              <w:t>17.3</w:t>
            </w:r>
          </w:p>
        </w:tc>
      </w:tr>
      <w:tr w:rsidR="00E941A9" w14:paraId="35D9E99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95" w14:textId="77777777" w:rsidR="00E941A9" w:rsidRDefault="00012B40">
            <w:pPr>
              <w:pStyle w:val="BodyDA"/>
            </w:pPr>
            <w:r>
              <w:rPr>
                <w:rFonts w:ascii="Calibri" w:hAnsi="Calibri"/>
                <w:lang w:val="en-US"/>
              </w:rPr>
              <w:t>Diastolic blood pressure, mmHg</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96" w14:textId="77777777" w:rsidR="00E941A9" w:rsidRDefault="00012B40">
            <w:pPr>
              <w:pStyle w:val="BodyDA"/>
              <w:jc w:val="center"/>
            </w:pPr>
            <w:r>
              <w:rPr>
                <w:rFonts w:ascii="Calibri" w:hAnsi="Calibri"/>
                <w:lang w:val="en-US"/>
              </w:rPr>
              <w:t>73.0</w:t>
            </w:r>
            <w:r>
              <w:rPr>
                <w:rFonts w:ascii="Calibri" w:hAnsi="Calibri"/>
                <w:lang w:val="en-US"/>
              </w:rPr>
              <w:t>±</w:t>
            </w:r>
            <w:r>
              <w:rPr>
                <w:rFonts w:ascii="Calibri" w:hAnsi="Calibri"/>
                <w:lang w:val="en-US"/>
              </w:rPr>
              <w:t>10.6</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97" w14:textId="77777777" w:rsidR="00E941A9" w:rsidRDefault="00012B40">
            <w:pPr>
              <w:pStyle w:val="BodyDA"/>
              <w:jc w:val="center"/>
            </w:pPr>
            <w:r>
              <w:rPr>
                <w:rFonts w:ascii="Calibri" w:hAnsi="Calibri"/>
                <w:lang w:val="en-US"/>
              </w:rPr>
              <w:t>74.7</w:t>
            </w:r>
            <w:r>
              <w:rPr>
                <w:rFonts w:ascii="Calibri" w:hAnsi="Calibri"/>
                <w:lang w:val="en-US"/>
              </w:rPr>
              <w:t>±</w:t>
            </w:r>
            <w:r>
              <w:rPr>
                <w:rFonts w:ascii="Calibri" w:hAnsi="Calibri"/>
                <w:lang w:val="en-US"/>
              </w:rPr>
              <w:t>11.1</w:t>
            </w:r>
          </w:p>
        </w:tc>
      </w:tr>
      <w:tr w:rsidR="00E941A9" w14:paraId="35D9E99C" w14:textId="77777777" w:rsidTr="00012B40">
        <w:trPr>
          <w:trHeight w:val="57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99" w14:textId="77777777" w:rsidR="00E941A9" w:rsidRDefault="00012B40">
            <w:pPr>
              <w:pStyle w:val="BodyDA"/>
            </w:pPr>
            <w:r>
              <w:rPr>
                <w:rFonts w:ascii="Calibri" w:hAnsi="Calibri"/>
                <w:lang w:val="sv-SE"/>
              </w:rPr>
              <w:t xml:space="preserve">NT-proBNP, pg/mL, median, </w:t>
            </w:r>
            <w:r>
              <w:rPr>
                <w:rFonts w:ascii="Calibri" w:hAnsi="Calibri"/>
                <w:lang w:val="sv-SE"/>
              </w:rPr>
              <w:t>(IQR)</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9A" w14:textId="77777777" w:rsidR="00E941A9" w:rsidRDefault="00012B40">
            <w:pPr>
              <w:pStyle w:val="BodyDA"/>
              <w:jc w:val="center"/>
            </w:pPr>
            <w:r>
              <w:rPr>
                <w:rFonts w:ascii="Calibri" w:hAnsi="Calibri"/>
                <w:lang w:val="en-US"/>
              </w:rPr>
              <w:t>3264.0</w:t>
            </w:r>
            <w:r>
              <w:rPr>
                <w:rFonts w:ascii="Calibri" w:eastAsia="Calibri" w:hAnsi="Calibri" w:cs="Calibri"/>
                <w:lang w:val="en-US"/>
              </w:rPr>
              <w:br/>
            </w:r>
            <w:r>
              <w:rPr>
                <w:rFonts w:ascii="Calibri" w:hAnsi="Calibri"/>
                <w:lang w:val="en-US"/>
              </w:rPr>
              <w:t>(1806.5</w:t>
            </w:r>
            <w:r>
              <w:rPr>
                <w:rFonts w:ascii="Calibri" w:hAnsi="Calibri"/>
                <w:lang w:val="en-US"/>
              </w:rPr>
              <w:t>–</w:t>
            </w:r>
            <w:r>
              <w:rPr>
                <w:rFonts w:ascii="Calibri" w:hAnsi="Calibri"/>
                <w:lang w:val="en-US"/>
              </w:rPr>
              <w:t>5878.5)</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9B" w14:textId="77777777" w:rsidR="00E941A9" w:rsidRDefault="00012B40">
            <w:pPr>
              <w:pStyle w:val="BodyDA"/>
              <w:jc w:val="center"/>
            </w:pPr>
            <w:r>
              <w:rPr>
                <w:rFonts w:ascii="Calibri" w:hAnsi="Calibri"/>
                <w:lang w:val="en-US"/>
              </w:rPr>
              <w:t>2330.0</w:t>
            </w:r>
            <w:r>
              <w:rPr>
                <w:rFonts w:ascii="Calibri" w:eastAsia="Calibri" w:hAnsi="Calibri" w:cs="Calibri"/>
                <w:lang w:val="en-US"/>
              </w:rPr>
              <w:br/>
            </w:r>
            <w:r>
              <w:rPr>
                <w:rFonts w:ascii="Calibri" w:hAnsi="Calibri"/>
                <w:lang w:val="en-US"/>
              </w:rPr>
              <w:t>(1470.5</w:t>
            </w:r>
            <w:r>
              <w:rPr>
                <w:rFonts w:ascii="Calibri" w:hAnsi="Calibri"/>
                <w:lang w:val="en-US"/>
              </w:rPr>
              <w:t>–</w:t>
            </w:r>
            <w:r>
              <w:rPr>
                <w:rFonts w:ascii="Calibri" w:hAnsi="Calibri"/>
                <w:lang w:val="en-US"/>
              </w:rPr>
              <w:t>4575.0)</w:t>
            </w:r>
          </w:p>
        </w:tc>
      </w:tr>
      <w:tr w:rsidR="00E941A9" w14:paraId="35D9E9A0"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9D" w14:textId="77777777" w:rsidR="00E941A9" w:rsidRDefault="00012B40">
            <w:pPr>
              <w:pStyle w:val="BodyDA"/>
            </w:pPr>
            <w:r>
              <w:rPr>
                <w:rFonts w:ascii="Calibri" w:hAnsi="Calibri"/>
                <w:lang w:val="en-US"/>
              </w:rPr>
              <w:t>Cause of heart failure</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9E"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9F" w14:textId="77777777" w:rsidR="00E941A9" w:rsidRDefault="00E941A9"/>
        </w:tc>
      </w:tr>
      <w:tr w:rsidR="00E941A9" w14:paraId="35D9E9A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A1" w14:textId="77777777" w:rsidR="00E941A9" w:rsidRDefault="00012B40">
            <w:pPr>
              <w:pStyle w:val="BodyDA"/>
              <w:tabs>
                <w:tab w:val="left" w:pos="1140"/>
              </w:tabs>
            </w:pPr>
            <w:r>
              <w:rPr>
                <w:rFonts w:ascii="Calibri" w:hAnsi="Calibri"/>
                <w:lang w:val="en-US"/>
              </w:rPr>
              <w:t xml:space="preserve">    Ischemic</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A2" w14:textId="77777777" w:rsidR="00E941A9" w:rsidRDefault="00012B40">
            <w:pPr>
              <w:pStyle w:val="BodyDA"/>
              <w:jc w:val="center"/>
            </w:pPr>
            <w:r>
              <w:rPr>
                <w:rFonts w:ascii="Calibri" w:hAnsi="Calibri"/>
                <w:lang w:val="en-US"/>
              </w:rPr>
              <w:t>270 (51.9)</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A3" w14:textId="77777777" w:rsidR="00E941A9" w:rsidRDefault="00012B40">
            <w:pPr>
              <w:pStyle w:val="BodyDA"/>
              <w:jc w:val="center"/>
            </w:pPr>
            <w:r>
              <w:rPr>
                <w:rFonts w:ascii="Calibri" w:hAnsi="Calibri"/>
                <w:lang w:val="en-US"/>
              </w:rPr>
              <w:t>32 (47.1)</w:t>
            </w:r>
          </w:p>
        </w:tc>
      </w:tr>
      <w:tr w:rsidR="00E941A9" w14:paraId="35D9E9A8"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A5" w14:textId="77777777" w:rsidR="00E941A9" w:rsidRDefault="00012B40">
            <w:pPr>
              <w:pStyle w:val="BodyDA"/>
            </w:pPr>
            <w:r>
              <w:rPr>
                <w:rFonts w:ascii="Calibri" w:hAnsi="Calibri"/>
                <w:lang w:val="en-US"/>
              </w:rPr>
              <w:t>Medical history</w:t>
            </w:r>
            <w:r>
              <w:rPr>
                <w:rFonts w:ascii="Calibri" w:hAnsi="Calibri"/>
                <w:lang w:val="en-US"/>
              </w:rPr>
              <w:t> </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A6"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A7" w14:textId="77777777" w:rsidR="00E941A9" w:rsidRDefault="00E941A9"/>
        </w:tc>
      </w:tr>
      <w:tr w:rsidR="00E941A9" w14:paraId="35D9E9A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A9" w14:textId="77777777" w:rsidR="00E941A9" w:rsidRDefault="00012B40">
            <w:pPr>
              <w:pStyle w:val="BodyDA"/>
            </w:pPr>
            <w:r>
              <w:rPr>
                <w:rFonts w:ascii="Calibri" w:hAnsi="Calibri"/>
                <w:lang w:val="en-US"/>
              </w:rPr>
              <w:t xml:space="preserve">    DM at baseline</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AA" w14:textId="77777777" w:rsidR="00E941A9" w:rsidRDefault="00012B40">
            <w:pPr>
              <w:pStyle w:val="BodyDA"/>
              <w:jc w:val="center"/>
            </w:pPr>
            <w:r>
              <w:rPr>
                <w:rFonts w:ascii="Calibri" w:hAnsi="Calibri"/>
                <w:lang w:val="en-US"/>
              </w:rPr>
              <w:t>302 (58.1)</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AB" w14:textId="77777777" w:rsidR="00E941A9" w:rsidRDefault="00012B40">
            <w:pPr>
              <w:pStyle w:val="BodyDA"/>
              <w:jc w:val="center"/>
            </w:pPr>
            <w:r>
              <w:rPr>
                <w:rFonts w:ascii="Calibri" w:hAnsi="Calibri"/>
                <w:lang w:val="en-US"/>
              </w:rPr>
              <w:t>39 (57.4)</w:t>
            </w:r>
          </w:p>
        </w:tc>
      </w:tr>
      <w:tr w:rsidR="00E941A9" w14:paraId="35D9E9B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AD" w14:textId="77777777" w:rsidR="00E941A9" w:rsidRDefault="00012B40">
            <w:pPr>
              <w:pStyle w:val="BodyDA"/>
            </w:pPr>
            <w:r>
              <w:rPr>
                <w:rFonts w:ascii="Calibri" w:hAnsi="Calibri"/>
                <w:lang w:val="en-US"/>
              </w:rPr>
              <w:t xml:space="preserve">    Atrial fibrillation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AE" w14:textId="77777777" w:rsidR="00E941A9" w:rsidRDefault="00012B40">
            <w:pPr>
              <w:pStyle w:val="BodyDA"/>
              <w:jc w:val="center"/>
            </w:pPr>
            <w:r>
              <w:rPr>
                <w:rFonts w:ascii="Calibri" w:hAnsi="Calibri"/>
                <w:lang w:val="en-US"/>
              </w:rPr>
              <w:t>225 (43.3)</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AF" w14:textId="77777777" w:rsidR="00E941A9" w:rsidRDefault="00012B40">
            <w:pPr>
              <w:pStyle w:val="BodyDA"/>
              <w:jc w:val="center"/>
            </w:pPr>
            <w:r>
              <w:rPr>
                <w:rFonts w:ascii="Calibri" w:hAnsi="Calibri"/>
                <w:lang w:val="en-US"/>
              </w:rPr>
              <w:t>24 (35.3)</w:t>
            </w:r>
          </w:p>
        </w:tc>
      </w:tr>
      <w:tr w:rsidR="00E941A9" w14:paraId="35D9E9B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B1" w14:textId="77777777" w:rsidR="00E941A9" w:rsidRDefault="00012B40">
            <w:pPr>
              <w:pStyle w:val="BodyDA"/>
              <w:tabs>
                <w:tab w:val="left" w:pos="1110"/>
              </w:tabs>
            </w:pPr>
            <w:r>
              <w:rPr>
                <w:rFonts w:ascii="Calibri" w:hAnsi="Calibri"/>
                <w:lang w:val="en-US"/>
              </w:rPr>
              <w:t xml:space="preserve">    Hypertension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B2" w14:textId="77777777" w:rsidR="00E941A9" w:rsidRDefault="00012B40">
            <w:pPr>
              <w:pStyle w:val="BodyDA"/>
              <w:jc w:val="center"/>
            </w:pPr>
            <w:r>
              <w:rPr>
                <w:rFonts w:ascii="Calibri" w:hAnsi="Calibri"/>
                <w:lang w:val="en-US"/>
              </w:rPr>
              <w:t>402 (77.3)</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B3" w14:textId="77777777" w:rsidR="00E941A9" w:rsidRDefault="00012B40">
            <w:pPr>
              <w:pStyle w:val="BodyDA"/>
              <w:jc w:val="center"/>
            </w:pPr>
            <w:r>
              <w:rPr>
                <w:rFonts w:ascii="Calibri" w:hAnsi="Calibri"/>
                <w:lang w:val="en-US"/>
              </w:rPr>
              <w:t xml:space="preserve">53 </w:t>
            </w:r>
            <w:r>
              <w:rPr>
                <w:rFonts w:ascii="Calibri" w:hAnsi="Calibri"/>
                <w:lang w:val="en-US"/>
              </w:rPr>
              <w:t>(77.9)</w:t>
            </w:r>
          </w:p>
        </w:tc>
      </w:tr>
      <w:tr w:rsidR="00E941A9" w14:paraId="35D9E9B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B5" w14:textId="77777777" w:rsidR="00E941A9" w:rsidRDefault="00012B40">
            <w:pPr>
              <w:pStyle w:val="BodyDA"/>
            </w:pPr>
            <w:r>
              <w:rPr>
                <w:rFonts w:ascii="Calibri" w:hAnsi="Calibri"/>
                <w:lang w:val="en-US"/>
              </w:rPr>
              <w:t xml:space="preserve">    History of HHF in the last 12 months </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B6" w14:textId="77777777" w:rsidR="00E941A9" w:rsidRDefault="00012B40">
            <w:pPr>
              <w:pStyle w:val="BodyDA"/>
              <w:jc w:val="center"/>
            </w:pPr>
            <w:r>
              <w:rPr>
                <w:rFonts w:ascii="Calibri" w:hAnsi="Calibri"/>
                <w:lang w:val="en-US"/>
              </w:rPr>
              <w:t>226 (43.5)</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B7" w14:textId="77777777" w:rsidR="00E941A9" w:rsidRDefault="00012B40">
            <w:pPr>
              <w:pStyle w:val="BodyDA"/>
              <w:jc w:val="center"/>
            </w:pPr>
            <w:r>
              <w:rPr>
                <w:rFonts w:ascii="Calibri" w:hAnsi="Calibri"/>
                <w:lang w:val="en-US"/>
              </w:rPr>
              <w:t>25 (36.8)</w:t>
            </w:r>
          </w:p>
        </w:tc>
      </w:tr>
      <w:tr w:rsidR="00E941A9" w14:paraId="35D9E9BC"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B9" w14:textId="77777777" w:rsidR="00E941A9" w:rsidRDefault="00012B40">
            <w:pPr>
              <w:pStyle w:val="BodyDA"/>
            </w:pPr>
            <w:r>
              <w:rPr>
                <w:rFonts w:ascii="Calibri" w:hAnsi="Calibri"/>
                <w:lang w:val="en-US"/>
              </w:rPr>
              <w:t>eGFR</w:t>
            </w:r>
            <w:r>
              <w:rPr>
                <w:rFonts w:ascii="Calibri" w:hAnsi="Calibri"/>
                <w:lang w:val="en-US"/>
              </w:rPr>
              <w:t> </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BA"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BB" w14:textId="77777777" w:rsidR="00E941A9" w:rsidRDefault="00E941A9"/>
        </w:tc>
      </w:tr>
      <w:tr w:rsidR="00E941A9" w14:paraId="35D9E9C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BD" w14:textId="77777777" w:rsidR="00E941A9" w:rsidRDefault="00012B40">
            <w:pPr>
              <w:pStyle w:val="BodyDA"/>
            </w:pPr>
            <w:r>
              <w:rPr>
                <w:rFonts w:ascii="Calibri" w:hAnsi="Calibri"/>
                <w:lang w:val="en-US"/>
              </w:rPr>
              <w:t xml:space="preserve">    mL/min/1.73 m</w:t>
            </w:r>
            <w:r>
              <w:rPr>
                <w:rFonts w:ascii="Calibri" w:hAnsi="Calibri"/>
                <w:vertAlign w:val="superscript"/>
                <w:lang w:val="en-US"/>
              </w:rPr>
              <w:t>2</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BE" w14:textId="77777777" w:rsidR="00E941A9" w:rsidRDefault="00012B40">
            <w:pPr>
              <w:pStyle w:val="BodyDA"/>
              <w:jc w:val="center"/>
            </w:pPr>
            <w:r>
              <w:rPr>
                <w:rFonts w:ascii="Calibri" w:hAnsi="Calibri"/>
                <w:lang w:val="en-US"/>
              </w:rPr>
              <w:t>58.3</w:t>
            </w:r>
            <w:r>
              <w:rPr>
                <w:rFonts w:ascii="Calibri" w:hAnsi="Calibri"/>
                <w:lang w:val="en-US"/>
              </w:rPr>
              <w:t>±</w:t>
            </w:r>
            <w:r>
              <w:rPr>
                <w:rFonts w:ascii="Calibri" w:hAnsi="Calibri"/>
                <w:lang w:val="en-US"/>
              </w:rPr>
              <w:t>21.9</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BF" w14:textId="77777777" w:rsidR="00E941A9" w:rsidRDefault="00012B40">
            <w:pPr>
              <w:pStyle w:val="BodyDA"/>
              <w:jc w:val="center"/>
            </w:pPr>
            <w:r>
              <w:rPr>
                <w:rFonts w:ascii="Calibri" w:hAnsi="Calibri"/>
                <w:lang w:val="en-US"/>
              </w:rPr>
              <w:t>58.7</w:t>
            </w:r>
            <w:r>
              <w:rPr>
                <w:rFonts w:ascii="Calibri" w:hAnsi="Calibri"/>
                <w:lang w:val="en-US"/>
              </w:rPr>
              <w:t>±</w:t>
            </w:r>
            <w:r>
              <w:rPr>
                <w:rFonts w:ascii="Calibri" w:hAnsi="Calibri"/>
                <w:lang w:val="en-US"/>
              </w:rPr>
              <w:t>24.4</w:t>
            </w:r>
          </w:p>
        </w:tc>
      </w:tr>
      <w:tr w:rsidR="00E941A9" w14:paraId="35D9E9C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C1" w14:textId="77777777" w:rsidR="00E941A9" w:rsidRDefault="00012B40">
            <w:pPr>
              <w:pStyle w:val="BodyDA"/>
            </w:pPr>
            <w:r>
              <w:rPr>
                <w:rFonts w:ascii="Calibri" w:hAnsi="Calibri"/>
                <w:lang w:val="en-US"/>
              </w:rPr>
              <w:t xml:space="preserve">    &lt;60 mL/min/1.73 m</w:t>
            </w:r>
            <w:r>
              <w:rPr>
                <w:rFonts w:ascii="Calibri" w:hAnsi="Calibri"/>
                <w:vertAlign w:val="superscript"/>
                <w:lang w:val="en-US"/>
              </w:rPr>
              <w:t>2</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C2" w14:textId="77777777" w:rsidR="00E941A9" w:rsidRDefault="00012B40">
            <w:pPr>
              <w:pStyle w:val="BodyDA"/>
              <w:jc w:val="center"/>
            </w:pPr>
            <w:r>
              <w:rPr>
                <w:rFonts w:ascii="Calibri" w:hAnsi="Calibri"/>
                <w:lang w:val="en-US"/>
              </w:rPr>
              <w:t>290 (55.8)</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C3" w14:textId="77777777" w:rsidR="00E941A9" w:rsidRDefault="00012B40">
            <w:pPr>
              <w:pStyle w:val="BodyDA"/>
              <w:jc w:val="center"/>
            </w:pPr>
            <w:r>
              <w:rPr>
                <w:rFonts w:ascii="Calibri" w:hAnsi="Calibri"/>
                <w:lang w:val="en-US"/>
              </w:rPr>
              <w:t>34 (50.0)</w:t>
            </w:r>
          </w:p>
        </w:tc>
      </w:tr>
      <w:tr w:rsidR="00E941A9" w14:paraId="35D9E9C8"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C5" w14:textId="77777777" w:rsidR="00E941A9" w:rsidRDefault="00012B40">
            <w:pPr>
              <w:pStyle w:val="BodyDA"/>
            </w:pPr>
            <w:r>
              <w:rPr>
                <w:rFonts w:ascii="Calibri" w:hAnsi="Calibri"/>
                <w:lang w:val="en-US"/>
              </w:rPr>
              <w:t>Device therapy</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C6"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C7" w14:textId="77777777" w:rsidR="00E941A9" w:rsidRDefault="00E941A9"/>
        </w:tc>
      </w:tr>
      <w:tr w:rsidR="00E941A9" w14:paraId="35D9E9C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C9" w14:textId="77777777" w:rsidR="00E941A9" w:rsidRDefault="00012B40">
            <w:pPr>
              <w:pStyle w:val="BodyDA"/>
            </w:pPr>
            <w:r>
              <w:rPr>
                <w:rFonts w:ascii="Calibri" w:hAnsi="Calibri"/>
                <w:lang w:val="en-US"/>
              </w:rPr>
              <w:t xml:space="preserve">    ICD or CRT-D</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CA" w14:textId="77777777" w:rsidR="00E941A9" w:rsidRDefault="00012B40">
            <w:pPr>
              <w:pStyle w:val="BodyDA"/>
              <w:jc w:val="center"/>
            </w:pPr>
            <w:r>
              <w:rPr>
                <w:rFonts w:ascii="Calibri" w:hAnsi="Calibri"/>
                <w:lang w:val="en-US"/>
              </w:rPr>
              <w:t>204 (39.2)</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CB" w14:textId="77777777" w:rsidR="00E941A9" w:rsidRDefault="00012B40">
            <w:pPr>
              <w:pStyle w:val="BodyDA"/>
              <w:jc w:val="center"/>
            </w:pPr>
            <w:r>
              <w:rPr>
                <w:rFonts w:ascii="Calibri" w:hAnsi="Calibri"/>
                <w:lang w:val="en-US"/>
              </w:rPr>
              <w:t>23 (33.8)</w:t>
            </w:r>
          </w:p>
        </w:tc>
      </w:tr>
      <w:tr w:rsidR="00E941A9" w14:paraId="35D9E9D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CD" w14:textId="77777777" w:rsidR="00E941A9" w:rsidRDefault="00012B40">
            <w:pPr>
              <w:pStyle w:val="BodyDA"/>
            </w:pPr>
            <w:r>
              <w:rPr>
                <w:rFonts w:ascii="Calibri" w:hAnsi="Calibri"/>
                <w:lang w:val="en-US"/>
              </w:rPr>
              <w:t xml:space="preserve">    CRT</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CE" w14:textId="77777777" w:rsidR="00E941A9" w:rsidRDefault="00012B40">
            <w:pPr>
              <w:pStyle w:val="BodyDA"/>
              <w:jc w:val="center"/>
            </w:pPr>
            <w:r>
              <w:rPr>
                <w:rFonts w:ascii="Calibri" w:hAnsi="Calibri"/>
                <w:lang w:val="en-US"/>
              </w:rPr>
              <w:t>81 (15.6)</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CF" w14:textId="77777777" w:rsidR="00E941A9" w:rsidRDefault="00012B40">
            <w:pPr>
              <w:pStyle w:val="BodyDA"/>
              <w:jc w:val="center"/>
            </w:pPr>
            <w:r>
              <w:rPr>
                <w:rFonts w:ascii="Calibri" w:hAnsi="Calibri"/>
                <w:lang w:val="en-US"/>
              </w:rPr>
              <w:t>7 (10.3)</w:t>
            </w:r>
          </w:p>
        </w:tc>
      </w:tr>
      <w:tr w:rsidR="00E941A9" w14:paraId="35D9E9D4" w14:textId="77777777" w:rsidTr="00012B40">
        <w:trPr>
          <w:trHeight w:val="310"/>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D1" w14:textId="77777777" w:rsidR="00E941A9" w:rsidRDefault="00012B40">
            <w:pPr>
              <w:pStyle w:val="BodyDA"/>
            </w:pPr>
            <w:r>
              <w:rPr>
                <w:rFonts w:ascii="Calibri" w:hAnsi="Calibri"/>
                <w:lang w:val="en-US"/>
              </w:rPr>
              <w:t>Heart failure medication</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D2" w14:textId="77777777" w:rsidR="00E941A9" w:rsidRDefault="00E941A9"/>
        </w:tc>
        <w:tc>
          <w:tcPr>
            <w:tcW w:w="2187" w:type="dxa"/>
            <w:tcBorders>
              <w:top w:val="nil"/>
              <w:left w:val="nil"/>
              <w:bottom w:val="nil"/>
              <w:right w:val="nil"/>
            </w:tcBorders>
            <w:shd w:val="clear" w:color="auto" w:fill="auto"/>
            <w:tcMar>
              <w:top w:w="80" w:type="dxa"/>
              <w:left w:w="80" w:type="dxa"/>
              <w:bottom w:w="80" w:type="dxa"/>
              <w:right w:w="80" w:type="dxa"/>
            </w:tcMar>
          </w:tcPr>
          <w:p w14:paraId="35D9E9D3" w14:textId="77777777" w:rsidR="00E941A9" w:rsidRDefault="00E941A9"/>
        </w:tc>
      </w:tr>
      <w:tr w:rsidR="00E941A9" w14:paraId="35D9E9D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D5" w14:textId="77777777" w:rsidR="00E941A9" w:rsidRDefault="00012B40">
            <w:pPr>
              <w:pStyle w:val="BodyDA"/>
              <w:tabs>
                <w:tab w:val="left" w:pos="885"/>
                <w:tab w:val="left" w:pos="1500"/>
              </w:tabs>
            </w:pPr>
            <w:r>
              <w:rPr>
                <w:rFonts w:ascii="Calibri" w:hAnsi="Calibri"/>
                <w:lang w:val="en-US"/>
              </w:rPr>
              <w:t xml:space="preserve">    ACE inhibitor</w:t>
            </w:r>
            <w:r>
              <w:rPr>
                <w:rFonts w:ascii="Calibri" w:hAnsi="Calibri"/>
                <w:lang w:val="en-US"/>
              </w:rPr>
              <w:tab/>
            </w:r>
          </w:p>
        </w:tc>
        <w:tc>
          <w:tcPr>
            <w:tcW w:w="2050" w:type="dxa"/>
            <w:tcBorders>
              <w:top w:val="nil"/>
              <w:left w:val="nil"/>
              <w:bottom w:val="nil"/>
              <w:right w:val="nil"/>
            </w:tcBorders>
            <w:shd w:val="clear" w:color="auto" w:fill="auto"/>
            <w:tcMar>
              <w:top w:w="80" w:type="dxa"/>
              <w:left w:w="80" w:type="dxa"/>
              <w:bottom w:w="80" w:type="dxa"/>
              <w:right w:w="80" w:type="dxa"/>
            </w:tcMar>
          </w:tcPr>
          <w:p w14:paraId="35D9E9D6" w14:textId="77777777" w:rsidR="00E941A9" w:rsidRDefault="00012B40">
            <w:pPr>
              <w:pStyle w:val="BodyDA"/>
              <w:jc w:val="center"/>
            </w:pPr>
            <w:r>
              <w:rPr>
                <w:rFonts w:ascii="Calibri" w:hAnsi="Calibri"/>
                <w:lang w:val="en-US"/>
              </w:rPr>
              <w:t>211 (40.6)</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D7" w14:textId="77777777" w:rsidR="00E941A9" w:rsidRDefault="00012B40">
            <w:pPr>
              <w:pStyle w:val="BodyDA"/>
              <w:jc w:val="center"/>
            </w:pPr>
            <w:r>
              <w:rPr>
                <w:rFonts w:ascii="Calibri" w:hAnsi="Calibri"/>
                <w:lang w:val="en-US"/>
              </w:rPr>
              <w:t>30 (44.1)</w:t>
            </w:r>
          </w:p>
        </w:tc>
      </w:tr>
      <w:tr w:rsidR="00E941A9" w14:paraId="35D9E9D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D9" w14:textId="77777777" w:rsidR="00E941A9" w:rsidRDefault="00012B40">
            <w:pPr>
              <w:pStyle w:val="BodyDA"/>
            </w:pPr>
            <w:r>
              <w:rPr>
                <w:rFonts w:ascii="Calibri" w:hAnsi="Calibri"/>
                <w:lang w:val="en-US"/>
              </w:rPr>
              <w:t xml:space="preserve">    ARB</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DA" w14:textId="77777777" w:rsidR="00E941A9" w:rsidRDefault="00012B40">
            <w:pPr>
              <w:pStyle w:val="BodyDA"/>
              <w:jc w:val="center"/>
            </w:pPr>
            <w:r>
              <w:rPr>
                <w:rFonts w:ascii="Calibri" w:hAnsi="Calibri"/>
                <w:lang w:val="en-US"/>
              </w:rPr>
              <w:t>132 (25.4)</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DB" w14:textId="77777777" w:rsidR="00E941A9" w:rsidRDefault="00012B40">
            <w:pPr>
              <w:pStyle w:val="BodyDA"/>
              <w:jc w:val="center"/>
            </w:pPr>
            <w:r>
              <w:rPr>
                <w:rFonts w:ascii="Calibri" w:hAnsi="Calibri"/>
                <w:lang w:val="en-US"/>
              </w:rPr>
              <w:t>19 (27.9)</w:t>
            </w:r>
          </w:p>
        </w:tc>
      </w:tr>
      <w:tr w:rsidR="00E941A9" w14:paraId="35D9E9E0"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DD" w14:textId="77777777" w:rsidR="00E941A9" w:rsidRDefault="00012B40">
            <w:pPr>
              <w:pStyle w:val="BodyDA"/>
            </w:pPr>
            <w:r>
              <w:rPr>
                <w:rFonts w:ascii="Calibri" w:hAnsi="Calibri"/>
                <w:lang w:val="en-US"/>
              </w:rPr>
              <w:t xml:space="preserve">    ARNi</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DE" w14:textId="77777777" w:rsidR="00E941A9" w:rsidRDefault="00012B40">
            <w:pPr>
              <w:pStyle w:val="BodyDA"/>
              <w:jc w:val="center"/>
            </w:pPr>
            <w:r>
              <w:rPr>
                <w:rFonts w:ascii="Calibri" w:hAnsi="Calibri"/>
                <w:lang w:val="en-US"/>
              </w:rPr>
              <w:t>109 (21.0)</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DF" w14:textId="77777777" w:rsidR="00E941A9" w:rsidRDefault="00012B40">
            <w:pPr>
              <w:pStyle w:val="BodyDA"/>
              <w:jc w:val="center"/>
            </w:pPr>
            <w:r>
              <w:rPr>
                <w:rFonts w:ascii="Calibri" w:hAnsi="Calibri"/>
                <w:lang w:val="en-US"/>
              </w:rPr>
              <w:t>7 (10.3)</w:t>
            </w:r>
          </w:p>
        </w:tc>
      </w:tr>
      <w:tr w:rsidR="00E941A9" w14:paraId="35D9E9E4"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E1" w14:textId="77777777" w:rsidR="00E941A9" w:rsidRDefault="00012B40">
            <w:pPr>
              <w:pStyle w:val="BodyDA"/>
            </w:pPr>
            <w:r>
              <w:rPr>
                <w:rFonts w:ascii="Calibri" w:hAnsi="Calibri"/>
                <w:lang w:val="en-US"/>
              </w:rPr>
              <w:t xml:space="preserve">    Diuretic other than MRA</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E2" w14:textId="77777777" w:rsidR="00E941A9" w:rsidRDefault="00012B40">
            <w:pPr>
              <w:pStyle w:val="BodyDA"/>
              <w:jc w:val="center"/>
            </w:pPr>
            <w:r>
              <w:rPr>
                <w:rFonts w:ascii="Calibri" w:hAnsi="Calibri"/>
                <w:lang w:val="en-US"/>
              </w:rPr>
              <w:t>489 (94.0)</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E3" w14:textId="77777777" w:rsidR="00E941A9" w:rsidRDefault="00012B40">
            <w:pPr>
              <w:pStyle w:val="BodyDA"/>
              <w:jc w:val="center"/>
            </w:pPr>
            <w:r>
              <w:rPr>
                <w:rFonts w:ascii="Calibri" w:hAnsi="Calibri"/>
                <w:lang w:val="en-US"/>
              </w:rPr>
              <w:t>65 (95.6)</w:t>
            </w:r>
          </w:p>
        </w:tc>
      </w:tr>
      <w:tr w:rsidR="00E941A9" w14:paraId="35D9E9E8"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E5" w14:textId="77777777" w:rsidR="00E941A9" w:rsidRDefault="00012B40">
            <w:pPr>
              <w:pStyle w:val="BodyDA"/>
            </w:pPr>
            <w:r>
              <w:rPr>
                <w:rFonts w:ascii="Calibri" w:hAnsi="Calibri"/>
                <w:lang w:val="en-US"/>
              </w:rPr>
              <w:t xml:space="preserve">    MRA</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E6" w14:textId="77777777" w:rsidR="00E941A9" w:rsidRDefault="00012B40">
            <w:pPr>
              <w:pStyle w:val="BodyDA"/>
              <w:jc w:val="center"/>
            </w:pPr>
            <w:r>
              <w:rPr>
                <w:rFonts w:ascii="Calibri" w:hAnsi="Calibri"/>
                <w:lang w:val="en-US"/>
              </w:rPr>
              <w:t>349 (67.1)</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E7" w14:textId="77777777" w:rsidR="00E941A9" w:rsidRDefault="00012B40">
            <w:pPr>
              <w:pStyle w:val="BodyDA"/>
              <w:jc w:val="center"/>
            </w:pPr>
            <w:r>
              <w:rPr>
                <w:rFonts w:ascii="Calibri" w:hAnsi="Calibri"/>
                <w:lang w:val="en-US"/>
              </w:rPr>
              <w:t>51 (75.0)</w:t>
            </w:r>
          </w:p>
        </w:tc>
      </w:tr>
      <w:tr w:rsidR="00E941A9" w14:paraId="35D9E9EC" w14:textId="77777777" w:rsidTr="00012B40">
        <w:trPr>
          <w:trHeight w:val="293"/>
          <w:jc w:val="center"/>
        </w:trPr>
        <w:tc>
          <w:tcPr>
            <w:tcW w:w="4783" w:type="dxa"/>
            <w:tcBorders>
              <w:top w:val="nil"/>
              <w:left w:val="nil"/>
              <w:bottom w:val="nil"/>
              <w:right w:val="nil"/>
            </w:tcBorders>
            <w:shd w:val="clear" w:color="auto" w:fill="auto"/>
            <w:tcMar>
              <w:top w:w="80" w:type="dxa"/>
              <w:left w:w="80" w:type="dxa"/>
              <w:bottom w:w="80" w:type="dxa"/>
              <w:right w:w="80" w:type="dxa"/>
            </w:tcMar>
          </w:tcPr>
          <w:p w14:paraId="35D9E9E9" w14:textId="77777777" w:rsidR="00E941A9" w:rsidRDefault="00012B40">
            <w:pPr>
              <w:pStyle w:val="BodyDA"/>
            </w:pPr>
            <w:r>
              <w:rPr>
                <w:rFonts w:ascii="Calibri" w:hAnsi="Calibri"/>
                <w:lang w:val="en-US"/>
              </w:rPr>
              <w:t xml:space="preserve">    Beta blocker</w:t>
            </w:r>
          </w:p>
        </w:tc>
        <w:tc>
          <w:tcPr>
            <w:tcW w:w="2050" w:type="dxa"/>
            <w:tcBorders>
              <w:top w:val="nil"/>
              <w:left w:val="nil"/>
              <w:bottom w:val="nil"/>
              <w:right w:val="nil"/>
            </w:tcBorders>
            <w:shd w:val="clear" w:color="auto" w:fill="auto"/>
            <w:tcMar>
              <w:top w:w="80" w:type="dxa"/>
              <w:left w:w="80" w:type="dxa"/>
              <w:bottom w:w="80" w:type="dxa"/>
              <w:right w:w="80" w:type="dxa"/>
            </w:tcMar>
          </w:tcPr>
          <w:p w14:paraId="35D9E9EA" w14:textId="77777777" w:rsidR="00E941A9" w:rsidRDefault="00012B40">
            <w:pPr>
              <w:pStyle w:val="BodyDA"/>
              <w:jc w:val="center"/>
            </w:pPr>
            <w:r>
              <w:rPr>
                <w:rFonts w:ascii="Calibri" w:hAnsi="Calibri"/>
                <w:lang w:val="en-US"/>
              </w:rPr>
              <w:t>482 (92.7)</w:t>
            </w:r>
          </w:p>
        </w:tc>
        <w:tc>
          <w:tcPr>
            <w:tcW w:w="2187" w:type="dxa"/>
            <w:tcBorders>
              <w:top w:val="nil"/>
              <w:left w:val="nil"/>
              <w:bottom w:val="nil"/>
              <w:right w:val="nil"/>
            </w:tcBorders>
            <w:shd w:val="clear" w:color="auto" w:fill="auto"/>
            <w:tcMar>
              <w:top w:w="80" w:type="dxa"/>
              <w:left w:w="80" w:type="dxa"/>
              <w:bottom w:w="80" w:type="dxa"/>
              <w:right w:w="80" w:type="dxa"/>
            </w:tcMar>
          </w:tcPr>
          <w:p w14:paraId="35D9E9EB" w14:textId="77777777" w:rsidR="00E941A9" w:rsidRDefault="00012B40">
            <w:pPr>
              <w:pStyle w:val="BodyDA"/>
              <w:jc w:val="center"/>
            </w:pPr>
            <w:r>
              <w:rPr>
                <w:rFonts w:ascii="Calibri" w:hAnsi="Calibri"/>
                <w:lang w:val="en-US"/>
              </w:rPr>
              <w:t>67 (98.5)</w:t>
            </w:r>
          </w:p>
        </w:tc>
      </w:tr>
      <w:tr w:rsidR="00E941A9" w14:paraId="35D9E9F0" w14:textId="77777777" w:rsidTr="00012B40">
        <w:trPr>
          <w:trHeight w:val="288"/>
          <w:jc w:val="center"/>
        </w:trPr>
        <w:tc>
          <w:tcPr>
            <w:tcW w:w="4783" w:type="dxa"/>
            <w:tcBorders>
              <w:top w:val="nil"/>
              <w:left w:val="nil"/>
              <w:bottom w:val="single" w:sz="4" w:space="0" w:color="000000"/>
              <w:right w:val="nil"/>
            </w:tcBorders>
            <w:shd w:val="clear" w:color="auto" w:fill="auto"/>
            <w:tcMar>
              <w:top w:w="80" w:type="dxa"/>
              <w:left w:w="80" w:type="dxa"/>
              <w:bottom w:w="80" w:type="dxa"/>
              <w:right w:w="80" w:type="dxa"/>
            </w:tcMar>
          </w:tcPr>
          <w:p w14:paraId="35D9E9ED" w14:textId="77777777" w:rsidR="00E941A9" w:rsidRDefault="00012B40">
            <w:pPr>
              <w:pStyle w:val="BodyDA"/>
            </w:pPr>
            <w:r>
              <w:rPr>
                <w:rFonts w:ascii="Calibri" w:hAnsi="Calibri"/>
                <w:lang w:val="en-US"/>
              </w:rPr>
              <w:t>Duration of HHF stay*, median (IQR)</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tcPr>
          <w:p w14:paraId="35D9E9EE" w14:textId="77777777" w:rsidR="00E941A9" w:rsidRDefault="00012B40">
            <w:pPr>
              <w:pStyle w:val="BodyDA"/>
              <w:jc w:val="center"/>
            </w:pPr>
            <w:r>
              <w:rPr>
                <w:rFonts w:ascii="Calibri" w:hAnsi="Calibri"/>
                <w:lang w:val="en-US"/>
              </w:rPr>
              <w:t>9 (6</w:t>
            </w:r>
            <w:r>
              <w:rPr>
                <w:rFonts w:ascii="Calibri" w:hAnsi="Calibri"/>
                <w:lang w:val="en-US"/>
              </w:rPr>
              <w:t>–</w:t>
            </w:r>
            <w:r>
              <w:rPr>
                <w:rFonts w:ascii="Calibri" w:hAnsi="Calibri"/>
                <w:lang w:val="en-US"/>
              </w:rPr>
              <w:t>16)</w:t>
            </w:r>
          </w:p>
        </w:tc>
        <w:tc>
          <w:tcPr>
            <w:tcW w:w="2187" w:type="dxa"/>
            <w:tcBorders>
              <w:top w:val="nil"/>
              <w:left w:val="nil"/>
              <w:bottom w:val="single" w:sz="4" w:space="0" w:color="000000"/>
              <w:right w:val="nil"/>
            </w:tcBorders>
            <w:shd w:val="clear" w:color="auto" w:fill="auto"/>
            <w:tcMar>
              <w:top w:w="80" w:type="dxa"/>
              <w:left w:w="80" w:type="dxa"/>
              <w:bottom w:w="80" w:type="dxa"/>
              <w:right w:w="80" w:type="dxa"/>
            </w:tcMar>
          </w:tcPr>
          <w:p w14:paraId="35D9E9EF" w14:textId="77777777" w:rsidR="00E941A9" w:rsidRDefault="00012B40">
            <w:pPr>
              <w:pStyle w:val="BodyDA"/>
              <w:jc w:val="center"/>
            </w:pPr>
            <w:r>
              <w:rPr>
                <w:rFonts w:ascii="Calibri" w:hAnsi="Calibri"/>
                <w:lang w:val="en-US"/>
              </w:rPr>
              <w:t>8 (5</w:t>
            </w:r>
            <w:r>
              <w:rPr>
                <w:rFonts w:ascii="Calibri" w:hAnsi="Calibri"/>
                <w:lang w:val="en-US"/>
              </w:rPr>
              <w:t>–</w:t>
            </w:r>
            <w:r>
              <w:rPr>
                <w:rFonts w:ascii="Calibri" w:hAnsi="Calibri"/>
                <w:lang w:val="en-US"/>
              </w:rPr>
              <w:t>12)</w:t>
            </w:r>
          </w:p>
        </w:tc>
      </w:tr>
    </w:tbl>
    <w:p w14:paraId="35D9E9F4" w14:textId="77777777" w:rsidR="00E941A9" w:rsidRDefault="00012B40">
      <w:pPr>
        <w:pStyle w:val="BodyBA"/>
        <w:spacing w:line="480" w:lineRule="auto"/>
        <w:rPr>
          <w:rFonts w:ascii="Calibri" w:eastAsia="Calibri" w:hAnsi="Calibri" w:cs="Calibri"/>
        </w:rPr>
      </w:pPr>
      <w:r>
        <w:rPr>
          <w:rFonts w:ascii="Calibri" w:hAnsi="Calibri"/>
        </w:rPr>
        <w:t xml:space="preserve">Data are n (%) or mean +/-SD, unless otherwise stated. </w:t>
      </w:r>
    </w:p>
    <w:p w14:paraId="35D9E9F5" w14:textId="77777777" w:rsidR="00E941A9" w:rsidRDefault="00012B40">
      <w:pPr>
        <w:pStyle w:val="BodyBA"/>
        <w:spacing w:line="480" w:lineRule="auto"/>
        <w:rPr>
          <w:rFonts w:ascii="Calibri" w:eastAsia="Calibri" w:hAnsi="Calibri" w:cs="Calibri"/>
        </w:rPr>
      </w:pPr>
      <w:r>
        <w:rPr>
          <w:rFonts w:ascii="Calibri" w:hAnsi="Calibri"/>
          <w:vertAlign w:val="superscript"/>
        </w:rPr>
        <w:t>*</w:t>
      </w:r>
      <w:r>
        <w:rPr>
          <w:rFonts w:ascii="Calibri" w:hAnsi="Calibri"/>
        </w:rPr>
        <w:t>Duration of HHF stay calculation is based on all HHF events and not restricted to first event.</w:t>
      </w:r>
    </w:p>
    <w:p w14:paraId="35D9E9F6" w14:textId="77777777" w:rsidR="00E941A9" w:rsidRDefault="00012B40">
      <w:pPr>
        <w:pStyle w:val="BodyBA"/>
        <w:spacing w:line="480" w:lineRule="auto"/>
        <w:rPr>
          <w:rFonts w:ascii="Calibri" w:eastAsia="Calibri" w:hAnsi="Calibri" w:cs="Calibri"/>
        </w:rPr>
      </w:pPr>
      <w:r>
        <w:rPr>
          <w:rFonts w:ascii="Calibri" w:hAnsi="Calibri"/>
        </w:rPr>
        <w:t xml:space="preserve">ACE indicates </w:t>
      </w:r>
      <w:r>
        <w:rPr>
          <w:rFonts w:ascii="Calibri" w:hAnsi="Calibri"/>
        </w:rPr>
        <w:t>angiotensin-converting enzyme; ARB, angiotensin receptor blocker; ARNI, angiotensin receptor neprilysin inhibitor; CRT-D, cardiac resynchronization therapy defibrillator; diabetes mellitus; eGFR, estimated glomerular filtration rate; HHF, hospitalization f</w:t>
      </w:r>
      <w:r>
        <w:rPr>
          <w:rFonts w:ascii="Calibri" w:hAnsi="Calibri"/>
        </w:rPr>
        <w:t>or heart failure; ICD, implantable cardioverter defibrillator; MRA, mineralocorticoid receptor antagonist; NYHA, New York Heart Association; NT-proBNP, N-terminal-prohormone brain natriuretic peptide; and SCTI, Standardized Data Collection for Cardiovascul</w:t>
      </w:r>
      <w:r>
        <w:rPr>
          <w:rFonts w:ascii="Calibri" w:hAnsi="Calibri"/>
        </w:rPr>
        <w:t>ar Trials Initiative.</w:t>
      </w:r>
    </w:p>
    <w:p w14:paraId="35D9E9F7" w14:textId="77777777" w:rsidR="00E941A9" w:rsidRDefault="00E941A9">
      <w:pPr>
        <w:pStyle w:val="BodyBA"/>
        <w:rPr>
          <w:rFonts w:ascii="Calibri" w:eastAsia="Calibri" w:hAnsi="Calibri" w:cs="Calibri"/>
        </w:rPr>
      </w:pPr>
    </w:p>
    <w:p w14:paraId="35D9E9F8" w14:textId="77777777" w:rsidR="00E941A9" w:rsidRDefault="00E941A9">
      <w:pPr>
        <w:pStyle w:val="Body"/>
        <w:sectPr w:rsidR="00E941A9">
          <w:headerReference w:type="default" r:id="rId7"/>
          <w:footerReference w:type="default" r:id="rId8"/>
          <w:pgSz w:w="11900" w:h="16840"/>
          <w:pgMar w:top="1440" w:right="1440" w:bottom="1440" w:left="1440" w:header="708" w:footer="708" w:gutter="0"/>
          <w:cols w:space="720"/>
        </w:sectPr>
      </w:pPr>
    </w:p>
    <w:p w14:paraId="35D9E9FA" w14:textId="455CEEF2" w:rsidR="00E941A9" w:rsidRPr="00012B40" w:rsidRDefault="00012B40" w:rsidP="00012B40">
      <w:pPr>
        <w:pStyle w:val="Body"/>
        <w:rPr>
          <w:rFonts w:ascii="Calibri" w:eastAsia="Calibri" w:hAnsi="Calibri" w:cs="Calibri"/>
        </w:rPr>
      </w:pPr>
      <w:r>
        <w:rPr>
          <w:rFonts w:ascii="Calibri" w:hAnsi="Calibri"/>
          <w:b/>
          <w:bCs/>
        </w:rPr>
        <w:t>Supplementa</w:t>
      </w:r>
      <w:r w:rsidR="003B4E4D">
        <w:rPr>
          <w:rFonts w:ascii="Calibri" w:hAnsi="Calibri"/>
          <w:b/>
          <w:bCs/>
        </w:rPr>
        <w:t>l</w:t>
      </w:r>
      <w:r>
        <w:rPr>
          <w:rFonts w:ascii="Calibri" w:hAnsi="Calibri"/>
          <w:b/>
          <w:bCs/>
        </w:rPr>
        <w:t xml:space="preserve"> Table 3</w:t>
      </w:r>
      <w:r>
        <w:rPr>
          <w:rFonts w:ascii="Calibri" w:hAnsi="Calibri"/>
          <w:b/>
          <w:bCs/>
          <w:sz w:val="22"/>
          <w:szCs w:val="22"/>
        </w:rPr>
        <w:t xml:space="preserve">: </w:t>
      </w:r>
      <w:r>
        <w:rPr>
          <w:rFonts w:ascii="Calibri" w:hAnsi="Calibri"/>
          <w:sz w:val="22"/>
          <w:szCs w:val="22"/>
        </w:rPr>
        <w:t>Efficacy Outcomes Based on SCTI criteria and no-SCTI criteria</w:t>
      </w:r>
    </w:p>
    <w:tbl>
      <w:tblPr>
        <w:tblW w:w="147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02"/>
        <w:gridCol w:w="1418"/>
        <w:gridCol w:w="2410"/>
        <w:gridCol w:w="1559"/>
        <w:gridCol w:w="2551"/>
        <w:gridCol w:w="1985"/>
        <w:gridCol w:w="1417"/>
      </w:tblGrid>
      <w:tr w:rsidR="00E941A9" w14:paraId="35D9EA02" w14:textId="77777777" w:rsidTr="00012B40">
        <w:trPr>
          <w:trHeight w:val="678"/>
          <w:jc w:val="center"/>
        </w:trPr>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35D9E9FB" w14:textId="77777777" w:rsidR="00E941A9" w:rsidRDefault="00012B40">
            <w:pPr>
              <w:pStyle w:val="Body"/>
              <w:jc w:val="both"/>
            </w:pPr>
            <w:r>
              <w:rPr>
                <w:rFonts w:ascii="Calibri" w:hAnsi="Calibri"/>
                <w:b/>
                <w:bCs/>
                <w:lang w:val="de-DE"/>
                <w14:textOutline w14:w="12700" w14:cap="flat" w14:cmpd="sng" w14:algn="ctr">
                  <w14:noFill/>
                  <w14:prstDash w14:val="solid"/>
                  <w14:miter w14:lim="400000"/>
                </w14:textOutline>
              </w:rPr>
              <w:t>Endpoint</w:t>
            </w:r>
          </w:p>
        </w:tc>
        <w:tc>
          <w:tcPr>
            <w:tcW w:w="3828"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5D9E9FC" w14:textId="77777777" w:rsidR="00E941A9" w:rsidRDefault="00012B40">
            <w:pPr>
              <w:pStyle w:val="Body"/>
              <w:jc w:val="center"/>
              <w:rPr>
                <w:rFonts w:ascii="Calibri" w:eastAsia="Calibri" w:hAnsi="Calibri" w:cs="Calibri"/>
                <w:b/>
                <w:bCs/>
                <w14:textOutline w14:w="12700" w14:cap="flat" w14:cmpd="sng" w14:algn="ctr">
                  <w14:noFill/>
                  <w14:prstDash w14:val="solid"/>
                  <w14:miter w14:lim="400000"/>
                </w14:textOutline>
              </w:rPr>
            </w:pPr>
            <w:r>
              <w:rPr>
                <w:rFonts w:ascii="Calibri" w:hAnsi="Calibri"/>
                <w:b/>
                <w:bCs/>
                <w:lang w:val="de-DE"/>
                <w14:textOutline w14:w="12700" w14:cap="flat" w14:cmpd="sng" w14:algn="ctr">
                  <w14:noFill/>
                  <w14:prstDash w14:val="solid"/>
                  <w14:miter w14:lim="400000"/>
                </w14:textOutline>
              </w:rPr>
              <w:t>Placebo</w:t>
            </w:r>
          </w:p>
          <w:p w14:paraId="35D9E9FD" w14:textId="77777777" w:rsidR="00E941A9" w:rsidRDefault="00012B40">
            <w:pPr>
              <w:pStyle w:val="Body"/>
              <w:jc w:val="center"/>
            </w:pPr>
            <w:r>
              <w:rPr>
                <w:rFonts w:ascii="Calibri" w:hAnsi="Calibri"/>
                <w:b/>
                <w:bCs/>
                <w:lang w:val="de-DE"/>
                <w14:textOutline w14:w="12700" w14:cap="flat" w14:cmpd="sng" w14:algn="ctr">
                  <w14:noFill/>
                  <w14:prstDash w14:val="solid"/>
                  <w14:miter w14:lim="400000"/>
                </w14:textOutline>
              </w:rPr>
              <w:t>N=1867</w:t>
            </w:r>
          </w:p>
        </w:tc>
        <w:tc>
          <w:tcPr>
            <w:tcW w:w="4110"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5D9E9FE" w14:textId="77777777" w:rsidR="00E941A9" w:rsidRDefault="00012B40">
            <w:pPr>
              <w:pStyle w:val="Body"/>
              <w:jc w:val="center"/>
              <w:rPr>
                <w:rFonts w:ascii="Calibri" w:eastAsia="Calibri" w:hAnsi="Calibri" w:cs="Calibri"/>
                <w:b/>
                <w:bCs/>
                <w14:textOutline w14:w="12700" w14:cap="flat" w14:cmpd="sng" w14:algn="ctr">
                  <w14:noFill/>
                  <w14:prstDash w14:val="solid"/>
                  <w14:miter w14:lim="400000"/>
                </w14:textOutline>
              </w:rPr>
            </w:pPr>
            <w:r>
              <w:rPr>
                <w:rFonts w:ascii="Calibri" w:hAnsi="Calibri"/>
                <w:b/>
                <w:bCs/>
                <w:lang w:val="de-DE"/>
                <w14:textOutline w14:w="12700" w14:cap="flat" w14:cmpd="sng" w14:algn="ctr">
                  <w14:noFill/>
                  <w14:prstDash w14:val="solid"/>
                  <w14:miter w14:lim="400000"/>
                </w14:textOutline>
              </w:rPr>
              <w:t>Empagliflozin</w:t>
            </w:r>
          </w:p>
          <w:p w14:paraId="35D9E9FF" w14:textId="77777777" w:rsidR="00E941A9" w:rsidRDefault="00012B40">
            <w:pPr>
              <w:pStyle w:val="Body"/>
              <w:jc w:val="center"/>
            </w:pPr>
            <w:r>
              <w:rPr>
                <w:rFonts w:ascii="Calibri" w:hAnsi="Calibri"/>
                <w:b/>
                <w:bCs/>
                <w:lang w:val="de-DE"/>
                <w14:textOutline w14:w="12700" w14:cap="flat" w14:cmpd="sng" w14:algn="ctr">
                  <w14:noFill/>
                  <w14:prstDash w14:val="solid"/>
                  <w14:miter w14:lim="400000"/>
                </w14:textOutline>
              </w:rPr>
              <w:t>N=1863</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tcPr>
          <w:p w14:paraId="35D9EA00" w14:textId="77777777" w:rsidR="00E941A9" w:rsidRDefault="00012B40">
            <w:pPr>
              <w:pStyle w:val="Body"/>
              <w:jc w:val="center"/>
            </w:pPr>
            <w:r>
              <w:rPr>
                <w:rFonts w:ascii="Calibri" w:hAnsi="Calibri"/>
                <w:b/>
                <w:bCs/>
                <w:lang w:val="de-DE"/>
                <w14:textOutline w14:w="12700" w14:cap="flat" w14:cmpd="sng" w14:algn="ctr">
                  <w14:noFill/>
                  <w14:prstDash w14:val="solid"/>
                  <w14:miter w14:lim="400000"/>
                </w14:textOutline>
              </w:rPr>
              <w:t>HR (95% CI)</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14:paraId="35D9EA01" w14:textId="77777777" w:rsidR="00E941A9" w:rsidRDefault="00012B40">
            <w:pPr>
              <w:pStyle w:val="Body"/>
              <w:jc w:val="center"/>
            </w:pPr>
            <w:r>
              <w:rPr>
                <w:rFonts w:ascii="Calibri" w:hAnsi="Calibri"/>
                <w:b/>
                <w:bCs/>
                <w:lang w:val="de-DE"/>
                <w14:textOutline w14:w="12700" w14:cap="flat" w14:cmpd="sng" w14:algn="ctr">
                  <w14:noFill/>
                  <w14:prstDash w14:val="solid"/>
                  <w14:miter w14:lim="400000"/>
                </w14:textOutline>
              </w:rPr>
              <w:t>p-value</w:t>
            </w:r>
          </w:p>
        </w:tc>
      </w:tr>
      <w:tr w:rsidR="00E941A9" w14:paraId="35D9EA0C" w14:textId="77777777" w:rsidTr="00012B40">
        <w:trPr>
          <w:trHeight w:val="568"/>
          <w:jc w:val="center"/>
        </w:trPr>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35D9EA03" w14:textId="77777777" w:rsidR="00E941A9" w:rsidRDefault="00E941A9"/>
        </w:tc>
        <w:tc>
          <w:tcPr>
            <w:tcW w:w="1418" w:type="dxa"/>
            <w:tcBorders>
              <w:top w:val="nil"/>
              <w:left w:val="nil"/>
              <w:bottom w:val="single" w:sz="4" w:space="0" w:color="000000"/>
              <w:right w:val="nil"/>
            </w:tcBorders>
            <w:shd w:val="clear" w:color="auto" w:fill="auto"/>
            <w:tcMar>
              <w:top w:w="80" w:type="dxa"/>
              <w:left w:w="80" w:type="dxa"/>
              <w:bottom w:w="80" w:type="dxa"/>
              <w:right w:w="80" w:type="dxa"/>
            </w:tcMar>
          </w:tcPr>
          <w:p w14:paraId="35D9EA04"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N (%)</w:t>
            </w:r>
          </w:p>
        </w:tc>
        <w:tc>
          <w:tcPr>
            <w:tcW w:w="2410" w:type="dxa"/>
            <w:tcBorders>
              <w:top w:val="nil"/>
              <w:left w:val="nil"/>
              <w:bottom w:val="single" w:sz="4" w:space="0" w:color="000000"/>
              <w:right w:val="nil"/>
            </w:tcBorders>
            <w:shd w:val="clear" w:color="auto" w:fill="auto"/>
            <w:tcMar>
              <w:top w:w="80" w:type="dxa"/>
              <w:left w:w="80" w:type="dxa"/>
              <w:bottom w:w="80" w:type="dxa"/>
              <w:right w:w="80" w:type="dxa"/>
            </w:tcMar>
          </w:tcPr>
          <w:p w14:paraId="35D9EA05" w14:textId="77777777" w:rsidR="00E941A9" w:rsidRDefault="00012B40">
            <w:pPr>
              <w:pStyle w:val="Body"/>
              <w:jc w:val="center"/>
              <w:rPr>
                <w:rFonts w:ascii="Calibri" w:eastAsia="Calibri" w:hAnsi="Calibri" w:cs="Calibri"/>
                <w14:textOutline w14:w="12700" w14:cap="flat" w14:cmpd="sng" w14:algn="ctr">
                  <w14:noFill/>
                  <w14:prstDash w14:val="solid"/>
                  <w14:miter w14:lim="400000"/>
                </w14:textOutline>
              </w:rPr>
            </w:pPr>
            <w:r>
              <w:rPr>
                <w:rFonts w:ascii="Calibri" w:hAnsi="Calibri"/>
                <w:lang w:val="de-DE"/>
                <w14:textOutline w14:w="12700" w14:cap="flat" w14:cmpd="sng" w14:algn="ctr">
                  <w14:noFill/>
                  <w14:prstDash w14:val="solid"/>
                  <w14:miter w14:lim="400000"/>
                </w14:textOutline>
              </w:rPr>
              <w:t>Inc. rate per 100pt</w:t>
            </w:r>
          </w:p>
          <w:p w14:paraId="35D9EA06"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years (95% CI)</w:t>
            </w:r>
          </w:p>
        </w:tc>
        <w:tc>
          <w:tcPr>
            <w:tcW w:w="1559" w:type="dxa"/>
            <w:tcBorders>
              <w:top w:val="nil"/>
              <w:left w:val="nil"/>
              <w:bottom w:val="single" w:sz="4" w:space="0" w:color="000000"/>
              <w:right w:val="nil"/>
            </w:tcBorders>
            <w:shd w:val="clear" w:color="auto" w:fill="auto"/>
            <w:tcMar>
              <w:top w:w="80" w:type="dxa"/>
              <w:left w:w="80" w:type="dxa"/>
              <w:bottom w:w="80" w:type="dxa"/>
              <w:right w:w="80" w:type="dxa"/>
            </w:tcMar>
          </w:tcPr>
          <w:p w14:paraId="35D9EA07"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N (%)</w:t>
            </w:r>
          </w:p>
        </w:tc>
        <w:tc>
          <w:tcPr>
            <w:tcW w:w="2551" w:type="dxa"/>
            <w:tcBorders>
              <w:top w:val="nil"/>
              <w:left w:val="nil"/>
              <w:bottom w:val="single" w:sz="4" w:space="0" w:color="000000"/>
              <w:right w:val="nil"/>
            </w:tcBorders>
            <w:shd w:val="clear" w:color="auto" w:fill="auto"/>
            <w:tcMar>
              <w:top w:w="80" w:type="dxa"/>
              <w:left w:w="80" w:type="dxa"/>
              <w:bottom w:w="80" w:type="dxa"/>
              <w:right w:w="80" w:type="dxa"/>
            </w:tcMar>
          </w:tcPr>
          <w:p w14:paraId="35D9EA08" w14:textId="77777777" w:rsidR="00E941A9" w:rsidRDefault="00012B40">
            <w:pPr>
              <w:pStyle w:val="Body"/>
              <w:jc w:val="center"/>
              <w:rPr>
                <w:rFonts w:ascii="Calibri" w:eastAsia="Calibri" w:hAnsi="Calibri" w:cs="Calibri"/>
                <w14:textOutline w14:w="12700" w14:cap="flat" w14:cmpd="sng" w14:algn="ctr">
                  <w14:noFill/>
                  <w14:prstDash w14:val="solid"/>
                  <w14:miter w14:lim="400000"/>
                </w14:textOutline>
              </w:rPr>
            </w:pPr>
            <w:r>
              <w:rPr>
                <w:rFonts w:ascii="Calibri" w:hAnsi="Calibri"/>
                <w:lang w:val="de-DE"/>
                <w14:textOutline w14:w="12700" w14:cap="flat" w14:cmpd="sng" w14:algn="ctr">
                  <w14:noFill/>
                  <w14:prstDash w14:val="solid"/>
                  <w14:miter w14:lim="400000"/>
                </w14:textOutline>
              </w:rPr>
              <w:t>Inc. rate per 100pt</w:t>
            </w:r>
          </w:p>
          <w:p w14:paraId="35D9EA09"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years (9</w:t>
            </w:r>
            <w:r>
              <w:rPr>
                <w:rFonts w:ascii="Calibri" w:hAnsi="Calibri"/>
                <w:lang w:val="de-DE"/>
                <w14:textOutline w14:w="12700" w14:cap="flat" w14:cmpd="sng" w14:algn="ctr">
                  <w14:noFill/>
                  <w14:prstDash w14:val="solid"/>
                  <w14:miter w14:lim="400000"/>
                </w14:textOutline>
              </w:rPr>
              <w:t>5% CI)</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tcPr>
          <w:p w14:paraId="35D9EA0A" w14:textId="77777777" w:rsidR="00E941A9" w:rsidRDefault="00E941A9"/>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35D9EA0B" w14:textId="77777777" w:rsidR="00E941A9" w:rsidRDefault="00E941A9"/>
        </w:tc>
      </w:tr>
      <w:tr w:rsidR="00E941A9" w14:paraId="35D9EA14" w14:textId="77777777" w:rsidTr="00012B40">
        <w:trPr>
          <w:trHeight w:val="678"/>
          <w:jc w:val="center"/>
        </w:trPr>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35D9EA0D" w14:textId="77777777" w:rsidR="00E941A9" w:rsidRDefault="00012B40">
            <w:pPr>
              <w:pStyle w:val="Body"/>
            </w:pPr>
            <w:r>
              <w:rPr>
                <w:rFonts w:ascii="Calibri" w:hAnsi="Calibri"/>
                <w:b/>
                <w:bCs/>
                <w:lang w:val="de-DE"/>
                <w14:textOutline w14:w="12700" w14:cap="flat" w14:cmpd="sng" w14:algn="ctr">
                  <w14:noFill/>
                  <w14:prstDash w14:val="solid"/>
                  <w14:miter w14:lim="400000"/>
                </w14:textOutline>
              </w:rPr>
              <w:t>Time to first HHF or CV death,  incl.</w:t>
            </w:r>
            <w:r>
              <w:rPr>
                <w:rFonts w:ascii="Calibri" w:hAnsi="Calibri"/>
                <w:b/>
                <w:bCs/>
                <w:lang w:val="de-DE"/>
                <w14:textOutline w14:w="12700" w14:cap="flat" w14:cmpd="sng" w14:algn="ctr">
                  <w14:noFill/>
                  <w14:prstDash w14:val="solid"/>
                  <w14:miter w14:lim="400000"/>
                </w14:textOutline>
              </w:rPr>
              <w:t> </w:t>
            </w:r>
            <w:r>
              <w:rPr>
                <w:rFonts w:ascii="Calibri" w:hAnsi="Calibri"/>
                <w:b/>
                <w:bCs/>
                <w:lang w:val="de-DE"/>
                <w14:textOutline w14:w="12700" w14:cap="flat" w14:cmpd="sng" w14:algn="ctr">
                  <w14:noFill/>
                  <w14:prstDash w14:val="solid"/>
                  <w14:miter w14:lim="400000"/>
                </w14:textOutline>
              </w:rPr>
              <w:t>non-SCTI</w:t>
            </w:r>
          </w:p>
        </w:tc>
        <w:tc>
          <w:tcPr>
            <w:tcW w:w="1418" w:type="dxa"/>
            <w:tcBorders>
              <w:top w:val="single" w:sz="4" w:space="0" w:color="000000"/>
              <w:left w:val="nil"/>
              <w:bottom w:val="nil"/>
              <w:right w:val="nil"/>
            </w:tcBorders>
            <w:shd w:val="clear" w:color="auto" w:fill="auto"/>
            <w:tcMar>
              <w:top w:w="80" w:type="dxa"/>
              <w:left w:w="80" w:type="dxa"/>
              <w:bottom w:w="80" w:type="dxa"/>
              <w:right w:w="80" w:type="dxa"/>
            </w:tcMar>
          </w:tcPr>
          <w:p w14:paraId="35D9EA0E"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462 (24.7)</w:t>
            </w:r>
          </w:p>
        </w:tc>
        <w:tc>
          <w:tcPr>
            <w:tcW w:w="2410" w:type="dxa"/>
            <w:tcBorders>
              <w:top w:val="single" w:sz="4" w:space="0" w:color="000000"/>
              <w:left w:val="nil"/>
              <w:bottom w:val="nil"/>
              <w:right w:val="nil"/>
            </w:tcBorders>
            <w:shd w:val="clear" w:color="auto" w:fill="auto"/>
            <w:tcMar>
              <w:top w:w="80" w:type="dxa"/>
              <w:left w:w="80" w:type="dxa"/>
              <w:bottom w:w="80" w:type="dxa"/>
              <w:right w:w="80" w:type="dxa"/>
            </w:tcMar>
          </w:tcPr>
          <w:p w14:paraId="35D9EA0F"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21.00 (19.13, 22.96)</w:t>
            </w:r>
          </w:p>
        </w:tc>
        <w:tc>
          <w:tcPr>
            <w:tcW w:w="1559" w:type="dxa"/>
            <w:tcBorders>
              <w:top w:val="single" w:sz="4" w:space="0" w:color="000000"/>
              <w:left w:val="nil"/>
              <w:bottom w:val="nil"/>
              <w:right w:val="nil"/>
            </w:tcBorders>
            <w:shd w:val="clear" w:color="auto" w:fill="auto"/>
            <w:tcMar>
              <w:top w:w="80" w:type="dxa"/>
              <w:left w:w="80" w:type="dxa"/>
              <w:bottom w:w="80" w:type="dxa"/>
              <w:right w:w="80" w:type="dxa"/>
            </w:tcMar>
          </w:tcPr>
          <w:p w14:paraId="35D9EA10"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361 (19.4)</w:t>
            </w:r>
          </w:p>
        </w:tc>
        <w:tc>
          <w:tcPr>
            <w:tcW w:w="2551" w:type="dxa"/>
            <w:tcBorders>
              <w:top w:val="single" w:sz="4" w:space="0" w:color="000000"/>
              <w:left w:val="nil"/>
              <w:bottom w:val="nil"/>
              <w:right w:val="nil"/>
            </w:tcBorders>
            <w:shd w:val="clear" w:color="auto" w:fill="auto"/>
            <w:tcMar>
              <w:top w:w="80" w:type="dxa"/>
              <w:left w:w="80" w:type="dxa"/>
              <w:bottom w:w="80" w:type="dxa"/>
              <w:right w:w="80" w:type="dxa"/>
            </w:tcMar>
          </w:tcPr>
          <w:p w14:paraId="35D9EA11"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15.77 (14.19, 17.44)</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tcPr>
          <w:p w14:paraId="35D9EA12"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0.75 (0.65, 0.86)</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14:paraId="35D9EA13"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&lt;0.0001</w:t>
            </w:r>
          </w:p>
        </w:tc>
      </w:tr>
      <w:tr w:rsidR="00E941A9" w14:paraId="35D9EA1C" w14:textId="77777777" w:rsidTr="00012B40">
        <w:trPr>
          <w:trHeight w:val="613"/>
          <w:jc w:val="center"/>
        </w:trPr>
        <w:tc>
          <w:tcPr>
            <w:tcW w:w="3402" w:type="dxa"/>
            <w:tcBorders>
              <w:top w:val="nil"/>
              <w:left w:val="nil"/>
              <w:bottom w:val="nil"/>
              <w:right w:val="nil"/>
            </w:tcBorders>
            <w:shd w:val="clear" w:color="auto" w:fill="auto"/>
            <w:tcMar>
              <w:top w:w="80" w:type="dxa"/>
              <w:left w:w="80" w:type="dxa"/>
              <w:bottom w:w="80" w:type="dxa"/>
              <w:right w:w="80" w:type="dxa"/>
            </w:tcMar>
          </w:tcPr>
          <w:p w14:paraId="35D9EA15" w14:textId="77777777" w:rsidR="00E941A9" w:rsidRDefault="00012B40">
            <w:pPr>
              <w:pStyle w:val="Body"/>
            </w:pPr>
            <w:r>
              <w:rPr>
                <w:rFonts w:ascii="Calibri" w:hAnsi="Calibri"/>
                <w:b/>
                <w:bCs/>
                <w:lang w:val="de-DE"/>
                <w14:textOutline w14:w="12700" w14:cap="flat" w14:cmpd="sng" w14:algn="ctr">
                  <w14:noFill/>
                  <w14:prstDash w14:val="solid"/>
                  <w14:miter w14:lim="400000"/>
                </w14:textOutline>
              </w:rPr>
              <w:t>Time to first HHF or CV death, excl.</w:t>
            </w:r>
            <w:r>
              <w:rPr>
                <w:rFonts w:ascii="Calibri" w:hAnsi="Calibri"/>
                <w:b/>
                <w:bCs/>
                <w:lang w:val="de-DE"/>
                <w14:textOutline w14:w="12700" w14:cap="flat" w14:cmpd="sng" w14:algn="ctr">
                  <w14:noFill/>
                  <w14:prstDash w14:val="solid"/>
                  <w14:miter w14:lim="400000"/>
                </w14:textOutline>
              </w:rPr>
              <w:t> </w:t>
            </w:r>
            <w:r>
              <w:rPr>
                <w:rFonts w:ascii="Calibri" w:hAnsi="Calibri"/>
                <w:b/>
                <w:bCs/>
                <w:lang w:val="de-DE"/>
                <w14:textOutline w14:w="12700" w14:cap="flat" w14:cmpd="sng" w14:algn="ctr">
                  <w14:noFill/>
                  <w14:prstDash w14:val="solid"/>
                  <w14:miter w14:lim="400000"/>
                </w14:textOutline>
              </w:rPr>
              <w:t>non-SCTI</w:t>
            </w:r>
          </w:p>
        </w:tc>
        <w:tc>
          <w:tcPr>
            <w:tcW w:w="1418" w:type="dxa"/>
            <w:tcBorders>
              <w:top w:val="nil"/>
              <w:left w:val="nil"/>
              <w:bottom w:val="nil"/>
              <w:right w:val="nil"/>
            </w:tcBorders>
            <w:shd w:val="clear" w:color="auto" w:fill="auto"/>
            <w:tcMar>
              <w:top w:w="80" w:type="dxa"/>
              <w:left w:w="80" w:type="dxa"/>
              <w:bottom w:w="80" w:type="dxa"/>
              <w:right w:w="80" w:type="dxa"/>
            </w:tcMar>
          </w:tcPr>
          <w:p w14:paraId="35D9EA16"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427 (22.9)</w:t>
            </w:r>
          </w:p>
        </w:tc>
        <w:tc>
          <w:tcPr>
            <w:tcW w:w="2410" w:type="dxa"/>
            <w:tcBorders>
              <w:top w:val="nil"/>
              <w:left w:val="nil"/>
              <w:bottom w:val="nil"/>
              <w:right w:val="nil"/>
            </w:tcBorders>
            <w:shd w:val="clear" w:color="auto" w:fill="auto"/>
            <w:tcMar>
              <w:top w:w="80" w:type="dxa"/>
              <w:left w:w="80" w:type="dxa"/>
              <w:bottom w:w="80" w:type="dxa"/>
              <w:right w:w="80" w:type="dxa"/>
            </w:tcMar>
          </w:tcPr>
          <w:p w14:paraId="35D9EA17"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 xml:space="preserve">19.08 </w:t>
            </w:r>
            <w:r>
              <w:rPr>
                <w:rFonts w:ascii="Calibri" w:hAnsi="Calibri"/>
                <w:lang w:val="de-DE"/>
              </w:rPr>
              <w:t>(17.32, 20.94)</w:t>
            </w:r>
          </w:p>
        </w:tc>
        <w:tc>
          <w:tcPr>
            <w:tcW w:w="1559" w:type="dxa"/>
            <w:tcBorders>
              <w:top w:val="nil"/>
              <w:left w:val="nil"/>
              <w:bottom w:val="nil"/>
              <w:right w:val="nil"/>
            </w:tcBorders>
            <w:shd w:val="clear" w:color="auto" w:fill="auto"/>
            <w:tcMar>
              <w:top w:w="80" w:type="dxa"/>
              <w:left w:w="80" w:type="dxa"/>
              <w:bottom w:w="80" w:type="dxa"/>
              <w:right w:w="80" w:type="dxa"/>
            </w:tcMar>
          </w:tcPr>
          <w:p w14:paraId="35D9EA18"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351 (18.8)</w:t>
            </w:r>
          </w:p>
        </w:tc>
        <w:tc>
          <w:tcPr>
            <w:tcW w:w="2551" w:type="dxa"/>
            <w:tcBorders>
              <w:top w:val="nil"/>
              <w:left w:val="nil"/>
              <w:bottom w:val="nil"/>
              <w:right w:val="nil"/>
            </w:tcBorders>
            <w:shd w:val="clear" w:color="auto" w:fill="auto"/>
            <w:tcMar>
              <w:top w:w="80" w:type="dxa"/>
              <w:left w:w="80" w:type="dxa"/>
              <w:bottom w:w="80" w:type="dxa"/>
              <w:right w:w="80" w:type="dxa"/>
            </w:tcMar>
          </w:tcPr>
          <w:p w14:paraId="35D9EA19"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 xml:space="preserve">15.22 </w:t>
            </w:r>
            <w:r>
              <w:rPr>
                <w:rFonts w:ascii="Calibri" w:hAnsi="Calibri"/>
                <w:lang w:val="de-DE"/>
              </w:rPr>
              <w:t>(13.67, 16.85)</w:t>
            </w:r>
          </w:p>
        </w:tc>
        <w:tc>
          <w:tcPr>
            <w:tcW w:w="1985" w:type="dxa"/>
            <w:tcBorders>
              <w:top w:val="nil"/>
              <w:left w:val="nil"/>
              <w:bottom w:val="nil"/>
              <w:right w:val="nil"/>
            </w:tcBorders>
            <w:shd w:val="clear" w:color="auto" w:fill="auto"/>
            <w:tcMar>
              <w:top w:w="80" w:type="dxa"/>
              <w:left w:w="80" w:type="dxa"/>
              <w:bottom w:w="80" w:type="dxa"/>
              <w:right w:w="80" w:type="dxa"/>
            </w:tcMar>
          </w:tcPr>
          <w:p w14:paraId="35D9EA1A"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 xml:space="preserve">0.79 </w:t>
            </w:r>
            <w:r>
              <w:rPr>
                <w:rFonts w:ascii="Calibri" w:hAnsi="Calibri"/>
                <w:lang w:val="de-DE"/>
              </w:rPr>
              <w:t>(0.69, 0.91)</w:t>
            </w:r>
          </w:p>
        </w:tc>
        <w:tc>
          <w:tcPr>
            <w:tcW w:w="1417" w:type="dxa"/>
            <w:tcBorders>
              <w:top w:val="nil"/>
              <w:left w:val="nil"/>
              <w:bottom w:val="nil"/>
              <w:right w:val="nil"/>
            </w:tcBorders>
            <w:shd w:val="clear" w:color="auto" w:fill="auto"/>
            <w:tcMar>
              <w:top w:w="80" w:type="dxa"/>
              <w:left w:w="80" w:type="dxa"/>
              <w:bottom w:w="80" w:type="dxa"/>
              <w:right w:w="80" w:type="dxa"/>
            </w:tcMar>
          </w:tcPr>
          <w:p w14:paraId="35D9EA1B"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0.0013</w:t>
            </w:r>
          </w:p>
        </w:tc>
      </w:tr>
      <w:tr w:rsidR="00E941A9" w14:paraId="35D9EA22" w14:textId="77777777" w:rsidTr="00012B40">
        <w:trPr>
          <w:trHeight w:val="310"/>
          <w:jc w:val="center"/>
        </w:trPr>
        <w:tc>
          <w:tcPr>
            <w:tcW w:w="3402" w:type="dxa"/>
            <w:tcBorders>
              <w:top w:val="nil"/>
              <w:left w:val="nil"/>
              <w:bottom w:val="nil"/>
              <w:right w:val="nil"/>
            </w:tcBorders>
            <w:shd w:val="clear" w:color="auto" w:fill="auto"/>
            <w:tcMar>
              <w:top w:w="80" w:type="dxa"/>
              <w:left w:w="80" w:type="dxa"/>
              <w:bottom w:w="80" w:type="dxa"/>
              <w:right w:w="80" w:type="dxa"/>
            </w:tcMar>
          </w:tcPr>
          <w:p w14:paraId="35D9EA1D" w14:textId="77777777" w:rsidR="00E941A9" w:rsidRDefault="00E941A9"/>
        </w:tc>
        <w:tc>
          <w:tcPr>
            <w:tcW w:w="3828" w:type="dxa"/>
            <w:gridSpan w:val="2"/>
            <w:tcBorders>
              <w:top w:val="nil"/>
              <w:left w:val="nil"/>
              <w:bottom w:val="nil"/>
              <w:right w:val="nil"/>
            </w:tcBorders>
            <w:shd w:val="clear" w:color="auto" w:fill="auto"/>
            <w:tcMar>
              <w:top w:w="80" w:type="dxa"/>
              <w:left w:w="80" w:type="dxa"/>
              <w:bottom w:w="80" w:type="dxa"/>
              <w:right w:w="80" w:type="dxa"/>
            </w:tcMar>
          </w:tcPr>
          <w:p w14:paraId="35D9EA1E" w14:textId="77777777" w:rsidR="00E941A9" w:rsidRDefault="00E941A9"/>
        </w:tc>
        <w:tc>
          <w:tcPr>
            <w:tcW w:w="4110" w:type="dxa"/>
            <w:gridSpan w:val="2"/>
            <w:tcBorders>
              <w:top w:val="nil"/>
              <w:left w:val="nil"/>
              <w:bottom w:val="nil"/>
              <w:right w:val="nil"/>
            </w:tcBorders>
            <w:shd w:val="clear" w:color="auto" w:fill="auto"/>
            <w:tcMar>
              <w:top w:w="80" w:type="dxa"/>
              <w:left w:w="80" w:type="dxa"/>
              <w:bottom w:w="80" w:type="dxa"/>
              <w:right w:w="80" w:type="dxa"/>
            </w:tcMar>
          </w:tcPr>
          <w:p w14:paraId="35D9EA1F" w14:textId="77777777" w:rsidR="00E941A9" w:rsidRDefault="00E941A9"/>
        </w:tc>
        <w:tc>
          <w:tcPr>
            <w:tcW w:w="1985" w:type="dxa"/>
            <w:tcBorders>
              <w:top w:val="nil"/>
              <w:left w:val="nil"/>
              <w:bottom w:val="nil"/>
              <w:right w:val="nil"/>
            </w:tcBorders>
            <w:shd w:val="clear" w:color="auto" w:fill="auto"/>
            <w:tcMar>
              <w:top w:w="80" w:type="dxa"/>
              <w:left w:w="80" w:type="dxa"/>
              <w:bottom w:w="80" w:type="dxa"/>
              <w:right w:w="80" w:type="dxa"/>
            </w:tcMar>
          </w:tcPr>
          <w:p w14:paraId="35D9EA20" w14:textId="77777777" w:rsidR="00E941A9" w:rsidRDefault="00E941A9"/>
        </w:tc>
        <w:tc>
          <w:tcPr>
            <w:tcW w:w="1417" w:type="dxa"/>
            <w:tcBorders>
              <w:top w:val="nil"/>
              <w:left w:val="nil"/>
              <w:bottom w:val="nil"/>
              <w:right w:val="nil"/>
            </w:tcBorders>
            <w:shd w:val="clear" w:color="auto" w:fill="auto"/>
            <w:tcMar>
              <w:top w:w="80" w:type="dxa"/>
              <w:left w:w="80" w:type="dxa"/>
              <w:bottom w:w="80" w:type="dxa"/>
              <w:right w:w="80" w:type="dxa"/>
            </w:tcMar>
          </w:tcPr>
          <w:p w14:paraId="35D9EA21" w14:textId="77777777" w:rsidR="00E941A9" w:rsidRDefault="00E941A9"/>
        </w:tc>
      </w:tr>
      <w:tr w:rsidR="00E941A9" w14:paraId="35D9EA2A" w14:textId="77777777" w:rsidTr="00012B40">
        <w:trPr>
          <w:trHeight w:val="613"/>
          <w:jc w:val="center"/>
        </w:trPr>
        <w:tc>
          <w:tcPr>
            <w:tcW w:w="3402" w:type="dxa"/>
            <w:tcBorders>
              <w:top w:val="nil"/>
              <w:left w:val="nil"/>
              <w:bottom w:val="nil"/>
              <w:right w:val="nil"/>
            </w:tcBorders>
            <w:shd w:val="clear" w:color="auto" w:fill="auto"/>
            <w:tcMar>
              <w:top w:w="80" w:type="dxa"/>
              <w:left w:w="80" w:type="dxa"/>
              <w:bottom w:w="80" w:type="dxa"/>
              <w:right w:w="80" w:type="dxa"/>
            </w:tcMar>
          </w:tcPr>
          <w:p w14:paraId="35D9EA23" w14:textId="77777777" w:rsidR="00E941A9" w:rsidRDefault="00012B40">
            <w:pPr>
              <w:pStyle w:val="Body"/>
            </w:pPr>
            <w:r>
              <w:rPr>
                <w:rFonts w:ascii="Calibri" w:hAnsi="Calibri"/>
                <w:b/>
                <w:bCs/>
                <w:lang w:val="de-DE"/>
                <w14:textOutline w14:w="12700" w14:cap="flat" w14:cmpd="sng" w14:algn="ctr">
                  <w14:noFill/>
                  <w14:prstDash w14:val="solid"/>
                  <w14:miter w14:lim="400000"/>
                </w14:textOutline>
              </w:rPr>
              <w:t>First and recurrent HHF, incl.</w:t>
            </w:r>
            <w:r>
              <w:rPr>
                <w:rFonts w:ascii="Calibri" w:hAnsi="Calibri"/>
                <w:b/>
                <w:bCs/>
                <w:lang w:val="de-DE"/>
                <w14:textOutline w14:w="12700" w14:cap="flat" w14:cmpd="sng" w14:algn="ctr">
                  <w14:noFill/>
                  <w14:prstDash w14:val="solid"/>
                  <w14:miter w14:lim="400000"/>
                </w14:textOutline>
              </w:rPr>
              <w:t> </w:t>
            </w:r>
            <w:r>
              <w:rPr>
                <w:rFonts w:ascii="Calibri" w:hAnsi="Calibri"/>
                <w:b/>
                <w:bCs/>
                <w:lang w:val="de-DE"/>
                <w14:textOutline w14:w="12700" w14:cap="flat" w14:cmpd="sng" w14:algn="ctr">
                  <w14:noFill/>
                  <w14:prstDash w14:val="solid"/>
                  <w14:miter w14:lim="400000"/>
                </w14:textOutline>
              </w:rPr>
              <w:t>non-SCTI</w:t>
            </w:r>
          </w:p>
        </w:tc>
        <w:tc>
          <w:tcPr>
            <w:tcW w:w="1418" w:type="dxa"/>
            <w:tcBorders>
              <w:top w:val="nil"/>
              <w:left w:val="nil"/>
              <w:bottom w:val="nil"/>
              <w:right w:val="nil"/>
            </w:tcBorders>
            <w:shd w:val="clear" w:color="auto" w:fill="auto"/>
            <w:tcMar>
              <w:top w:w="80" w:type="dxa"/>
              <w:left w:w="80" w:type="dxa"/>
              <w:bottom w:w="80" w:type="dxa"/>
              <w:right w:w="80" w:type="dxa"/>
            </w:tcMar>
          </w:tcPr>
          <w:p w14:paraId="35D9EA24"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553</w:t>
            </w:r>
          </w:p>
        </w:tc>
        <w:tc>
          <w:tcPr>
            <w:tcW w:w="2410" w:type="dxa"/>
            <w:tcBorders>
              <w:top w:val="nil"/>
              <w:left w:val="nil"/>
              <w:bottom w:val="nil"/>
              <w:right w:val="nil"/>
            </w:tcBorders>
            <w:shd w:val="clear" w:color="auto" w:fill="auto"/>
            <w:tcMar>
              <w:top w:w="80" w:type="dxa"/>
              <w:left w:w="80" w:type="dxa"/>
              <w:bottom w:w="80" w:type="dxa"/>
              <w:right w:w="80" w:type="dxa"/>
            </w:tcMar>
          </w:tcPr>
          <w:p w14:paraId="35D9EA25"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w:t>
            </w:r>
          </w:p>
        </w:tc>
        <w:tc>
          <w:tcPr>
            <w:tcW w:w="1559" w:type="dxa"/>
            <w:tcBorders>
              <w:top w:val="nil"/>
              <w:left w:val="nil"/>
              <w:bottom w:val="nil"/>
              <w:right w:val="nil"/>
            </w:tcBorders>
            <w:shd w:val="clear" w:color="auto" w:fill="auto"/>
            <w:tcMar>
              <w:top w:w="80" w:type="dxa"/>
              <w:left w:w="80" w:type="dxa"/>
              <w:bottom w:w="80" w:type="dxa"/>
              <w:right w:w="80" w:type="dxa"/>
            </w:tcMar>
          </w:tcPr>
          <w:p w14:paraId="35D9EA26"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388</w:t>
            </w:r>
          </w:p>
        </w:tc>
        <w:tc>
          <w:tcPr>
            <w:tcW w:w="2551" w:type="dxa"/>
            <w:tcBorders>
              <w:top w:val="nil"/>
              <w:left w:val="nil"/>
              <w:bottom w:val="nil"/>
              <w:right w:val="nil"/>
            </w:tcBorders>
            <w:shd w:val="clear" w:color="auto" w:fill="auto"/>
            <w:tcMar>
              <w:top w:w="80" w:type="dxa"/>
              <w:left w:w="80" w:type="dxa"/>
              <w:bottom w:w="80" w:type="dxa"/>
              <w:right w:w="80" w:type="dxa"/>
            </w:tcMar>
          </w:tcPr>
          <w:p w14:paraId="35D9EA27"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w:t>
            </w:r>
          </w:p>
        </w:tc>
        <w:tc>
          <w:tcPr>
            <w:tcW w:w="1985" w:type="dxa"/>
            <w:tcBorders>
              <w:top w:val="nil"/>
              <w:left w:val="nil"/>
              <w:bottom w:val="nil"/>
              <w:right w:val="nil"/>
            </w:tcBorders>
            <w:shd w:val="clear" w:color="auto" w:fill="auto"/>
            <w:tcMar>
              <w:top w:w="80" w:type="dxa"/>
              <w:left w:w="80" w:type="dxa"/>
              <w:bottom w:w="80" w:type="dxa"/>
              <w:right w:w="80" w:type="dxa"/>
            </w:tcMar>
          </w:tcPr>
          <w:p w14:paraId="35D9EA28"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0.70 (</w:t>
            </w:r>
            <w:r>
              <w:rPr>
                <w:rFonts w:ascii="Calibri" w:hAnsi="Calibri"/>
                <w:lang w:val="de-DE"/>
              </w:rPr>
              <w:t>0.58, 0.85)</w:t>
            </w:r>
          </w:p>
        </w:tc>
        <w:tc>
          <w:tcPr>
            <w:tcW w:w="1417" w:type="dxa"/>
            <w:tcBorders>
              <w:top w:val="nil"/>
              <w:left w:val="nil"/>
              <w:bottom w:val="nil"/>
              <w:right w:val="nil"/>
            </w:tcBorders>
            <w:shd w:val="clear" w:color="auto" w:fill="auto"/>
            <w:tcMar>
              <w:top w:w="80" w:type="dxa"/>
              <w:left w:w="80" w:type="dxa"/>
              <w:bottom w:w="80" w:type="dxa"/>
              <w:right w:w="80" w:type="dxa"/>
            </w:tcMar>
          </w:tcPr>
          <w:p w14:paraId="35D9EA29"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0.0003</w:t>
            </w:r>
          </w:p>
        </w:tc>
      </w:tr>
      <w:tr w:rsidR="00E941A9" w14:paraId="35D9EA32" w14:textId="77777777" w:rsidTr="00012B40">
        <w:trPr>
          <w:trHeight w:val="613"/>
          <w:jc w:val="center"/>
        </w:trPr>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35D9EA2B" w14:textId="77777777" w:rsidR="00E941A9" w:rsidRDefault="00012B40">
            <w:pPr>
              <w:pStyle w:val="Body"/>
            </w:pPr>
            <w:r>
              <w:rPr>
                <w:rFonts w:ascii="Calibri" w:hAnsi="Calibri"/>
                <w:b/>
                <w:bCs/>
                <w:lang w:val="de-DE"/>
                <w14:textOutline w14:w="12700" w14:cap="flat" w14:cmpd="sng" w14:algn="ctr">
                  <w14:noFill/>
                  <w14:prstDash w14:val="solid"/>
                  <w14:miter w14:lim="400000"/>
                </w14:textOutline>
              </w:rPr>
              <w:t>First and recurrent HHF, excl.</w:t>
            </w:r>
            <w:r>
              <w:rPr>
                <w:rFonts w:ascii="Calibri" w:hAnsi="Calibri"/>
                <w:b/>
                <w:bCs/>
                <w:lang w:val="de-DE"/>
                <w14:textOutline w14:w="12700" w14:cap="flat" w14:cmpd="sng" w14:algn="ctr">
                  <w14:noFill/>
                  <w14:prstDash w14:val="solid"/>
                  <w14:miter w14:lim="400000"/>
                </w14:textOutline>
              </w:rPr>
              <w:t> </w:t>
            </w:r>
            <w:r>
              <w:rPr>
                <w:rFonts w:ascii="Calibri" w:hAnsi="Calibri"/>
                <w:b/>
                <w:bCs/>
                <w:lang w:val="de-DE"/>
                <w14:textOutline w14:w="12700" w14:cap="flat" w14:cmpd="sng" w14:algn="ctr">
                  <w14:noFill/>
                  <w14:prstDash w14:val="solid"/>
                  <w14:miter w14:lim="400000"/>
                </w14:textOutline>
              </w:rPr>
              <w:t>non-SCTI</w:t>
            </w:r>
          </w:p>
        </w:tc>
        <w:tc>
          <w:tcPr>
            <w:tcW w:w="1418" w:type="dxa"/>
            <w:tcBorders>
              <w:top w:val="nil"/>
              <w:left w:val="nil"/>
              <w:bottom w:val="single" w:sz="4" w:space="0" w:color="000000"/>
              <w:right w:val="nil"/>
            </w:tcBorders>
            <w:shd w:val="clear" w:color="auto" w:fill="auto"/>
            <w:tcMar>
              <w:top w:w="80" w:type="dxa"/>
              <w:left w:w="80" w:type="dxa"/>
              <w:bottom w:w="80" w:type="dxa"/>
              <w:right w:w="80" w:type="dxa"/>
            </w:tcMar>
          </w:tcPr>
          <w:p w14:paraId="35D9EA2C"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487</w:t>
            </w:r>
          </w:p>
        </w:tc>
        <w:tc>
          <w:tcPr>
            <w:tcW w:w="2410" w:type="dxa"/>
            <w:tcBorders>
              <w:top w:val="nil"/>
              <w:left w:val="nil"/>
              <w:bottom w:val="single" w:sz="4" w:space="0" w:color="000000"/>
              <w:right w:val="nil"/>
            </w:tcBorders>
            <w:shd w:val="clear" w:color="auto" w:fill="auto"/>
            <w:tcMar>
              <w:top w:w="80" w:type="dxa"/>
              <w:left w:w="80" w:type="dxa"/>
              <w:bottom w:w="80" w:type="dxa"/>
              <w:right w:w="80" w:type="dxa"/>
            </w:tcMar>
          </w:tcPr>
          <w:p w14:paraId="35D9EA2D"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w:t>
            </w:r>
          </w:p>
        </w:tc>
        <w:tc>
          <w:tcPr>
            <w:tcW w:w="1559" w:type="dxa"/>
            <w:tcBorders>
              <w:top w:val="nil"/>
              <w:left w:val="nil"/>
              <w:bottom w:val="single" w:sz="4" w:space="0" w:color="000000"/>
              <w:right w:val="nil"/>
            </w:tcBorders>
            <w:shd w:val="clear" w:color="auto" w:fill="auto"/>
            <w:tcMar>
              <w:top w:w="80" w:type="dxa"/>
              <w:left w:w="80" w:type="dxa"/>
              <w:bottom w:w="80" w:type="dxa"/>
              <w:right w:w="80" w:type="dxa"/>
            </w:tcMar>
          </w:tcPr>
          <w:p w14:paraId="35D9EA2E"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361</w:t>
            </w:r>
          </w:p>
        </w:tc>
        <w:tc>
          <w:tcPr>
            <w:tcW w:w="2551" w:type="dxa"/>
            <w:tcBorders>
              <w:top w:val="nil"/>
              <w:left w:val="nil"/>
              <w:bottom w:val="single" w:sz="4" w:space="0" w:color="000000"/>
              <w:right w:val="nil"/>
            </w:tcBorders>
            <w:shd w:val="clear" w:color="auto" w:fill="auto"/>
            <w:tcMar>
              <w:top w:w="80" w:type="dxa"/>
              <w:left w:w="80" w:type="dxa"/>
              <w:bottom w:w="80" w:type="dxa"/>
              <w:right w:w="80" w:type="dxa"/>
            </w:tcMar>
          </w:tcPr>
          <w:p w14:paraId="35D9EA2F"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tcPr>
          <w:p w14:paraId="35D9EA30"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 xml:space="preserve">0.74 </w:t>
            </w:r>
            <w:r>
              <w:rPr>
                <w:rFonts w:ascii="Calibri" w:hAnsi="Calibri"/>
                <w:lang w:val="de-DE"/>
              </w:rPr>
              <w:t>(0.61, 0.91)</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35D9EA31" w14:textId="77777777" w:rsidR="00E941A9" w:rsidRDefault="00012B40">
            <w:pPr>
              <w:pStyle w:val="Body"/>
              <w:jc w:val="center"/>
            </w:pPr>
            <w:r>
              <w:rPr>
                <w:rFonts w:ascii="Calibri" w:hAnsi="Calibri"/>
                <w:lang w:val="de-DE"/>
                <w14:textOutline w14:w="12700" w14:cap="flat" w14:cmpd="sng" w14:algn="ctr">
                  <w14:noFill/>
                  <w14:prstDash w14:val="solid"/>
                  <w14:miter w14:lim="400000"/>
                </w14:textOutline>
              </w:rPr>
              <w:t>0.0039</w:t>
            </w:r>
          </w:p>
        </w:tc>
      </w:tr>
    </w:tbl>
    <w:p w14:paraId="35D9EA33" w14:textId="77777777" w:rsidR="00E941A9" w:rsidRDefault="00E941A9">
      <w:pPr>
        <w:pStyle w:val="Body"/>
        <w:rPr>
          <w:rFonts w:ascii="Calibri" w:eastAsia="Calibri" w:hAnsi="Calibri" w:cs="Calibri"/>
        </w:rPr>
      </w:pPr>
    </w:p>
    <w:p w14:paraId="35D9EA35" w14:textId="77777777" w:rsidR="00E941A9" w:rsidRDefault="00012B40" w:rsidP="00012B40">
      <w:pPr>
        <w:pStyle w:val="Body"/>
        <w:spacing w:after="160" w:line="259" w:lineRule="auto"/>
        <w:rPr>
          <w:rFonts w:ascii="Calibri" w:eastAsia="Calibri" w:hAnsi="Calibri" w:cs="Calibri"/>
        </w:rPr>
      </w:pPr>
      <w:r>
        <w:rPr>
          <w:rFonts w:ascii="Calibri" w:hAnsi="Calibri"/>
        </w:rPr>
        <w:t xml:space="preserve">CV, cardiovascular; HHF, hospitalization for heart failure; pt, patient; SCTI, Standardized Data Collection for Cardiovascular Trials </w:t>
      </w:r>
      <w:r>
        <w:rPr>
          <w:rFonts w:ascii="Calibri" w:hAnsi="Calibri"/>
        </w:rPr>
        <w:t>Initiative.</w:t>
      </w:r>
    </w:p>
    <w:p w14:paraId="35D9EA36" w14:textId="77777777" w:rsidR="00E941A9" w:rsidRDefault="00E941A9">
      <w:pPr>
        <w:pStyle w:val="Body"/>
        <w:spacing w:after="160" w:line="259" w:lineRule="auto"/>
        <w:ind w:left="357"/>
        <w:rPr>
          <w:rFonts w:ascii="Calibri" w:eastAsia="Calibri" w:hAnsi="Calibri" w:cs="Calibri"/>
        </w:rPr>
      </w:pPr>
    </w:p>
    <w:p w14:paraId="35D9EA37" w14:textId="77777777" w:rsidR="00E941A9" w:rsidRDefault="00E941A9">
      <w:pPr>
        <w:pStyle w:val="Body"/>
        <w:spacing w:after="160" w:line="259" w:lineRule="auto"/>
        <w:ind w:left="357"/>
        <w:sectPr w:rsidR="00E941A9" w:rsidSect="00012B40">
          <w:headerReference w:type="default" r:id="rId9"/>
          <w:pgSz w:w="16840" w:h="11900" w:orient="landscape"/>
          <w:pgMar w:top="1440" w:right="1440" w:bottom="1440" w:left="1440" w:header="708" w:footer="708" w:gutter="0"/>
          <w:cols w:space="720"/>
          <w:docGrid w:linePitch="326"/>
        </w:sectPr>
      </w:pPr>
    </w:p>
    <w:p w14:paraId="35D9EA38" w14:textId="37D33335" w:rsidR="00E941A9" w:rsidRDefault="00012B40">
      <w:pPr>
        <w:pStyle w:val="Body"/>
        <w:rPr>
          <w:rFonts w:ascii="Calibri" w:eastAsia="Calibri" w:hAnsi="Calibri" w:cs="Calibri"/>
          <w:b/>
          <w:bCs/>
        </w:rPr>
      </w:pPr>
      <w:r>
        <w:rPr>
          <w:rFonts w:ascii="Calibri" w:hAnsi="Calibri"/>
          <w:b/>
          <w:bCs/>
        </w:rPr>
        <w:t>Supplementa</w:t>
      </w:r>
      <w:r w:rsidR="003B4E4D">
        <w:rPr>
          <w:rFonts w:ascii="Calibri" w:hAnsi="Calibri"/>
          <w:b/>
          <w:bCs/>
        </w:rPr>
        <w:t>l</w:t>
      </w:r>
      <w:r>
        <w:rPr>
          <w:rFonts w:ascii="Calibri" w:hAnsi="Calibri"/>
          <w:b/>
          <w:bCs/>
        </w:rPr>
        <w:t xml:space="preserve"> Table 4</w:t>
      </w:r>
      <w:r>
        <w:rPr>
          <w:rFonts w:ascii="Calibri" w:hAnsi="Calibri"/>
          <w:b/>
          <w:bCs/>
          <w:sz w:val="22"/>
          <w:szCs w:val="22"/>
        </w:rPr>
        <w:t xml:space="preserve">: </w:t>
      </w:r>
      <w:r>
        <w:rPr>
          <w:rFonts w:ascii="Calibri" w:hAnsi="Calibri"/>
          <w:sz w:val="22"/>
          <w:szCs w:val="22"/>
        </w:rPr>
        <w:t>Event Accumulation Based on Investigator vs. CEC assessment</w:t>
      </w:r>
    </w:p>
    <w:p w14:paraId="35D9EA39" w14:textId="77777777" w:rsidR="00E941A9" w:rsidRDefault="00E941A9">
      <w:pPr>
        <w:pStyle w:val="Body"/>
        <w:rPr>
          <w:rFonts w:ascii="Calibri" w:eastAsia="Calibri" w:hAnsi="Calibri" w:cs="Calibri"/>
          <w:b/>
          <w:bCs/>
        </w:rPr>
      </w:pPr>
    </w:p>
    <w:tbl>
      <w:tblPr>
        <w:tblW w:w="86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5"/>
        <w:gridCol w:w="2494"/>
        <w:gridCol w:w="2493"/>
        <w:gridCol w:w="2494"/>
      </w:tblGrid>
      <w:tr w:rsidR="00E941A9" w14:paraId="35D9EA45" w14:textId="77777777">
        <w:trPr>
          <w:trHeight w:val="1049"/>
        </w:trPr>
        <w:tc>
          <w:tcPr>
            <w:tcW w:w="1134" w:type="dxa"/>
            <w:tcBorders>
              <w:top w:val="single" w:sz="8" w:space="0" w:color="515151"/>
              <w:left w:val="nil"/>
              <w:bottom w:val="single" w:sz="4" w:space="0" w:color="000000"/>
              <w:right w:val="nil"/>
            </w:tcBorders>
            <w:shd w:val="clear" w:color="auto" w:fill="auto"/>
            <w:tcMar>
              <w:top w:w="80" w:type="dxa"/>
              <w:left w:w="80" w:type="dxa"/>
              <w:bottom w:w="80" w:type="dxa"/>
              <w:right w:w="80" w:type="dxa"/>
            </w:tcMar>
            <w:vAlign w:val="center"/>
          </w:tcPr>
          <w:p w14:paraId="35D9EA3A" w14:textId="77777777" w:rsidR="00E941A9" w:rsidRDefault="00012B40">
            <w:pPr>
              <w:pStyle w:val="Body"/>
              <w:spacing w:line="256" w:lineRule="auto"/>
              <w:jc w:val="center"/>
            </w:pPr>
            <w:r>
              <w:rPr>
                <w:rFonts w:ascii="Calibri" w:hAnsi="Calibri"/>
                <w:b/>
                <w:bCs/>
                <w:sz w:val="22"/>
                <w:szCs w:val="22"/>
                <w:lang w:val="de-DE"/>
              </w:rPr>
              <w:t>Month of accrual</w:t>
            </w:r>
            <w:r>
              <w:rPr>
                <w:rFonts w:ascii="Calibri" w:hAnsi="Calibri"/>
                <w:b/>
                <w:bCs/>
                <w:sz w:val="22"/>
                <w:szCs w:val="22"/>
                <w:vertAlign w:val="superscript"/>
                <w:lang w:val="de-DE"/>
              </w:rPr>
              <w:t>a</w:t>
            </w:r>
          </w:p>
        </w:tc>
        <w:tc>
          <w:tcPr>
            <w:tcW w:w="2494" w:type="dxa"/>
            <w:tcBorders>
              <w:top w:val="single" w:sz="8" w:space="0" w:color="515151"/>
              <w:left w:val="nil"/>
              <w:bottom w:val="single" w:sz="4" w:space="0" w:color="000000"/>
              <w:right w:val="nil"/>
            </w:tcBorders>
            <w:shd w:val="clear" w:color="auto" w:fill="auto"/>
            <w:tcMar>
              <w:top w:w="80" w:type="dxa"/>
              <w:left w:w="80" w:type="dxa"/>
              <w:bottom w:w="80" w:type="dxa"/>
              <w:right w:w="80" w:type="dxa"/>
            </w:tcMar>
            <w:vAlign w:val="bottom"/>
          </w:tcPr>
          <w:p w14:paraId="35D9EA3B" w14:textId="77777777" w:rsidR="00E941A9" w:rsidRDefault="00012B40">
            <w:pPr>
              <w:pStyle w:val="Body"/>
              <w:spacing w:line="256" w:lineRule="auto"/>
              <w:jc w:val="center"/>
              <w:rPr>
                <w:rFonts w:ascii="Calibri" w:eastAsia="Calibri" w:hAnsi="Calibri" w:cs="Calibri"/>
                <w:b/>
                <w:bCs/>
                <w:sz w:val="22"/>
                <w:szCs w:val="22"/>
              </w:rPr>
            </w:pPr>
            <w:r>
              <w:rPr>
                <w:rFonts w:ascii="Calibri" w:hAnsi="Calibri"/>
                <w:b/>
                <w:bCs/>
                <w:sz w:val="22"/>
                <w:szCs w:val="22"/>
              </w:rPr>
              <w:t xml:space="preserve">Adjudicated </w:t>
            </w:r>
          </w:p>
          <w:p w14:paraId="35D9EA3C" w14:textId="77777777" w:rsidR="00E941A9" w:rsidRDefault="00012B40">
            <w:pPr>
              <w:pStyle w:val="Body"/>
              <w:spacing w:line="256" w:lineRule="auto"/>
              <w:jc w:val="center"/>
              <w:rPr>
                <w:rFonts w:ascii="Calibri" w:eastAsia="Calibri" w:hAnsi="Calibri" w:cs="Calibri"/>
                <w:b/>
                <w:bCs/>
                <w:sz w:val="22"/>
                <w:szCs w:val="22"/>
              </w:rPr>
            </w:pPr>
            <w:r>
              <w:rPr>
                <w:rFonts w:ascii="Calibri" w:hAnsi="Calibri"/>
                <w:b/>
                <w:bCs/>
                <w:sz w:val="22"/>
                <w:szCs w:val="22"/>
              </w:rPr>
              <w:t xml:space="preserve">primary endpoint </w:t>
            </w:r>
          </w:p>
          <w:p w14:paraId="35D9EA3D" w14:textId="77777777" w:rsidR="00E941A9" w:rsidRDefault="00012B40">
            <w:pPr>
              <w:pStyle w:val="Body"/>
              <w:spacing w:line="256" w:lineRule="auto"/>
              <w:jc w:val="center"/>
              <w:rPr>
                <w:rFonts w:ascii="Calibri" w:eastAsia="Calibri" w:hAnsi="Calibri" w:cs="Calibri"/>
                <w:sz w:val="22"/>
                <w:szCs w:val="22"/>
              </w:rPr>
            </w:pPr>
            <w:r>
              <w:rPr>
                <w:rFonts w:ascii="Calibri" w:hAnsi="Calibri"/>
                <w:b/>
                <w:bCs/>
                <w:sz w:val="22"/>
                <w:szCs w:val="22"/>
              </w:rPr>
              <w:t>events</w:t>
            </w:r>
          </w:p>
          <w:p w14:paraId="35D9EA3E" w14:textId="77777777" w:rsidR="00E941A9" w:rsidRDefault="00012B40">
            <w:pPr>
              <w:pStyle w:val="Body"/>
              <w:spacing w:line="256" w:lineRule="auto"/>
              <w:jc w:val="center"/>
            </w:pPr>
            <w:r>
              <w:rPr>
                <w:rFonts w:ascii="Calibri" w:hAnsi="Calibri"/>
                <w:b/>
                <w:bCs/>
                <w:sz w:val="22"/>
                <w:szCs w:val="22"/>
              </w:rPr>
              <w:t>N</w:t>
            </w:r>
          </w:p>
        </w:tc>
        <w:tc>
          <w:tcPr>
            <w:tcW w:w="2493" w:type="dxa"/>
            <w:tcBorders>
              <w:top w:val="single" w:sz="8" w:space="0" w:color="515151"/>
              <w:left w:val="nil"/>
              <w:bottom w:val="single" w:sz="4" w:space="0" w:color="000000"/>
              <w:right w:val="nil"/>
            </w:tcBorders>
            <w:shd w:val="clear" w:color="auto" w:fill="auto"/>
            <w:tcMar>
              <w:top w:w="80" w:type="dxa"/>
              <w:left w:w="80" w:type="dxa"/>
              <w:bottom w:w="80" w:type="dxa"/>
              <w:right w:w="80" w:type="dxa"/>
            </w:tcMar>
            <w:vAlign w:val="bottom"/>
          </w:tcPr>
          <w:p w14:paraId="35D9EA3F" w14:textId="77777777" w:rsidR="00E941A9" w:rsidRDefault="00012B40">
            <w:pPr>
              <w:pStyle w:val="Body"/>
              <w:spacing w:line="256" w:lineRule="auto"/>
              <w:jc w:val="center"/>
              <w:rPr>
                <w:rFonts w:ascii="Calibri" w:eastAsia="Calibri" w:hAnsi="Calibri" w:cs="Calibri"/>
                <w:b/>
                <w:bCs/>
                <w:sz w:val="22"/>
                <w:szCs w:val="22"/>
              </w:rPr>
            </w:pPr>
            <w:r>
              <w:rPr>
                <w:rFonts w:ascii="Calibri" w:hAnsi="Calibri"/>
                <w:b/>
                <w:bCs/>
                <w:sz w:val="22"/>
                <w:szCs w:val="22"/>
              </w:rPr>
              <w:t xml:space="preserve">Investigator-reported primary endpoint </w:t>
            </w:r>
          </w:p>
          <w:p w14:paraId="35D9EA40" w14:textId="77777777" w:rsidR="00E941A9" w:rsidRDefault="00012B40">
            <w:pPr>
              <w:pStyle w:val="Body"/>
              <w:spacing w:line="256" w:lineRule="auto"/>
              <w:jc w:val="center"/>
              <w:rPr>
                <w:rFonts w:ascii="Calibri" w:eastAsia="Calibri" w:hAnsi="Calibri" w:cs="Calibri"/>
                <w:sz w:val="22"/>
                <w:szCs w:val="22"/>
              </w:rPr>
            </w:pPr>
            <w:r>
              <w:rPr>
                <w:rFonts w:ascii="Calibri" w:hAnsi="Calibri"/>
                <w:b/>
                <w:bCs/>
                <w:sz w:val="22"/>
                <w:szCs w:val="22"/>
              </w:rPr>
              <w:t>events</w:t>
            </w:r>
          </w:p>
          <w:p w14:paraId="35D9EA41" w14:textId="77777777" w:rsidR="00E941A9" w:rsidRDefault="00012B40">
            <w:pPr>
              <w:pStyle w:val="Body"/>
              <w:spacing w:line="256" w:lineRule="auto"/>
              <w:jc w:val="center"/>
            </w:pPr>
            <w:r>
              <w:rPr>
                <w:rFonts w:ascii="Calibri" w:hAnsi="Calibri"/>
                <w:b/>
                <w:bCs/>
                <w:sz w:val="22"/>
                <w:szCs w:val="22"/>
              </w:rPr>
              <w:t>N</w:t>
            </w:r>
          </w:p>
        </w:tc>
        <w:tc>
          <w:tcPr>
            <w:tcW w:w="2494" w:type="dxa"/>
            <w:tcBorders>
              <w:top w:val="single" w:sz="8" w:space="0" w:color="515151"/>
              <w:left w:val="nil"/>
              <w:bottom w:val="single" w:sz="4" w:space="0" w:color="000000"/>
              <w:right w:val="nil"/>
            </w:tcBorders>
            <w:shd w:val="clear" w:color="auto" w:fill="auto"/>
            <w:tcMar>
              <w:top w:w="80" w:type="dxa"/>
              <w:left w:w="80" w:type="dxa"/>
              <w:bottom w:w="80" w:type="dxa"/>
              <w:right w:w="80" w:type="dxa"/>
            </w:tcMar>
            <w:vAlign w:val="center"/>
          </w:tcPr>
          <w:p w14:paraId="35D9EA42" w14:textId="77777777" w:rsidR="00E941A9" w:rsidRDefault="00012B40">
            <w:pPr>
              <w:pStyle w:val="Body"/>
              <w:spacing w:line="256" w:lineRule="auto"/>
              <w:jc w:val="center"/>
              <w:rPr>
                <w:rFonts w:ascii="Calibri" w:eastAsia="Calibri" w:hAnsi="Calibri" w:cs="Calibri"/>
                <w:b/>
                <w:bCs/>
                <w:sz w:val="22"/>
                <w:szCs w:val="22"/>
              </w:rPr>
            </w:pPr>
            <w:r>
              <w:rPr>
                <w:rFonts w:ascii="Calibri" w:hAnsi="Calibri"/>
                <w:b/>
                <w:bCs/>
                <w:sz w:val="22"/>
                <w:szCs w:val="22"/>
                <w:lang w:val="de-DE"/>
              </w:rPr>
              <w:t>Additional</w:t>
            </w:r>
          </w:p>
          <w:p w14:paraId="35D9EA43" w14:textId="77777777" w:rsidR="00E941A9" w:rsidRDefault="00012B40">
            <w:pPr>
              <w:pStyle w:val="Body"/>
              <w:spacing w:line="256" w:lineRule="auto"/>
              <w:jc w:val="center"/>
              <w:rPr>
                <w:rFonts w:ascii="Calibri" w:eastAsia="Calibri" w:hAnsi="Calibri" w:cs="Calibri"/>
                <w:sz w:val="22"/>
                <w:szCs w:val="22"/>
              </w:rPr>
            </w:pPr>
            <w:r>
              <w:rPr>
                <w:rFonts w:ascii="Calibri" w:hAnsi="Calibri"/>
                <w:b/>
                <w:bCs/>
                <w:sz w:val="22"/>
                <w:szCs w:val="22"/>
                <w:lang w:val="de-DE"/>
              </w:rPr>
              <w:t>events</w:t>
            </w:r>
          </w:p>
          <w:p w14:paraId="35D9EA44" w14:textId="77777777" w:rsidR="00E941A9" w:rsidRDefault="00012B40">
            <w:pPr>
              <w:pStyle w:val="Body"/>
              <w:spacing w:line="256" w:lineRule="auto"/>
              <w:jc w:val="center"/>
            </w:pPr>
            <w:r>
              <w:rPr>
                <w:rFonts w:ascii="Calibri" w:hAnsi="Calibri"/>
                <w:b/>
                <w:bCs/>
                <w:sz w:val="22"/>
                <w:szCs w:val="22"/>
                <w:lang w:val="de-DE"/>
              </w:rPr>
              <w:t>N (%)</w:t>
            </w:r>
          </w:p>
        </w:tc>
      </w:tr>
      <w:tr w:rsidR="00E941A9" w14:paraId="35D9EA4A" w14:textId="77777777">
        <w:trPr>
          <w:trHeight w:val="226"/>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D9EA46" w14:textId="77777777" w:rsidR="00E941A9" w:rsidRDefault="00012B40">
            <w:pPr>
              <w:pStyle w:val="Body"/>
              <w:spacing w:line="256" w:lineRule="auto"/>
              <w:jc w:val="center"/>
            </w:pPr>
            <w:r>
              <w:rPr>
                <w:rFonts w:ascii="Calibri" w:hAnsi="Calibri"/>
                <w:sz w:val="22"/>
                <w:szCs w:val="22"/>
                <w:lang w:val="de-DE"/>
              </w:rPr>
              <w:t>1</w:t>
            </w:r>
          </w:p>
        </w:tc>
        <w:tc>
          <w:tcPr>
            <w:tcW w:w="249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D9EA47" w14:textId="77777777" w:rsidR="00E941A9" w:rsidRDefault="00012B40">
            <w:pPr>
              <w:pStyle w:val="Body"/>
              <w:spacing w:line="256" w:lineRule="auto"/>
              <w:jc w:val="center"/>
            </w:pPr>
            <w:r>
              <w:rPr>
                <w:rFonts w:ascii="Calibri" w:hAnsi="Calibri"/>
                <w:sz w:val="22"/>
                <w:szCs w:val="22"/>
                <w:lang w:val="de-DE"/>
              </w:rPr>
              <w:t>1</w:t>
            </w:r>
          </w:p>
        </w:tc>
        <w:tc>
          <w:tcPr>
            <w:tcW w:w="24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D9EA48" w14:textId="77777777" w:rsidR="00E941A9" w:rsidRDefault="00012B40">
            <w:pPr>
              <w:pStyle w:val="Body"/>
              <w:spacing w:line="256" w:lineRule="auto"/>
              <w:jc w:val="center"/>
            </w:pPr>
            <w:r>
              <w:rPr>
                <w:rFonts w:ascii="Calibri" w:hAnsi="Calibri"/>
                <w:sz w:val="22"/>
                <w:szCs w:val="22"/>
                <w:lang w:val="de-DE"/>
              </w:rPr>
              <w:t>1</w:t>
            </w:r>
          </w:p>
        </w:tc>
        <w:tc>
          <w:tcPr>
            <w:tcW w:w="249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D9EA49" w14:textId="77777777" w:rsidR="00E941A9" w:rsidRDefault="00012B40">
            <w:pPr>
              <w:pStyle w:val="Body"/>
              <w:spacing w:line="256" w:lineRule="auto"/>
              <w:jc w:val="center"/>
            </w:pPr>
            <w:r>
              <w:rPr>
                <w:rFonts w:ascii="Calibri" w:hAnsi="Calibri"/>
                <w:sz w:val="22"/>
                <w:szCs w:val="22"/>
                <w:lang w:val="de-DE"/>
              </w:rPr>
              <w:t>0 (0)</w:t>
            </w:r>
          </w:p>
        </w:tc>
      </w:tr>
      <w:tr w:rsidR="00E941A9" w14:paraId="35D9EA4F" w14:textId="77777777">
        <w:trPr>
          <w:trHeight w:val="22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4B" w14:textId="77777777" w:rsidR="00E941A9" w:rsidRDefault="00012B40">
            <w:pPr>
              <w:pStyle w:val="Body"/>
              <w:spacing w:line="256" w:lineRule="auto"/>
              <w:jc w:val="center"/>
            </w:pPr>
            <w:r>
              <w:rPr>
                <w:rFonts w:ascii="Calibri" w:hAnsi="Calibri"/>
                <w:sz w:val="22"/>
                <w:szCs w:val="22"/>
                <w:lang w:val="de-DE"/>
              </w:rPr>
              <w:t>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4C" w14:textId="77777777" w:rsidR="00E941A9" w:rsidRDefault="00012B40">
            <w:pPr>
              <w:pStyle w:val="Body"/>
              <w:spacing w:line="256" w:lineRule="auto"/>
              <w:jc w:val="center"/>
            </w:pPr>
            <w:r>
              <w:rPr>
                <w:rFonts w:ascii="Calibri" w:hAnsi="Calibri"/>
                <w:sz w:val="22"/>
                <w:szCs w:val="22"/>
                <w:lang w:val="de-DE"/>
              </w:rPr>
              <w:t>1</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4D" w14:textId="77777777" w:rsidR="00E941A9" w:rsidRDefault="00012B40">
            <w:pPr>
              <w:pStyle w:val="Body"/>
              <w:spacing w:line="256" w:lineRule="auto"/>
              <w:jc w:val="center"/>
            </w:pPr>
            <w:r>
              <w:rPr>
                <w:rFonts w:ascii="Calibri" w:hAnsi="Calibri"/>
                <w:sz w:val="22"/>
                <w:szCs w:val="22"/>
                <w:lang w:val="de-DE"/>
              </w:rPr>
              <w:t>1</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4E" w14:textId="77777777" w:rsidR="00E941A9" w:rsidRDefault="00012B40">
            <w:pPr>
              <w:pStyle w:val="Body"/>
              <w:spacing w:line="256" w:lineRule="auto"/>
              <w:jc w:val="center"/>
            </w:pPr>
            <w:r>
              <w:rPr>
                <w:rFonts w:ascii="Calibri" w:hAnsi="Calibri"/>
                <w:sz w:val="22"/>
                <w:szCs w:val="22"/>
                <w:lang w:val="de-DE"/>
              </w:rPr>
              <w:t>0 (0)</w:t>
            </w:r>
          </w:p>
        </w:tc>
      </w:tr>
      <w:tr w:rsidR="00E941A9" w14:paraId="35D9EA54"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50" w14:textId="77777777" w:rsidR="00E941A9" w:rsidRDefault="00012B40">
            <w:pPr>
              <w:pStyle w:val="Body"/>
              <w:spacing w:line="256" w:lineRule="auto"/>
              <w:jc w:val="center"/>
            </w:pPr>
            <w:r>
              <w:rPr>
                <w:rFonts w:ascii="Calibri" w:hAnsi="Calibri"/>
                <w:sz w:val="22"/>
                <w:szCs w:val="22"/>
                <w:lang w:val="de-DE"/>
              </w:rPr>
              <w:t>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1" w14:textId="77777777" w:rsidR="00E941A9" w:rsidRDefault="00012B40">
            <w:pPr>
              <w:pStyle w:val="Body"/>
              <w:spacing w:line="256" w:lineRule="auto"/>
              <w:jc w:val="center"/>
            </w:pPr>
            <w:r>
              <w:rPr>
                <w:rFonts w:ascii="Calibri" w:hAnsi="Calibri"/>
                <w:sz w:val="22"/>
                <w:szCs w:val="22"/>
                <w:lang w:val="de-DE"/>
              </w:rPr>
              <w:t>1</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52" w14:textId="77777777" w:rsidR="00E941A9" w:rsidRDefault="00012B40">
            <w:pPr>
              <w:pStyle w:val="Body"/>
              <w:spacing w:line="256" w:lineRule="auto"/>
              <w:jc w:val="center"/>
            </w:pPr>
            <w:r>
              <w:rPr>
                <w:rFonts w:ascii="Calibri" w:hAnsi="Calibri"/>
                <w:sz w:val="22"/>
                <w:szCs w:val="22"/>
                <w:lang w:val="de-DE"/>
              </w:rPr>
              <w:t>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3" w14:textId="77777777" w:rsidR="00E941A9" w:rsidRDefault="00012B40">
            <w:pPr>
              <w:pStyle w:val="Body"/>
              <w:spacing w:line="256" w:lineRule="auto"/>
              <w:jc w:val="center"/>
            </w:pPr>
            <w:r>
              <w:rPr>
                <w:rFonts w:ascii="Calibri" w:hAnsi="Calibri"/>
                <w:sz w:val="22"/>
                <w:szCs w:val="22"/>
                <w:lang w:val="de-DE"/>
              </w:rPr>
              <w:t>1 (100)</w:t>
            </w:r>
          </w:p>
        </w:tc>
      </w:tr>
      <w:tr w:rsidR="00E941A9" w14:paraId="35D9EA59"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55" w14:textId="77777777" w:rsidR="00E941A9" w:rsidRDefault="00012B40">
            <w:pPr>
              <w:pStyle w:val="Body"/>
              <w:spacing w:line="256" w:lineRule="auto"/>
              <w:jc w:val="center"/>
            </w:pPr>
            <w:r>
              <w:rPr>
                <w:rFonts w:ascii="Calibri" w:hAnsi="Calibri"/>
                <w:sz w:val="22"/>
                <w:szCs w:val="22"/>
                <w:lang w:val="de-DE"/>
              </w:rPr>
              <w:t>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6" w14:textId="77777777" w:rsidR="00E941A9" w:rsidRDefault="00012B40">
            <w:pPr>
              <w:pStyle w:val="Body"/>
              <w:spacing w:line="256" w:lineRule="auto"/>
              <w:jc w:val="center"/>
            </w:pPr>
            <w:r>
              <w:rPr>
                <w:rFonts w:ascii="Calibri" w:hAnsi="Calibri"/>
                <w:sz w:val="22"/>
                <w:szCs w:val="22"/>
                <w:lang w:val="de-DE"/>
              </w:rPr>
              <w:t>5</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57" w14:textId="77777777" w:rsidR="00E941A9" w:rsidRDefault="00012B40">
            <w:pPr>
              <w:pStyle w:val="Body"/>
              <w:spacing w:line="256" w:lineRule="auto"/>
              <w:jc w:val="center"/>
            </w:pPr>
            <w:r>
              <w:rPr>
                <w:rFonts w:ascii="Calibri" w:hAnsi="Calibri"/>
                <w:sz w:val="22"/>
                <w:szCs w:val="22"/>
                <w:lang w:val="de-DE"/>
              </w:rPr>
              <w:t>8</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8" w14:textId="77777777" w:rsidR="00E941A9" w:rsidRDefault="00012B40">
            <w:pPr>
              <w:pStyle w:val="Body"/>
              <w:spacing w:line="256" w:lineRule="auto"/>
              <w:jc w:val="center"/>
            </w:pPr>
            <w:r>
              <w:rPr>
                <w:rFonts w:ascii="Calibri" w:hAnsi="Calibri"/>
                <w:sz w:val="22"/>
                <w:szCs w:val="22"/>
                <w:lang w:val="de-DE"/>
              </w:rPr>
              <w:t>3 (60)</w:t>
            </w:r>
          </w:p>
        </w:tc>
      </w:tr>
      <w:tr w:rsidR="00E941A9" w14:paraId="35D9EA5E"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5A" w14:textId="77777777" w:rsidR="00E941A9" w:rsidRDefault="00012B40">
            <w:pPr>
              <w:pStyle w:val="Body"/>
              <w:spacing w:line="256" w:lineRule="auto"/>
              <w:jc w:val="center"/>
            </w:pPr>
            <w:r>
              <w:rPr>
                <w:rFonts w:ascii="Calibri" w:hAnsi="Calibri"/>
                <w:sz w:val="22"/>
                <w:szCs w:val="22"/>
                <w:lang w:val="de-DE"/>
              </w:rPr>
              <w:t>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B" w14:textId="77777777" w:rsidR="00E941A9" w:rsidRDefault="00012B40">
            <w:pPr>
              <w:pStyle w:val="Body"/>
              <w:spacing w:line="256" w:lineRule="auto"/>
              <w:jc w:val="center"/>
            </w:pPr>
            <w:r>
              <w:rPr>
                <w:rFonts w:ascii="Calibri" w:hAnsi="Calibri"/>
                <w:sz w:val="22"/>
                <w:szCs w:val="22"/>
                <w:lang w:val="de-DE"/>
              </w:rPr>
              <w:t>12</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5C" w14:textId="77777777" w:rsidR="00E941A9" w:rsidRDefault="00012B40">
            <w:pPr>
              <w:pStyle w:val="Body"/>
              <w:spacing w:line="256" w:lineRule="auto"/>
              <w:jc w:val="center"/>
            </w:pPr>
            <w:r>
              <w:rPr>
                <w:rFonts w:ascii="Calibri" w:hAnsi="Calibri"/>
                <w:sz w:val="22"/>
                <w:szCs w:val="22"/>
                <w:lang w:val="de-DE"/>
              </w:rPr>
              <w:t>16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5D" w14:textId="77777777" w:rsidR="00E941A9" w:rsidRDefault="00012B40">
            <w:pPr>
              <w:pStyle w:val="Body"/>
              <w:spacing w:line="256" w:lineRule="auto"/>
              <w:jc w:val="center"/>
            </w:pPr>
            <w:r>
              <w:rPr>
                <w:rFonts w:ascii="Calibri" w:hAnsi="Calibri"/>
                <w:sz w:val="22"/>
                <w:szCs w:val="22"/>
                <w:lang w:val="de-DE"/>
              </w:rPr>
              <w:t>4 (33)</w:t>
            </w:r>
          </w:p>
        </w:tc>
      </w:tr>
      <w:tr w:rsidR="00E941A9" w14:paraId="35D9EA63"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5F" w14:textId="77777777" w:rsidR="00E941A9" w:rsidRDefault="00012B40">
            <w:pPr>
              <w:pStyle w:val="Body"/>
              <w:spacing w:line="256" w:lineRule="auto"/>
              <w:jc w:val="center"/>
            </w:pPr>
            <w:r>
              <w:rPr>
                <w:rFonts w:ascii="Calibri" w:hAnsi="Calibri"/>
                <w:sz w:val="22"/>
                <w:szCs w:val="22"/>
                <w:lang w:val="de-DE"/>
              </w:rPr>
              <w:t>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0" w14:textId="77777777" w:rsidR="00E941A9" w:rsidRDefault="00012B40">
            <w:pPr>
              <w:pStyle w:val="Body"/>
              <w:spacing w:line="256" w:lineRule="auto"/>
              <w:jc w:val="center"/>
            </w:pPr>
            <w:r>
              <w:rPr>
                <w:rFonts w:ascii="Calibri" w:hAnsi="Calibri"/>
                <w:sz w:val="22"/>
                <w:szCs w:val="22"/>
                <w:lang w:val="de-DE"/>
              </w:rPr>
              <w:t>22</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61" w14:textId="77777777" w:rsidR="00E941A9" w:rsidRDefault="00012B40">
            <w:pPr>
              <w:pStyle w:val="Body"/>
              <w:spacing w:line="256" w:lineRule="auto"/>
              <w:jc w:val="center"/>
            </w:pPr>
            <w:r>
              <w:rPr>
                <w:rFonts w:ascii="Calibri" w:hAnsi="Calibri"/>
                <w:sz w:val="22"/>
                <w:szCs w:val="22"/>
                <w:lang w:val="de-DE"/>
              </w:rPr>
              <w:t>29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2" w14:textId="77777777" w:rsidR="00E941A9" w:rsidRDefault="00012B40">
            <w:pPr>
              <w:pStyle w:val="Body"/>
              <w:spacing w:line="256" w:lineRule="auto"/>
              <w:jc w:val="center"/>
            </w:pPr>
            <w:r>
              <w:rPr>
                <w:rFonts w:ascii="Calibri" w:hAnsi="Calibri"/>
                <w:sz w:val="22"/>
                <w:szCs w:val="22"/>
                <w:lang w:val="de-DE"/>
              </w:rPr>
              <w:t>7 (32)</w:t>
            </w:r>
          </w:p>
        </w:tc>
      </w:tr>
      <w:tr w:rsidR="00E941A9" w14:paraId="35D9EA68"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64" w14:textId="77777777" w:rsidR="00E941A9" w:rsidRDefault="00012B40">
            <w:pPr>
              <w:pStyle w:val="Body"/>
              <w:spacing w:line="256" w:lineRule="auto"/>
              <w:jc w:val="center"/>
            </w:pPr>
            <w:r>
              <w:rPr>
                <w:rFonts w:ascii="Calibri" w:hAnsi="Calibri"/>
                <w:sz w:val="22"/>
                <w:szCs w:val="22"/>
                <w:lang w:val="de-DE"/>
              </w:rPr>
              <w:t>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5" w14:textId="77777777" w:rsidR="00E941A9" w:rsidRDefault="00012B40">
            <w:pPr>
              <w:pStyle w:val="Body"/>
              <w:spacing w:line="256" w:lineRule="auto"/>
              <w:jc w:val="center"/>
            </w:pPr>
            <w:r>
              <w:rPr>
                <w:rFonts w:ascii="Calibri" w:hAnsi="Calibri"/>
                <w:sz w:val="22"/>
                <w:szCs w:val="22"/>
                <w:lang w:val="de-DE"/>
              </w:rPr>
              <w:t>33</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66" w14:textId="77777777" w:rsidR="00E941A9" w:rsidRDefault="00012B40">
            <w:pPr>
              <w:pStyle w:val="Body"/>
              <w:spacing w:line="256" w:lineRule="auto"/>
              <w:jc w:val="center"/>
            </w:pPr>
            <w:r>
              <w:rPr>
                <w:rFonts w:ascii="Calibri" w:hAnsi="Calibri"/>
                <w:sz w:val="22"/>
                <w:szCs w:val="22"/>
                <w:lang w:val="de-DE"/>
              </w:rPr>
              <w:t>40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7" w14:textId="77777777" w:rsidR="00E941A9" w:rsidRDefault="00012B40">
            <w:pPr>
              <w:pStyle w:val="Body"/>
              <w:spacing w:line="256" w:lineRule="auto"/>
              <w:jc w:val="center"/>
            </w:pPr>
            <w:r>
              <w:rPr>
                <w:rFonts w:ascii="Calibri" w:hAnsi="Calibri"/>
                <w:sz w:val="22"/>
                <w:szCs w:val="22"/>
                <w:lang w:val="de-DE"/>
              </w:rPr>
              <w:t>7 (21)</w:t>
            </w:r>
          </w:p>
        </w:tc>
      </w:tr>
      <w:tr w:rsidR="00E941A9" w14:paraId="35D9EA6D"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69" w14:textId="77777777" w:rsidR="00E941A9" w:rsidRDefault="00012B40">
            <w:pPr>
              <w:pStyle w:val="Body"/>
              <w:spacing w:line="256" w:lineRule="auto"/>
              <w:jc w:val="center"/>
            </w:pPr>
            <w:r>
              <w:rPr>
                <w:rFonts w:ascii="Calibri" w:hAnsi="Calibri"/>
                <w:sz w:val="22"/>
                <w:szCs w:val="22"/>
                <w:lang w:val="de-DE"/>
              </w:rPr>
              <w:t>8</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A" w14:textId="77777777" w:rsidR="00E941A9" w:rsidRDefault="00012B40">
            <w:pPr>
              <w:pStyle w:val="Body"/>
              <w:spacing w:line="256" w:lineRule="auto"/>
              <w:jc w:val="center"/>
            </w:pPr>
            <w:r>
              <w:rPr>
                <w:rFonts w:ascii="Calibri" w:hAnsi="Calibri"/>
                <w:sz w:val="22"/>
                <w:szCs w:val="22"/>
                <w:lang w:val="de-DE"/>
              </w:rPr>
              <w:t>51</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6B" w14:textId="77777777" w:rsidR="00E941A9" w:rsidRDefault="00012B40">
            <w:pPr>
              <w:pStyle w:val="Body"/>
              <w:spacing w:line="256" w:lineRule="auto"/>
              <w:jc w:val="center"/>
            </w:pPr>
            <w:r>
              <w:rPr>
                <w:rFonts w:ascii="Calibri" w:hAnsi="Calibri"/>
                <w:sz w:val="22"/>
                <w:szCs w:val="22"/>
                <w:lang w:val="de-DE"/>
              </w:rPr>
              <w:t>60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C" w14:textId="77777777" w:rsidR="00E941A9" w:rsidRDefault="00012B40">
            <w:pPr>
              <w:pStyle w:val="Body"/>
              <w:spacing w:line="256" w:lineRule="auto"/>
              <w:jc w:val="center"/>
            </w:pPr>
            <w:r>
              <w:rPr>
                <w:rFonts w:ascii="Calibri" w:hAnsi="Calibri"/>
                <w:sz w:val="22"/>
                <w:szCs w:val="22"/>
                <w:lang w:val="de-DE"/>
              </w:rPr>
              <w:t>9 (18)</w:t>
            </w:r>
          </w:p>
        </w:tc>
      </w:tr>
      <w:tr w:rsidR="00E941A9" w14:paraId="35D9EA72"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6E" w14:textId="77777777" w:rsidR="00E941A9" w:rsidRDefault="00012B40">
            <w:pPr>
              <w:pStyle w:val="Body"/>
              <w:spacing w:line="256" w:lineRule="auto"/>
              <w:jc w:val="center"/>
            </w:pPr>
            <w:r>
              <w:rPr>
                <w:rFonts w:ascii="Calibri" w:hAnsi="Calibri"/>
                <w:sz w:val="22"/>
                <w:szCs w:val="22"/>
                <w:lang w:val="de-DE"/>
              </w:rPr>
              <w:t>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6F" w14:textId="77777777" w:rsidR="00E941A9" w:rsidRDefault="00012B40">
            <w:pPr>
              <w:pStyle w:val="Body"/>
              <w:spacing w:line="256" w:lineRule="auto"/>
              <w:jc w:val="center"/>
            </w:pPr>
            <w:r>
              <w:rPr>
                <w:rFonts w:ascii="Calibri" w:hAnsi="Calibri"/>
                <w:sz w:val="22"/>
                <w:szCs w:val="22"/>
                <w:lang w:val="de-DE"/>
              </w:rPr>
              <w:t>65</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70" w14:textId="77777777" w:rsidR="00E941A9" w:rsidRDefault="00012B40">
            <w:pPr>
              <w:pStyle w:val="Body"/>
              <w:spacing w:line="256" w:lineRule="auto"/>
              <w:jc w:val="center"/>
            </w:pPr>
            <w:r>
              <w:rPr>
                <w:rFonts w:ascii="Calibri" w:hAnsi="Calibri"/>
                <w:sz w:val="22"/>
                <w:szCs w:val="22"/>
                <w:lang w:val="de-DE"/>
              </w:rPr>
              <w:t>77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1" w14:textId="77777777" w:rsidR="00E941A9" w:rsidRDefault="00012B40">
            <w:pPr>
              <w:pStyle w:val="Body"/>
              <w:spacing w:line="256" w:lineRule="auto"/>
              <w:jc w:val="center"/>
            </w:pPr>
            <w:r>
              <w:rPr>
                <w:rFonts w:ascii="Calibri" w:hAnsi="Calibri"/>
                <w:sz w:val="22"/>
                <w:szCs w:val="22"/>
                <w:lang w:val="de-DE"/>
              </w:rPr>
              <w:t>12 (18)</w:t>
            </w:r>
          </w:p>
        </w:tc>
      </w:tr>
      <w:tr w:rsidR="00E941A9" w14:paraId="35D9EA77"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73" w14:textId="77777777" w:rsidR="00E941A9" w:rsidRDefault="00012B40">
            <w:pPr>
              <w:pStyle w:val="Body"/>
              <w:spacing w:line="256" w:lineRule="auto"/>
              <w:jc w:val="center"/>
            </w:pPr>
            <w:r>
              <w:rPr>
                <w:rFonts w:ascii="Calibri" w:hAnsi="Calibri"/>
                <w:sz w:val="22"/>
                <w:szCs w:val="22"/>
                <w:lang w:val="de-DE"/>
              </w:rPr>
              <w:t>10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4" w14:textId="77777777" w:rsidR="00E941A9" w:rsidRDefault="00012B40">
            <w:pPr>
              <w:pStyle w:val="Body"/>
              <w:spacing w:line="256" w:lineRule="auto"/>
              <w:jc w:val="center"/>
            </w:pPr>
            <w:r>
              <w:rPr>
                <w:rFonts w:ascii="Calibri" w:hAnsi="Calibri"/>
                <w:sz w:val="22"/>
                <w:szCs w:val="22"/>
                <w:lang w:val="de-DE"/>
              </w:rPr>
              <w:t>80</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75" w14:textId="77777777" w:rsidR="00E941A9" w:rsidRDefault="00012B40">
            <w:pPr>
              <w:pStyle w:val="Body"/>
              <w:spacing w:line="256" w:lineRule="auto"/>
              <w:jc w:val="center"/>
            </w:pPr>
            <w:r>
              <w:rPr>
                <w:rFonts w:ascii="Calibri" w:hAnsi="Calibri"/>
                <w:sz w:val="22"/>
                <w:szCs w:val="22"/>
                <w:lang w:val="de-DE"/>
              </w:rPr>
              <w:t>100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6" w14:textId="77777777" w:rsidR="00E941A9" w:rsidRDefault="00012B40">
            <w:pPr>
              <w:pStyle w:val="Body"/>
              <w:spacing w:line="256" w:lineRule="auto"/>
              <w:jc w:val="center"/>
            </w:pPr>
            <w:r>
              <w:rPr>
                <w:rFonts w:ascii="Calibri" w:hAnsi="Calibri"/>
                <w:sz w:val="22"/>
                <w:szCs w:val="22"/>
                <w:lang w:val="de-DE"/>
              </w:rPr>
              <w:t>20 (25)</w:t>
            </w:r>
          </w:p>
        </w:tc>
      </w:tr>
      <w:tr w:rsidR="00E941A9" w14:paraId="35D9EA7C"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78" w14:textId="77777777" w:rsidR="00E941A9" w:rsidRDefault="00012B40">
            <w:pPr>
              <w:pStyle w:val="Body"/>
              <w:spacing w:line="256" w:lineRule="auto"/>
              <w:jc w:val="center"/>
            </w:pPr>
            <w:r>
              <w:rPr>
                <w:rFonts w:ascii="Calibri" w:hAnsi="Calibri"/>
                <w:sz w:val="22"/>
                <w:szCs w:val="22"/>
                <w:lang w:val="de-DE"/>
              </w:rPr>
              <w:t>11</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9" w14:textId="77777777" w:rsidR="00E941A9" w:rsidRDefault="00012B40">
            <w:pPr>
              <w:pStyle w:val="Body"/>
              <w:spacing w:line="256" w:lineRule="auto"/>
              <w:jc w:val="center"/>
            </w:pPr>
            <w:r>
              <w:rPr>
                <w:rFonts w:ascii="Calibri" w:hAnsi="Calibri"/>
                <w:sz w:val="22"/>
                <w:szCs w:val="22"/>
                <w:lang w:val="de-DE"/>
              </w:rPr>
              <w:t>101</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7A" w14:textId="77777777" w:rsidR="00E941A9" w:rsidRDefault="00012B40">
            <w:pPr>
              <w:pStyle w:val="Body"/>
              <w:spacing w:line="256" w:lineRule="auto"/>
              <w:jc w:val="center"/>
            </w:pPr>
            <w:r>
              <w:rPr>
                <w:rFonts w:ascii="Calibri" w:hAnsi="Calibri"/>
                <w:sz w:val="22"/>
                <w:szCs w:val="22"/>
                <w:lang w:val="de-DE"/>
              </w:rPr>
              <w:t>124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B" w14:textId="77777777" w:rsidR="00E941A9" w:rsidRDefault="00012B40">
            <w:pPr>
              <w:pStyle w:val="Body"/>
              <w:spacing w:line="256" w:lineRule="auto"/>
              <w:jc w:val="center"/>
            </w:pPr>
            <w:r>
              <w:rPr>
                <w:rFonts w:ascii="Calibri" w:hAnsi="Calibri"/>
                <w:sz w:val="22"/>
                <w:szCs w:val="22"/>
                <w:lang w:val="de-DE"/>
              </w:rPr>
              <w:t>23 (23)</w:t>
            </w:r>
          </w:p>
        </w:tc>
      </w:tr>
      <w:tr w:rsidR="00E941A9" w14:paraId="35D9EA81"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7D" w14:textId="77777777" w:rsidR="00E941A9" w:rsidRDefault="00012B40">
            <w:pPr>
              <w:pStyle w:val="Body"/>
              <w:spacing w:line="256" w:lineRule="auto"/>
              <w:jc w:val="center"/>
            </w:pPr>
            <w:r>
              <w:rPr>
                <w:rFonts w:ascii="Calibri" w:hAnsi="Calibri"/>
                <w:sz w:val="22"/>
                <w:szCs w:val="22"/>
                <w:lang w:val="de-DE"/>
              </w:rPr>
              <w:t>12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7E" w14:textId="77777777" w:rsidR="00E941A9" w:rsidRDefault="00012B40">
            <w:pPr>
              <w:pStyle w:val="Body"/>
              <w:spacing w:line="256" w:lineRule="auto"/>
              <w:jc w:val="center"/>
            </w:pPr>
            <w:r>
              <w:rPr>
                <w:rFonts w:ascii="Calibri" w:hAnsi="Calibri"/>
                <w:sz w:val="22"/>
                <w:szCs w:val="22"/>
                <w:lang w:val="de-DE"/>
              </w:rPr>
              <w:t>123</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7F" w14:textId="77777777" w:rsidR="00E941A9" w:rsidRDefault="00012B40">
            <w:pPr>
              <w:pStyle w:val="Body"/>
              <w:spacing w:line="256" w:lineRule="auto"/>
              <w:jc w:val="center"/>
            </w:pPr>
            <w:r>
              <w:rPr>
                <w:rFonts w:ascii="Calibri" w:hAnsi="Calibri"/>
                <w:sz w:val="22"/>
                <w:szCs w:val="22"/>
                <w:lang w:val="de-DE"/>
              </w:rPr>
              <w:t>147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0" w14:textId="77777777" w:rsidR="00E941A9" w:rsidRDefault="00012B40">
            <w:pPr>
              <w:pStyle w:val="Body"/>
              <w:spacing w:line="256" w:lineRule="auto"/>
              <w:jc w:val="center"/>
            </w:pPr>
            <w:r>
              <w:rPr>
                <w:rFonts w:ascii="Calibri" w:hAnsi="Calibri"/>
                <w:sz w:val="22"/>
                <w:szCs w:val="22"/>
                <w:lang w:val="de-DE"/>
              </w:rPr>
              <w:t>24 (20)</w:t>
            </w:r>
          </w:p>
        </w:tc>
      </w:tr>
      <w:tr w:rsidR="00E941A9" w14:paraId="35D9EA86"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82" w14:textId="77777777" w:rsidR="00E941A9" w:rsidRDefault="00012B40">
            <w:pPr>
              <w:pStyle w:val="Body"/>
              <w:spacing w:line="256" w:lineRule="auto"/>
              <w:jc w:val="center"/>
            </w:pPr>
            <w:r>
              <w:rPr>
                <w:rFonts w:ascii="Calibri" w:hAnsi="Calibri"/>
                <w:sz w:val="22"/>
                <w:szCs w:val="22"/>
                <w:lang w:val="de-DE"/>
              </w:rPr>
              <w:t>13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3" w14:textId="77777777" w:rsidR="00E941A9" w:rsidRDefault="00012B40">
            <w:pPr>
              <w:pStyle w:val="Body"/>
              <w:spacing w:line="256" w:lineRule="auto"/>
              <w:jc w:val="center"/>
            </w:pPr>
            <w:r>
              <w:rPr>
                <w:rFonts w:ascii="Calibri" w:hAnsi="Calibri"/>
                <w:sz w:val="22"/>
                <w:szCs w:val="22"/>
                <w:lang w:val="de-DE"/>
              </w:rPr>
              <w:t>137</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84" w14:textId="77777777" w:rsidR="00E941A9" w:rsidRDefault="00012B40">
            <w:pPr>
              <w:pStyle w:val="Body"/>
              <w:spacing w:line="256" w:lineRule="auto"/>
              <w:jc w:val="center"/>
            </w:pPr>
            <w:r>
              <w:rPr>
                <w:rFonts w:ascii="Calibri" w:hAnsi="Calibri"/>
                <w:sz w:val="22"/>
                <w:szCs w:val="22"/>
                <w:lang w:val="de-DE"/>
              </w:rPr>
              <w:t>166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5" w14:textId="77777777" w:rsidR="00E941A9" w:rsidRDefault="00012B40">
            <w:pPr>
              <w:pStyle w:val="Body"/>
              <w:spacing w:line="256" w:lineRule="auto"/>
              <w:jc w:val="center"/>
            </w:pPr>
            <w:r>
              <w:rPr>
                <w:rFonts w:ascii="Calibri" w:hAnsi="Calibri"/>
                <w:sz w:val="22"/>
                <w:szCs w:val="22"/>
                <w:lang w:val="de-DE"/>
              </w:rPr>
              <w:t>29 (21)</w:t>
            </w:r>
          </w:p>
        </w:tc>
      </w:tr>
      <w:tr w:rsidR="00E941A9" w14:paraId="35D9EA8B"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87" w14:textId="77777777" w:rsidR="00E941A9" w:rsidRDefault="00012B40">
            <w:pPr>
              <w:pStyle w:val="Body"/>
              <w:spacing w:line="256" w:lineRule="auto"/>
              <w:jc w:val="center"/>
            </w:pPr>
            <w:r>
              <w:rPr>
                <w:rFonts w:ascii="Calibri" w:hAnsi="Calibri"/>
                <w:sz w:val="22"/>
                <w:szCs w:val="22"/>
                <w:lang w:val="de-DE"/>
              </w:rPr>
              <w:t>14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8" w14:textId="77777777" w:rsidR="00E941A9" w:rsidRDefault="00012B40">
            <w:pPr>
              <w:pStyle w:val="Body"/>
              <w:spacing w:line="256" w:lineRule="auto"/>
              <w:jc w:val="center"/>
            </w:pPr>
            <w:r>
              <w:rPr>
                <w:rFonts w:ascii="Calibri" w:hAnsi="Calibri"/>
                <w:sz w:val="22"/>
                <w:szCs w:val="22"/>
                <w:lang w:val="de-DE"/>
              </w:rPr>
              <w:t>162</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89" w14:textId="77777777" w:rsidR="00E941A9" w:rsidRDefault="00012B40">
            <w:pPr>
              <w:pStyle w:val="Body"/>
              <w:spacing w:line="256" w:lineRule="auto"/>
              <w:jc w:val="center"/>
            </w:pPr>
            <w:r>
              <w:rPr>
                <w:rFonts w:ascii="Calibri" w:hAnsi="Calibri"/>
                <w:sz w:val="22"/>
                <w:szCs w:val="22"/>
                <w:lang w:val="de-DE"/>
              </w:rPr>
              <w:t>195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A" w14:textId="77777777" w:rsidR="00E941A9" w:rsidRDefault="00012B40">
            <w:pPr>
              <w:pStyle w:val="Body"/>
              <w:spacing w:line="256" w:lineRule="auto"/>
              <w:jc w:val="center"/>
            </w:pPr>
            <w:r>
              <w:rPr>
                <w:rFonts w:ascii="Calibri" w:hAnsi="Calibri"/>
                <w:sz w:val="22"/>
                <w:szCs w:val="22"/>
                <w:lang w:val="de-DE"/>
              </w:rPr>
              <w:t>33 (20)</w:t>
            </w:r>
          </w:p>
        </w:tc>
      </w:tr>
      <w:tr w:rsidR="00E941A9" w14:paraId="35D9EA90"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8C" w14:textId="77777777" w:rsidR="00E941A9" w:rsidRDefault="00012B40">
            <w:pPr>
              <w:pStyle w:val="Body"/>
              <w:spacing w:line="256" w:lineRule="auto"/>
              <w:jc w:val="center"/>
            </w:pPr>
            <w:r>
              <w:rPr>
                <w:rFonts w:ascii="Calibri" w:hAnsi="Calibri"/>
                <w:sz w:val="22"/>
                <w:szCs w:val="22"/>
                <w:lang w:val="de-DE"/>
              </w:rPr>
              <w:t>15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D" w14:textId="77777777" w:rsidR="00E941A9" w:rsidRDefault="00012B40">
            <w:pPr>
              <w:pStyle w:val="Body"/>
              <w:spacing w:line="256" w:lineRule="auto"/>
              <w:jc w:val="center"/>
            </w:pPr>
            <w:r>
              <w:rPr>
                <w:rFonts w:ascii="Calibri" w:hAnsi="Calibri"/>
                <w:sz w:val="22"/>
                <w:szCs w:val="22"/>
                <w:lang w:val="de-DE"/>
              </w:rPr>
              <w:t>182</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8E" w14:textId="77777777" w:rsidR="00E941A9" w:rsidRDefault="00012B40">
            <w:pPr>
              <w:pStyle w:val="Body"/>
              <w:spacing w:line="256" w:lineRule="auto"/>
              <w:jc w:val="center"/>
            </w:pPr>
            <w:r>
              <w:rPr>
                <w:rFonts w:ascii="Calibri" w:hAnsi="Calibri"/>
                <w:sz w:val="22"/>
                <w:szCs w:val="22"/>
                <w:lang w:val="de-DE"/>
              </w:rPr>
              <w:t>218</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8F" w14:textId="77777777" w:rsidR="00E941A9" w:rsidRDefault="00012B40">
            <w:pPr>
              <w:pStyle w:val="Body"/>
              <w:spacing w:line="256" w:lineRule="auto"/>
              <w:jc w:val="center"/>
            </w:pPr>
            <w:r>
              <w:rPr>
                <w:rFonts w:ascii="Calibri" w:hAnsi="Calibri"/>
                <w:sz w:val="22"/>
                <w:szCs w:val="22"/>
                <w:lang w:val="de-DE"/>
              </w:rPr>
              <w:t>36 (20)</w:t>
            </w:r>
          </w:p>
        </w:tc>
      </w:tr>
      <w:tr w:rsidR="00E941A9" w14:paraId="35D9EA95"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91" w14:textId="77777777" w:rsidR="00E941A9" w:rsidRDefault="00012B40">
            <w:pPr>
              <w:pStyle w:val="Body"/>
              <w:spacing w:line="256" w:lineRule="auto"/>
              <w:jc w:val="center"/>
            </w:pPr>
            <w:r>
              <w:rPr>
                <w:rFonts w:ascii="Calibri" w:hAnsi="Calibri"/>
                <w:sz w:val="22"/>
                <w:szCs w:val="22"/>
                <w:lang w:val="de-DE"/>
              </w:rPr>
              <w:t>16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2" w14:textId="77777777" w:rsidR="00E941A9" w:rsidRDefault="00012B40">
            <w:pPr>
              <w:pStyle w:val="Body"/>
              <w:spacing w:line="256" w:lineRule="auto"/>
              <w:jc w:val="center"/>
            </w:pPr>
            <w:r>
              <w:rPr>
                <w:rFonts w:ascii="Calibri" w:hAnsi="Calibri"/>
                <w:sz w:val="22"/>
                <w:szCs w:val="22"/>
                <w:lang w:val="de-DE"/>
              </w:rPr>
              <w:t>209</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93" w14:textId="77777777" w:rsidR="00E941A9" w:rsidRDefault="00012B40">
            <w:pPr>
              <w:pStyle w:val="Body"/>
              <w:spacing w:line="256" w:lineRule="auto"/>
              <w:jc w:val="center"/>
            </w:pPr>
            <w:r>
              <w:rPr>
                <w:rFonts w:ascii="Calibri" w:hAnsi="Calibri"/>
                <w:sz w:val="22"/>
                <w:szCs w:val="22"/>
                <w:lang w:val="de-DE"/>
              </w:rPr>
              <w:t>242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4" w14:textId="77777777" w:rsidR="00E941A9" w:rsidRDefault="00012B40">
            <w:pPr>
              <w:pStyle w:val="Body"/>
              <w:spacing w:line="256" w:lineRule="auto"/>
              <w:jc w:val="center"/>
            </w:pPr>
            <w:r>
              <w:rPr>
                <w:rFonts w:ascii="Calibri" w:hAnsi="Calibri"/>
                <w:sz w:val="22"/>
                <w:szCs w:val="22"/>
                <w:lang w:val="de-DE"/>
              </w:rPr>
              <w:t xml:space="preserve">33 </w:t>
            </w:r>
            <w:r>
              <w:rPr>
                <w:rFonts w:ascii="Calibri" w:hAnsi="Calibri"/>
                <w:sz w:val="22"/>
                <w:szCs w:val="22"/>
                <w:lang w:val="de-DE"/>
              </w:rPr>
              <w:t>(16)</w:t>
            </w:r>
          </w:p>
        </w:tc>
      </w:tr>
      <w:tr w:rsidR="00E941A9" w14:paraId="35D9EA9A"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96" w14:textId="77777777" w:rsidR="00E941A9" w:rsidRDefault="00012B40">
            <w:pPr>
              <w:pStyle w:val="Body"/>
              <w:spacing w:line="256" w:lineRule="auto"/>
              <w:jc w:val="center"/>
            </w:pPr>
            <w:r>
              <w:rPr>
                <w:rFonts w:ascii="Calibri" w:hAnsi="Calibri"/>
                <w:sz w:val="22"/>
                <w:szCs w:val="22"/>
                <w:lang w:val="de-DE"/>
              </w:rPr>
              <w:t>17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7" w14:textId="77777777" w:rsidR="00E941A9" w:rsidRDefault="00012B40">
            <w:pPr>
              <w:pStyle w:val="Body"/>
              <w:spacing w:line="256" w:lineRule="auto"/>
              <w:jc w:val="center"/>
            </w:pPr>
            <w:r>
              <w:rPr>
                <w:rFonts w:ascii="Calibri" w:hAnsi="Calibri"/>
                <w:sz w:val="22"/>
                <w:szCs w:val="22"/>
                <w:lang w:val="de-DE"/>
              </w:rPr>
              <w:t>249</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98" w14:textId="77777777" w:rsidR="00E941A9" w:rsidRDefault="00012B40">
            <w:pPr>
              <w:pStyle w:val="Body"/>
              <w:spacing w:line="256" w:lineRule="auto"/>
              <w:jc w:val="center"/>
            </w:pPr>
            <w:r>
              <w:rPr>
                <w:rFonts w:ascii="Calibri" w:hAnsi="Calibri"/>
                <w:sz w:val="22"/>
                <w:szCs w:val="22"/>
                <w:lang w:val="de-DE"/>
              </w:rPr>
              <w:t>286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9" w14:textId="77777777" w:rsidR="00E941A9" w:rsidRDefault="00012B40">
            <w:pPr>
              <w:pStyle w:val="Body"/>
              <w:spacing w:line="256" w:lineRule="auto"/>
              <w:jc w:val="center"/>
            </w:pPr>
            <w:r>
              <w:rPr>
                <w:rFonts w:ascii="Calibri" w:hAnsi="Calibri"/>
                <w:sz w:val="22"/>
                <w:szCs w:val="22"/>
                <w:lang w:val="de-DE"/>
              </w:rPr>
              <w:t>37 (15)</w:t>
            </w:r>
          </w:p>
        </w:tc>
      </w:tr>
      <w:tr w:rsidR="00E941A9" w14:paraId="35D9EA9F"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9B" w14:textId="77777777" w:rsidR="00E941A9" w:rsidRDefault="00012B40">
            <w:pPr>
              <w:pStyle w:val="Body"/>
              <w:spacing w:line="256" w:lineRule="auto"/>
              <w:jc w:val="center"/>
            </w:pPr>
            <w:r>
              <w:rPr>
                <w:rFonts w:ascii="Calibri" w:hAnsi="Calibri"/>
                <w:sz w:val="22"/>
                <w:szCs w:val="22"/>
                <w:lang w:val="de-DE"/>
              </w:rPr>
              <w:t>18</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C" w14:textId="77777777" w:rsidR="00E941A9" w:rsidRDefault="00012B40">
            <w:pPr>
              <w:pStyle w:val="Body"/>
              <w:spacing w:line="256" w:lineRule="auto"/>
              <w:jc w:val="center"/>
            </w:pPr>
            <w:r>
              <w:rPr>
                <w:rFonts w:ascii="Calibri" w:hAnsi="Calibri"/>
                <w:sz w:val="22"/>
                <w:szCs w:val="22"/>
                <w:lang w:val="de-DE"/>
              </w:rPr>
              <w:t>284</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9D" w14:textId="77777777" w:rsidR="00E941A9" w:rsidRDefault="00012B40">
            <w:pPr>
              <w:pStyle w:val="Body"/>
              <w:spacing w:line="256" w:lineRule="auto"/>
              <w:jc w:val="center"/>
            </w:pPr>
            <w:r>
              <w:rPr>
                <w:rFonts w:ascii="Calibri" w:hAnsi="Calibri"/>
                <w:sz w:val="22"/>
                <w:szCs w:val="22"/>
                <w:lang w:val="de-DE"/>
              </w:rPr>
              <w:t>332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9E" w14:textId="77777777" w:rsidR="00E941A9" w:rsidRDefault="00012B40">
            <w:pPr>
              <w:pStyle w:val="Body"/>
              <w:spacing w:line="256" w:lineRule="auto"/>
              <w:jc w:val="center"/>
            </w:pPr>
            <w:r>
              <w:rPr>
                <w:rFonts w:ascii="Calibri" w:hAnsi="Calibri"/>
                <w:sz w:val="22"/>
                <w:szCs w:val="22"/>
                <w:lang w:val="de-DE"/>
              </w:rPr>
              <w:t>48 (17)</w:t>
            </w:r>
          </w:p>
        </w:tc>
      </w:tr>
      <w:tr w:rsidR="00E941A9" w14:paraId="35D9EAA4"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A0" w14:textId="77777777" w:rsidR="00E941A9" w:rsidRDefault="00012B40">
            <w:pPr>
              <w:pStyle w:val="Body"/>
              <w:spacing w:line="256" w:lineRule="auto"/>
              <w:jc w:val="center"/>
            </w:pPr>
            <w:r>
              <w:rPr>
                <w:rFonts w:ascii="Calibri" w:hAnsi="Calibri"/>
                <w:sz w:val="22"/>
                <w:szCs w:val="22"/>
                <w:lang w:val="de-DE"/>
              </w:rPr>
              <w:t>19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1" w14:textId="77777777" w:rsidR="00E941A9" w:rsidRDefault="00012B40">
            <w:pPr>
              <w:pStyle w:val="Body"/>
              <w:spacing w:line="256" w:lineRule="auto"/>
              <w:jc w:val="center"/>
            </w:pPr>
            <w:r>
              <w:rPr>
                <w:rFonts w:ascii="Calibri" w:hAnsi="Calibri"/>
                <w:sz w:val="22"/>
                <w:szCs w:val="22"/>
                <w:lang w:val="de-DE"/>
              </w:rPr>
              <w:t>316</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A2" w14:textId="77777777" w:rsidR="00E941A9" w:rsidRDefault="00012B40">
            <w:pPr>
              <w:pStyle w:val="Body"/>
              <w:spacing w:line="256" w:lineRule="auto"/>
              <w:jc w:val="center"/>
            </w:pPr>
            <w:r>
              <w:rPr>
                <w:rFonts w:ascii="Calibri" w:hAnsi="Calibri"/>
                <w:sz w:val="22"/>
                <w:szCs w:val="22"/>
                <w:lang w:val="de-DE"/>
              </w:rPr>
              <w:t>364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3" w14:textId="77777777" w:rsidR="00E941A9" w:rsidRDefault="00012B40">
            <w:pPr>
              <w:pStyle w:val="Body"/>
              <w:spacing w:line="256" w:lineRule="auto"/>
              <w:jc w:val="center"/>
            </w:pPr>
            <w:r>
              <w:rPr>
                <w:rFonts w:ascii="Calibri" w:hAnsi="Calibri"/>
                <w:sz w:val="22"/>
                <w:szCs w:val="22"/>
                <w:lang w:val="de-DE"/>
              </w:rPr>
              <w:t>48 (15)</w:t>
            </w:r>
          </w:p>
        </w:tc>
      </w:tr>
      <w:tr w:rsidR="00E941A9" w14:paraId="35D9EAA9"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A5" w14:textId="77777777" w:rsidR="00E941A9" w:rsidRDefault="00012B40">
            <w:pPr>
              <w:pStyle w:val="Body"/>
              <w:spacing w:line="256" w:lineRule="auto"/>
              <w:jc w:val="center"/>
            </w:pPr>
            <w:r>
              <w:rPr>
                <w:rFonts w:ascii="Calibri" w:hAnsi="Calibri"/>
                <w:sz w:val="22"/>
                <w:szCs w:val="22"/>
                <w:lang w:val="de-DE"/>
              </w:rPr>
              <w:t>20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6" w14:textId="77777777" w:rsidR="00E941A9" w:rsidRDefault="00012B40">
            <w:pPr>
              <w:pStyle w:val="Body"/>
              <w:spacing w:line="256" w:lineRule="auto"/>
              <w:jc w:val="center"/>
            </w:pPr>
            <w:r>
              <w:rPr>
                <w:rFonts w:ascii="Calibri" w:hAnsi="Calibri"/>
                <w:sz w:val="22"/>
                <w:szCs w:val="22"/>
                <w:lang w:val="de-DE"/>
              </w:rPr>
              <w:t>354</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A7" w14:textId="77777777" w:rsidR="00E941A9" w:rsidRDefault="00012B40">
            <w:pPr>
              <w:pStyle w:val="Body"/>
              <w:spacing w:line="256" w:lineRule="auto"/>
              <w:jc w:val="center"/>
            </w:pPr>
            <w:r>
              <w:rPr>
                <w:rFonts w:ascii="Calibri" w:hAnsi="Calibri"/>
                <w:sz w:val="22"/>
                <w:szCs w:val="22"/>
                <w:lang w:val="de-DE"/>
              </w:rPr>
              <w:t>412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8" w14:textId="77777777" w:rsidR="00E941A9" w:rsidRDefault="00012B40">
            <w:pPr>
              <w:pStyle w:val="Body"/>
              <w:spacing w:line="256" w:lineRule="auto"/>
              <w:jc w:val="center"/>
            </w:pPr>
            <w:r>
              <w:rPr>
                <w:rFonts w:ascii="Calibri" w:hAnsi="Calibri"/>
                <w:sz w:val="22"/>
                <w:szCs w:val="22"/>
                <w:lang w:val="de-DE"/>
              </w:rPr>
              <w:t>58 (16)</w:t>
            </w:r>
          </w:p>
        </w:tc>
      </w:tr>
      <w:tr w:rsidR="00E941A9" w14:paraId="35D9EAAE"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AA" w14:textId="77777777" w:rsidR="00E941A9" w:rsidRDefault="00012B40">
            <w:pPr>
              <w:pStyle w:val="Body"/>
              <w:spacing w:line="256" w:lineRule="auto"/>
              <w:jc w:val="center"/>
            </w:pPr>
            <w:r>
              <w:rPr>
                <w:rFonts w:ascii="Calibri" w:hAnsi="Calibri"/>
                <w:sz w:val="22"/>
                <w:szCs w:val="22"/>
                <w:lang w:val="de-DE"/>
              </w:rPr>
              <w:t>21</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B" w14:textId="77777777" w:rsidR="00E941A9" w:rsidRDefault="00012B40">
            <w:pPr>
              <w:pStyle w:val="Body"/>
              <w:spacing w:line="256" w:lineRule="auto"/>
              <w:jc w:val="center"/>
            </w:pPr>
            <w:r>
              <w:rPr>
                <w:rFonts w:ascii="Calibri" w:hAnsi="Calibri"/>
                <w:sz w:val="22"/>
                <w:szCs w:val="22"/>
                <w:lang w:val="de-DE"/>
              </w:rPr>
              <w:t>396</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AC" w14:textId="77777777" w:rsidR="00E941A9" w:rsidRDefault="00012B40">
            <w:pPr>
              <w:pStyle w:val="Body"/>
              <w:spacing w:line="256" w:lineRule="auto"/>
              <w:jc w:val="center"/>
            </w:pPr>
            <w:r>
              <w:rPr>
                <w:rFonts w:ascii="Calibri" w:hAnsi="Calibri"/>
                <w:sz w:val="22"/>
                <w:szCs w:val="22"/>
                <w:lang w:val="de-DE"/>
              </w:rPr>
              <w:t>467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AD" w14:textId="77777777" w:rsidR="00E941A9" w:rsidRDefault="00012B40">
            <w:pPr>
              <w:pStyle w:val="Body"/>
              <w:spacing w:line="256" w:lineRule="auto"/>
              <w:jc w:val="center"/>
            </w:pPr>
            <w:r>
              <w:rPr>
                <w:rFonts w:ascii="Calibri" w:hAnsi="Calibri"/>
                <w:sz w:val="22"/>
                <w:szCs w:val="22"/>
                <w:lang w:val="de-DE"/>
              </w:rPr>
              <w:t>71 (18)</w:t>
            </w:r>
          </w:p>
        </w:tc>
      </w:tr>
      <w:tr w:rsidR="00E941A9" w14:paraId="35D9EAB3"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AF" w14:textId="77777777" w:rsidR="00E941A9" w:rsidRDefault="00012B40">
            <w:pPr>
              <w:pStyle w:val="Body"/>
              <w:spacing w:line="256" w:lineRule="auto"/>
              <w:jc w:val="center"/>
            </w:pPr>
            <w:r>
              <w:rPr>
                <w:rFonts w:ascii="Calibri" w:hAnsi="Calibri"/>
                <w:sz w:val="22"/>
                <w:szCs w:val="22"/>
                <w:lang w:val="de-DE"/>
              </w:rPr>
              <w:t>22</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0" w14:textId="77777777" w:rsidR="00E941A9" w:rsidRDefault="00012B40">
            <w:pPr>
              <w:pStyle w:val="Body"/>
              <w:spacing w:line="256" w:lineRule="auto"/>
              <w:jc w:val="center"/>
            </w:pPr>
            <w:r>
              <w:rPr>
                <w:rFonts w:ascii="Calibri" w:hAnsi="Calibri"/>
                <w:sz w:val="22"/>
                <w:szCs w:val="22"/>
                <w:lang w:val="de-DE"/>
              </w:rPr>
              <w:t>436</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B1" w14:textId="77777777" w:rsidR="00E941A9" w:rsidRDefault="00012B40">
            <w:pPr>
              <w:pStyle w:val="Body"/>
              <w:spacing w:line="256" w:lineRule="auto"/>
              <w:jc w:val="center"/>
            </w:pPr>
            <w:r>
              <w:rPr>
                <w:rFonts w:ascii="Calibri" w:hAnsi="Calibri"/>
                <w:sz w:val="22"/>
                <w:szCs w:val="22"/>
                <w:lang w:val="de-DE"/>
              </w:rPr>
              <w:t>513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2" w14:textId="77777777" w:rsidR="00E941A9" w:rsidRDefault="00012B40">
            <w:pPr>
              <w:pStyle w:val="Body"/>
              <w:spacing w:line="256" w:lineRule="auto"/>
              <w:jc w:val="center"/>
            </w:pPr>
            <w:r>
              <w:rPr>
                <w:rFonts w:ascii="Calibri" w:hAnsi="Calibri"/>
                <w:sz w:val="22"/>
                <w:szCs w:val="22"/>
                <w:lang w:val="de-DE"/>
              </w:rPr>
              <w:t>77 (18)</w:t>
            </w:r>
          </w:p>
        </w:tc>
      </w:tr>
      <w:tr w:rsidR="00E941A9" w14:paraId="35D9EAB8"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B4" w14:textId="77777777" w:rsidR="00E941A9" w:rsidRDefault="00012B40">
            <w:pPr>
              <w:pStyle w:val="Body"/>
              <w:spacing w:line="256" w:lineRule="auto"/>
              <w:jc w:val="center"/>
            </w:pPr>
            <w:r>
              <w:rPr>
                <w:rFonts w:ascii="Calibri" w:hAnsi="Calibri"/>
                <w:sz w:val="22"/>
                <w:szCs w:val="22"/>
                <w:lang w:val="de-DE"/>
              </w:rPr>
              <w:t>23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5" w14:textId="77777777" w:rsidR="00E941A9" w:rsidRDefault="00012B40">
            <w:pPr>
              <w:pStyle w:val="Body"/>
              <w:spacing w:line="256" w:lineRule="auto"/>
              <w:jc w:val="center"/>
            </w:pPr>
            <w:r>
              <w:rPr>
                <w:rFonts w:ascii="Calibri" w:hAnsi="Calibri"/>
                <w:sz w:val="22"/>
                <w:szCs w:val="22"/>
                <w:lang w:val="de-DE"/>
              </w:rPr>
              <w:t>476</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B6" w14:textId="77777777" w:rsidR="00E941A9" w:rsidRDefault="00012B40">
            <w:pPr>
              <w:pStyle w:val="Body"/>
              <w:spacing w:line="256" w:lineRule="auto"/>
              <w:jc w:val="center"/>
            </w:pPr>
            <w:r>
              <w:rPr>
                <w:rFonts w:ascii="Calibri" w:hAnsi="Calibri"/>
                <w:sz w:val="22"/>
                <w:szCs w:val="22"/>
                <w:lang w:val="de-DE"/>
              </w:rPr>
              <w:t>555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7" w14:textId="77777777" w:rsidR="00E941A9" w:rsidRDefault="00012B40">
            <w:pPr>
              <w:pStyle w:val="Body"/>
              <w:spacing w:line="256" w:lineRule="auto"/>
              <w:jc w:val="center"/>
            </w:pPr>
            <w:r>
              <w:rPr>
                <w:rFonts w:ascii="Calibri" w:hAnsi="Calibri"/>
                <w:sz w:val="22"/>
                <w:szCs w:val="22"/>
                <w:lang w:val="de-DE"/>
              </w:rPr>
              <w:t>79 (17)</w:t>
            </w:r>
          </w:p>
        </w:tc>
      </w:tr>
      <w:tr w:rsidR="00E941A9" w14:paraId="35D9EABD"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B9" w14:textId="77777777" w:rsidR="00E941A9" w:rsidRDefault="00012B40">
            <w:pPr>
              <w:pStyle w:val="Body"/>
              <w:spacing w:line="256" w:lineRule="auto"/>
              <w:jc w:val="center"/>
            </w:pPr>
            <w:r>
              <w:rPr>
                <w:rFonts w:ascii="Calibri" w:hAnsi="Calibri"/>
                <w:sz w:val="22"/>
                <w:szCs w:val="22"/>
                <w:lang w:val="de-DE"/>
              </w:rPr>
              <w:t>24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A" w14:textId="77777777" w:rsidR="00E941A9" w:rsidRDefault="00012B40">
            <w:pPr>
              <w:pStyle w:val="Body"/>
              <w:spacing w:line="256" w:lineRule="auto"/>
              <w:jc w:val="center"/>
            </w:pPr>
            <w:r>
              <w:rPr>
                <w:rFonts w:ascii="Calibri" w:hAnsi="Calibri"/>
                <w:sz w:val="22"/>
                <w:szCs w:val="22"/>
                <w:lang w:val="de-DE"/>
              </w:rPr>
              <w:t>528</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BB" w14:textId="77777777" w:rsidR="00E941A9" w:rsidRDefault="00012B40">
            <w:pPr>
              <w:pStyle w:val="Body"/>
              <w:spacing w:line="256" w:lineRule="auto"/>
              <w:jc w:val="center"/>
            </w:pPr>
            <w:r>
              <w:rPr>
                <w:rFonts w:ascii="Calibri" w:hAnsi="Calibri"/>
                <w:sz w:val="22"/>
                <w:szCs w:val="22"/>
                <w:lang w:val="de-DE"/>
              </w:rPr>
              <w:t>613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C" w14:textId="77777777" w:rsidR="00E941A9" w:rsidRDefault="00012B40">
            <w:pPr>
              <w:pStyle w:val="Body"/>
              <w:spacing w:line="256" w:lineRule="auto"/>
              <w:jc w:val="center"/>
            </w:pPr>
            <w:r>
              <w:rPr>
                <w:rFonts w:ascii="Calibri" w:hAnsi="Calibri"/>
                <w:sz w:val="22"/>
                <w:szCs w:val="22"/>
                <w:lang w:val="de-DE"/>
              </w:rPr>
              <w:t>85 (16)</w:t>
            </w:r>
          </w:p>
        </w:tc>
      </w:tr>
      <w:tr w:rsidR="00E941A9" w14:paraId="35D9EAC2"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BE" w14:textId="77777777" w:rsidR="00E941A9" w:rsidRDefault="00012B40">
            <w:pPr>
              <w:pStyle w:val="Body"/>
              <w:spacing w:line="256" w:lineRule="auto"/>
              <w:jc w:val="center"/>
            </w:pPr>
            <w:r>
              <w:rPr>
                <w:rFonts w:ascii="Calibri" w:hAnsi="Calibri"/>
                <w:sz w:val="22"/>
                <w:szCs w:val="22"/>
                <w:lang w:val="de-DE"/>
              </w:rPr>
              <w:t>25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BF" w14:textId="77777777" w:rsidR="00E941A9" w:rsidRDefault="00012B40">
            <w:pPr>
              <w:pStyle w:val="Body"/>
              <w:spacing w:line="256" w:lineRule="auto"/>
              <w:jc w:val="center"/>
            </w:pPr>
            <w:r>
              <w:rPr>
                <w:rFonts w:ascii="Calibri" w:hAnsi="Calibri"/>
                <w:sz w:val="22"/>
                <w:szCs w:val="22"/>
                <w:lang w:val="de-DE"/>
              </w:rPr>
              <w:t>269</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C0" w14:textId="77777777" w:rsidR="00E941A9" w:rsidRDefault="00012B40">
            <w:pPr>
              <w:pStyle w:val="Body"/>
              <w:spacing w:line="256" w:lineRule="auto"/>
              <w:jc w:val="center"/>
            </w:pPr>
            <w:r>
              <w:rPr>
                <w:rFonts w:ascii="Calibri" w:hAnsi="Calibri"/>
                <w:sz w:val="22"/>
                <w:szCs w:val="22"/>
                <w:lang w:val="de-DE"/>
              </w:rPr>
              <w:t>665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1" w14:textId="77777777" w:rsidR="00E941A9" w:rsidRDefault="00012B40">
            <w:pPr>
              <w:pStyle w:val="Body"/>
              <w:spacing w:line="256" w:lineRule="auto"/>
              <w:jc w:val="center"/>
            </w:pPr>
            <w:r>
              <w:rPr>
                <w:rFonts w:ascii="Calibri" w:hAnsi="Calibri"/>
                <w:sz w:val="22"/>
                <w:szCs w:val="22"/>
                <w:lang w:val="de-DE"/>
              </w:rPr>
              <w:t>96 (17)</w:t>
            </w:r>
          </w:p>
        </w:tc>
      </w:tr>
      <w:tr w:rsidR="00E941A9" w14:paraId="35D9EAC7"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C3" w14:textId="77777777" w:rsidR="00E941A9" w:rsidRDefault="00012B40">
            <w:pPr>
              <w:pStyle w:val="Body"/>
              <w:spacing w:line="256" w:lineRule="auto"/>
              <w:jc w:val="center"/>
            </w:pPr>
            <w:r>
              <w:rPr>
                <w:rFonts w:ascii="Calibri" w:hAnsi="Calibri"/>
                <w:sz w:val="22"/>
                <w:szCs w:val="22"/>
                <w:lang w:val="de-DE"/>
              </w:rPr>
              <w:t>26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4" w14:textId="77777777" w:rsidR="00E941A9" w:rsidRDefault="00012B40">
            <w:pPr>
              <w:pStyle w:val="Body"/>
              <w:spacing w:line="256" w:lineRule="auto"/>
              <w:jc w:val="center"/>
            </w:pPr>
            <w:r>
              <w:rPr>
                <w:rFonts w:ascii="Calibri" w:hAnsi="Calibri"/>
                <w:sz w:val="22"/>
                <w:szCs w:val="22"/>
                <w:lang w:val="de-DE"/>
              </w:rPr>
              <w:t>614</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C5" w14:textId="77777777" w:rsidR="00E941A9" w:rsidRDefault="00012B40">
            <w:pPr>
              <w:pStyle w:val="Body"/>
              <w:spacing w:line="256" w:lineRule="auto"/>
              <w:jc w:val="center"/>
            </w:pPr>
            <w:r>
              <w:rPr>
                <w:rFonts w:ascii="Calibri" w:hAnsi="Calibri"/>
                <w:sz w:val="22"/>
                <w:szCs w:val="22"/>
                <w:lang w:val="de-DE"/>
              </w:rPr>
              <w:t>719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6" w14:textId="77777777" w:rsidR="00E941A9" w:rsidRDefault="00012B40">
            <w:pPr>
              <w:pStyle w:val="Body"/>
              <w:spacing w:line="256" w:lineRule="auto"/>
              <w:jc w:val="center"/>
            </w:pPr>
            <w:r>
              <w:rPr>
                <w:rFonts w:ascii="Calibri" w:hAnsi="Calibri"/>
                <w:sz w:val="22"/>
                <w:szCs w:val="22"/>
                <w:lang w:val="de-DE"/>
              </w:rPr>
              <w:t>105 (17)</w:t>
            </w:r>
          </w:p>
        </w:tc>
      </w:tr>
      <w:tr w:rsidR="00E941A9" w14:paraId="35D9EACC"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C8" w14:textId="77777777" w:rsidR="00E941A9" w:rsidRDefault="00012B40">
            <w:pPr>
              <w:pStyle w:val="Body"/>
              <w:spacing w:line="256" w:lineRule="auto"/>
              <w:jc w:val="center"/>
            </w:pPr>
            <w:r>
              <w:rPr>
                <w:rFonts w:ascii="Calibri" w:hAnsi="Calibri"/>
                <w:sz w:val="22"/>
                <w:szCs w:val="22"/>
                <w:lang w:val="de-DE"/>
              </w:rPr>
              <w:t>27</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9" w14:textId="77777777" w:rsidR="00E941A9" w:rsidRDefault="00012B40">
            <w:pPr>
              <w:pStyle w:val="Body"/>
              <w:spacing w:line="256" w:lineRule="auto"/>
              <w:jc w:val="center"/>
            </w:pPr>
            <w:r>
              <w:rPr>
                <w:rFonts w:ascii="Calibri" w:hAnsi="Calibri"/>
                <w:sz w:val="22"/>
                <w:szCs w:val="22"/>
                <w:lang w:val="de-DE"/>
              </w:rPr>
              <w:t>657</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CA" w14:textId="77777777" w:rsidR="00E941A9" w:rsidRDefault="00012B40">
            <w:pPr>
              <w:pStyle w:val="Body"/>
              <w:spacing w:line="256" w:lineRule="auto"/>
              <w:jc w:val="center"/>
            </w:pPr>
            <w:r>
              <w:rPr>
                <w:rFonts w:ascii="Calibri" w:hAnsi="Calibri"/>
                <w:sz w:val="22"/>
                <w:szCs w:val="22"/>
                <w:lang w:val="de-DE"/>
              </w:rPr>
              <w:t>766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B" w14:textId="77777777" w:rsidR="00E941A9" w:rsidRDefault="00012B40">
            <w:pPr>
              <w:pStyle w:val="Body"/>
              <w:spacing w:line="256" w:lineRule="auto"/>
              <w:jc w:val="center"/>
            </w:pPr>
            <w:r>
              <w:rPr>
                <w:rFonts w:ascii="Calibri" w:hAnsi="Calibri"/>
                <w:sz w:val="22"/>
                <w:szCs w:val="22"/>
                <w:lang w:val="de-DE"/>
              </w:rPr>
              <w:t>109 (17)</w:t>
            </w:r>
          </w:p>
        </w:tc>
      </w:tr>
      <w:tr w:rsidR="00E941A9" w14:paraId="35D9EAD1"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CD" w14:textId="77777777" w:rsidR="00E941A9" w:rsidRDefault="00012B40">
            <w:pPr>
              <w:pStyle w:val="Body"/>
              <w:spacing w:line="256" w:lineRule="auto"/>
              <w:jc w:val="center"/>
            </w:pPr>
            <w:r>
              <w:rPr>
                <w:rFonts w:ascii="Calibri" w:hAnsi="Calibri"/>
                <w:sz w:val="22"/>
                <w:szCs w:val="22"/>
                <w:lang w:val="de-DE"/>
              </w:rPr>
              <w:t>28</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CE" w14:textId="77777777" w:rsidR="00E941A9" w:rsidRDefault="00012B40">
            <w:pPr>
              <w:pStyle w:val="Body"/>
              <w:spacing w:line="256" w:lineRule="auto"/>
              <w:jc w:val="center"/>
            </w:pPr>
            <w:r>
              <w:rPr>
                <w:rFonts w:ascii="Calibri" w:hAnsi="Calibri"/>
                <w:sz w:val="22"/>
                <w:szCs w:val="22"/>
                <w:lang w:val="de-DE"/>
              </w:rPr>
              <w:t>690</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CF" w14:textId="77777777" w:rsidR="00E941A9" w:rsidRDefault="00012B40">
            <w:pPr>
              <w:pStyle w:val="Body"/>
              <w:spacing w:line="256" w:lineRule="auto"/>
              <w:jc w:val="center"/>
            </w:pPr>
            <w:r>
              <w:rPr>
                <w:rFonts w:ascii="Calibri" w:hAnsi="Calibri"/>
                <w:sz w:val="22"/>
                <w:szCs w:val="22"/>
                <w:lang w:val="de-DE"/>
              </w:rPr>
              <w:t>804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0" w14:textId="77777777" w:rsidR="00E941A9" w:rsidRDefault="00012B40">
            <w:pPr>
              <w:pStyle w:val="Body"/>
              <w:spacing w:line="256" w:lineRule="auto"/>
              <w:jc w:val="center"/>
            </w:pPr>
            <w:r>
              <w:rPr>
                <w:rFonts w:ascii="Calibri" w:hAnsi="Calibri"/>
                <w:sz w:val="22"/>
                <w:szCs w:val="22"/>
                <w:lang w:val="de-DE"/>
              </w:rPr>
              <w:t>114 (17)</w:t>
            </w:r>
          </w:p>
        </w:tc>
      </w:tr>
      <w:tr w:rsidR="00E941A9" w14:paraId="35D9EAD6"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D2" w14:textId="77777777" w:rsidR="00E941A9" w:rsidRDefault="00012B40">
            <w:pPr>
              <w:pStyle w:val="Body"/>
              <w:spacing w:line="256" w:lineRule="auto"/>
              <w:jc w:val="center"/>
            </w:pPr>
            <w:r>
              <w:rPr>
                <w:rFonts w:ascii="Calibri" w:hAnsi="Calibri"/>
                <w:sz w:val="22"/>
                <w:szCs w:val="22"/>
                <w:lang w:val="de-DE"/>
              </w:rPr>
              <w:t>29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3" w14:textId="77777777" w:rsidR="00E941A9" w:rsidRDefault="00012B40">
            <w:pPr>
              <w:pStyle w:val="Body"/>
              <w:spacing w:line="256" w:lineRule="auto"/>
              <w:jc w:val="center"/>
            </w:pPr>
            <w:r>
              <w:rPr>
                <w:rFonts w:ascii="Calibri" w:hAnsi="Calibri"/>
                <w:sz w:val="22"/>
                <w:szCs w:val="22"/>
                <w:lang w:val="de-DE"/>
              </w:rPr>
              <w:t>718</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D4" w14:textId="77777777" w:rsidR="00E941A9" w:rsidRDefault="00012B40">
            <w:pPr>
              <w:pStyle w:val="Body"/>
              <w:spacing w:line="256" w:lineRule="auto"/>
              <w:jc w:val="center"/>
            </w:pPr>
            <w:r>
              <w:rPr>
                <w:rFonts w:ascii="Calibri" w:hAnsi="Calibri"/>
                <w:sz w:val="22"/>
                <w:szCs w:val="22"/>
                <w:lang w:val="de-DE"/>
              </w:rPr>
              <w:t>840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5" w14:textId="77777777" w:rsidR="00E941A9" w:rsidRDefault="00012B40">
            <w:pPr>
              <w:pStyle w:val="Body"/>
              <w:spacing w:line="256" w:lineRule="auto"/>
              <w:jc w:val="center"/>
            </w:pPr>
            <w:r>
              <w:rPr>
                <w:rFonts w:ascii="Calibri" w:hAnsi="Calibri"/>
                <w:sz w:val="22"/>
                <w:szCs w:val="22"/>
                <w:lang w:val="de-DE"/>
              </w:rPr>
              <w:t>122 (17)</w:t>
            </w:r>
          </w:p>
        </w:tc>
      </w:tr>
      <w:tr w:rsidR="00E941A9" w14:paraId="35D9EADB"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D7" w14:textId="77777777" w:rsidR="00E941A9" w:rsidRDefault="00012B40">
            <w:pPr>
              <w:pStyle w:val="Body"/>
              <w:spacing w:line="256" w:lineRule="auto"/>
              <w:jc w:val="center"/>
            </w:pPr>
            <w:r>
              <w:rPr>
                <w:rFonts w:ascii="Calibri" w:hAnsi="Calibri"/>
                <w:sz w:val="22"/>
                <w:szCs w:val="22"/>
                <w:lang w:val="de-DE"/>
              </w:rPr>
              <w:t>30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8" w14:textId="77777777" w:rsidR="00E941A9" w:rsidRDefault="00012B40">
            <w:pPr>
              <w:pStyle w:val="Body"/>
              <w:spacing w:line="256" w:lineRule="auto"/>
              <w:jc w:val="center"/>
            </w:pPr>
            <w:r>
              <w:rPr>
                <w:rFonts w:ascii="Calibri" w:hAnsi="Calibri"/>
                <w:sz w:val="22"/>
                <w:szCs w:val="22"/>
                <w:lang w:val="de-DE"/>
              </w:rPr>
              <w:t>760</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D9" w14:textId="77777777" w:rsidR="00E941A9" w:rsidRDefault="00012B40">
            <w:pPr>
              <w:pStyle w:val="Body"/>
              <w:spacing w:line="256" w:lineRule="auto"/>
              <w:jc w:val="center"/>
            </w:pPr>
            <w:r>
              <w:rPr>
                <w:rFonts w:ascii="Calibri" w:hAnsi="Calibri"/>
                <w:sz w:val="22"/>
                <w:szCs w:val="22"/>
                <w:lang w:val="de-DE"/>
              </w:rPr>
              <w:t>876</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A" w14:textId="77777777" w:rsidR="00E941A9" w:rsidRDefault="00012B40">
            <w:pPr>
              <w:pStyle w:val="Body"/>
              <w:spacing w:line="256" w:lineRule="auto"/>
              <w:jc w:val="center"/>
            </w:pPr>
            <w:r>
              <w:rPr>
                <w:rFonts w:ascii="Calibri" w:hAnsi="Calibri"/>
                <w:sz w:val="22"/>
                <w:szCs w:val="22"/>
                <w:lang w:val="de-DE"/>
              </w:rPr>
              <w:t>116 (15)</w:t>
            </w:r>
          </w:p>
        </w:tc>
      </w:tr>
      <w:tr w:rsidR="00E941A9" w14:paraId="35D9EAE0"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DC" w14:textId="77777777" w:rsidR="00E941A9" w:rsidRDefault="00012B40">
            <w:pPr>
              <w:pStyle w:val="Body"/>
              <w:spacing w:line="256" w:lineRule="auto"/>
              <w:jc w:val="center"/>
            </w:pPr>
            <w:r>
              <w:rPr>
                <w:rFonts w:ascii="Calibri" w:hAnsi="Calibri"/>
                <w:sz w:val="22"/>
                <w:szCs w:val="22"/>
                <w:lang w:val="de-DE"/>
              </w:rPr>
              <w:t>31</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D" w14:textId="77777777" w:rsidR="00E941A9" w:rsidRDefault="00012B40">
            <w:pPr>
              <w:pStyle w:val="Body"/>
              <w:spacing w:line="256" w:lineRule="auto"/>
              <w:jc w:val="center"/>
            </w:pPr>
            <w:r>
              <w:rPr>
                <w:rFonts w:ascii="Calibri" w:hAnsi="Calibri"/>
                <w:sz w:val="22"/>
                <w:szCs w:val="22"/>
                <w:lang w:val="de-DE"/>
              </w:rPr>
              <w:t>795</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DE" w14:textId="77777777" w:rsidR="00E941A9" w:rsidRDefault="00012B40">
            <w:pPr>
              <w:pStyle w:val="Body"/>
              <w:spacing w:line="256" w:lineRule="auto"/>
              <w:jc w:val="center"/>
            </w:pPr>
            <w:r>
              <w:rPr>
                <w:rFonts w:ascii="Calibri" w:hAnsi="Calibri"/>
                <w:sz w:val="22"/>
                <w:szCs w:val="22"/>
                <w:lang w:val="de-DE"/>
              </w:rPr>
              <w:t>919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DF" w14:textId="77777777" w:rsidR="00E941A9" w:rsidRDefault="00012B40">
            <w:pPr>
              <w:pStyle w:val="Body"/>
              <w:spacing w:line="256" w:lineRule="auto"/>
              <w:jc w:val="center"/>
            </w:pPr>
            <w:r>
              <w:rPr>
                <w:rFonts w:ascii="Calibri" w:hAnsi="Calibri"/>
                <w:sz w:val="22"/>
                <w:szCs w:val="22"/>
                <w:lang w:val="de-DE"/>
              </w:rPr>
              <w:t>124 (16)</w:t>
            </w:r>
          </w:p>
        </w:tc>
      </w:tr>
      <w:tr w:rsidR="00E941A9" w14:paraId="35D9EAE5"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E1" w14:textId="77777777" w:rsidR="00E941A9" w:rsidRDefault="00012B40">
            <w:pPr>
              <w:pStyle w:val="Body"/>
              <w:spacing w:line="256" w:lineRule="auto"/>
              <w:jc w:val="center"/>
            </w:pPr>
            <w:r>
              <w:rPr>
                <w:rFonts w:ascii="Calibri" w:hAnsi="Calibri"/>
                <w:sz w:val="22"/>
                <w:szCs w:val="22"/>
                <w:lang w:val="de-DE"/>
              </w:rPr>
              <w:t>32</w:t>
            </w:r>
            <w:r>
              <w:rPr>
                <w:rFonts w:ascii="Calibri" w:hAnsi="Calibri"/>
                <w:sz w:val="22"/>
                <w:szCs w:val="22"/>
                <w:vertAlign w:val="superscript"/>
                <w:lang w:val="de-DE"/>
              </w:rPr>
              <w:t>b</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2" w14:textId="77777777" w:rsidR="00E941A9" w:rsidRDefault="00012B40">
            <w:pPr>
              <w:pStyle w:val="Body"/>
              <w:spacing w:line="256" w:lineRule="auto"/>
              <w:jc w:val="center"/>
            </w:pPr>
            <w:r>
              <w:rPr>
                <w:rFonts w:ascii="Calibri" w:hAnsi="Calibri"/>
                <w:sz w:val="22"/>
                <w:szCs w:val="22"/>
                <w:lang w:val="de-DE"/>
              </w:rPr>
              <w:t>815</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E3" w14:textId="77777777" w:rsidR="00E941A9" w:rsidRDefault="00012B40">
            <w:pPr>
              <w:pStyle w:val="Body"/>
              <w:spacing w:line="256" w:lineRule="auto"/>
              <w:jc w:val="center"/>
            </w:pPr>
            <w:r>
              <w:rPr>
                <w:rFonts w:ascii="Calibri" w:hAnsi="Calibri"/>
                <w:sz w:val="22"/>
                <w:szCs w:val="22"/>
                <w:lang w:val="de-DE"/>
              </w:rPr>
              <w:t>945</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4" w14:textId="77777777" w:rsidR="00E941A9" w:rsidRDefault="00012B40">
            <w:pPr>
              <w:pStyle w:val="Body"/>
              <w:spacing w:line="256" w:lineRule="auto"/>
              <w:jc w:val="center"/>
            </w:pPr>
            <w:r>
              <w:rPr>
                <w:rFonts w:ascii="Calibri" w:hAnsi="Calibri"/>
                <w:sz w:val="22"/>
                <w:szCs w:val="22"/>
                <w:lang w:val="de-DE"/>
              </w:rPr>
              <w:t>130 (16)</w:t>
            </w:r>
          </w:p>
        </w:tc>
      </w:tr>
      <w:tr w:rsidR="00E941A9" w14:paraId="35D9EAEA" w14:textId="77777777">
        <w:trPr>
          <w:trHeight w:val="21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E6" w14:textId="77777777" w:rsidR="00E941A9" w:rsidRDefault="00012B40">
            <w:pPr>
              <w:pStyle w:val="Body"/>
              <w:spacing w:line="256" w:lineRule="auto"/>
              <w:jc w:val="center"/>
            </w:pPr>
            <w:r>
              <w:rPr>
                <w:rFonts w:ascii="Calibri" w:hAnsi="Calibri"/>
                <w:sz w:val="22"/>
                <w:szCs w:val="22"/>
                <w:lang w:val="de-DE"/>
              </w:rPr>
              <w:t>33</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7" w14:textId="77777777" w:rsidR="00E941A9" w:rsidRDefault="00012B40">
            <w:pPr>
              <w:pStyle w:val="Body"/>
              <w:spacing w:line="256" w:lineRule="auto"/>
              <w:jc w:val="center"/>
            </w:pPr>
            <w:r>
              <w:rPr>
                <w:rFonts w:ascii="Calibri" w:hAnsi="Calibri"/>
                <w:sz w:val="22"/>
                <w:szCs w:val="22"/>
                <w:lang w:val="de-DE"/>
              </w:rPr>
              <w:t>821</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E8" w14:textId="77777777" w:rsidR="00E941A9" w:rsidRDefault="00012B40">
            <w:pPr>
              <w:pStyle w:val="Body"/>
              <w:spacing w:line="256" w:lineRule="auto"/>
              <w:jc w:val="center"/>
            </w:pPr>
            <w:r>
              <w:rPr>
                <w:rFonts w:ascii="Calibri" w:hAnsi="Calibri"/>
                <w:sz w:val="22"/>
                <w:szCs w:val="22"/>
                <w:lang w:val="de-DE"/>
              </w:rPr>
              <w:t>949</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9" w14:textId="77777777" w:rsidR="00E941A9" w:rsidRDefault="00012B40">
            <w:pPr>
              <w:pStyle w:val="Body"/>
              <w:spacing w:line="256" w:lineRule="auto"/>
              <w:jc w:val="center"/>
            </w:pPr>
            <w:r>
              <w:rPr>
                <w:rFonts w:ascii="Calibri" w:hAnsi="Calibri"/>
                <w:sz w:val="22"/>
                <w:szCs w:val="22"/>
                <w:lang w:val="de-DE"/>
              </w:rPr>
              <w:t>128 (16)</w:t>
            </w:r>
          </w:p>
        </w:tc>
      </w:tr>
      <w:tr w:rsidR="00E941A9" w14:paraId="35D9EAEF" w14:textId="77777777">
        <w:trPr>
          <w:trHeight w:val="221"/>
        </w:trPr>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5D9EAEB" w14:textId="77777777" w:rsidR="00E941A9" w:rsidRDefault="00012B40">
            <w:pPr>
              <w:pStyle w:val="Body"/>
              <w:spacing w:line="256" w:lineRule="auto"/>
              <w:jc w:val="center"/>
            </w:pPr>
            <w:r>
              <w:rPr>
                <w:rFonts w:ascii="Calibri" w:hAnsi="Calibri"/>
                <w:sz w:val="22"/>
                <w:szCs w:val="22"/>
                <w:lang w:val="de-DE"/>
              </w:rPr>
              <w:t>34</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C" w14:textId="77777777" w:rsidR="00E941A9" w:rsidRDefault="00012B40">
            <w:pPr>
              <w:pStyle w:val="Body"/>
              <w:spacing w:line="256" w:lineRule="auto"/>
              <w:jc w:val="center"/>
            </w:pPr>
            <w:r>
              <w:rPr>
                <w:rFonts w:ascii="Calibri" w:hAnsi="Calibri"/>
                <w:sz w:val="22"/>
                <w:szCs w:val="22"/>
                <w:lang w:val="de-DE"/>
              </w:rPr>
              <w:t>822</w:t>
            </w:r>
          </w:p>
        </w:tc>
        <w:tc>
          <w:tcPr>
            <w:tcW w:w="2493" w:type="dxa"/>
            <w:tcBorders>
              <w:top w:val="nil"/>
              <w:left w:val="nil"/>
              <w:bottom w:val="nil"/>
              <w:right w:val="nil"/>
            </w:tcBorders>
            <w:shd w:val="clear" w:color="auto" w:fill="auto"/>
            <w:tcMar>
              <w:top w:w="80" w:type="dxa"/>
              <w:left w:w="80" w:type="dxa"/>
              <w:bottom w:w="80" w:type="dxa"/>
              <w:right w:w="80" w:type="dxa"/>
            </w:tcMar>
            <w:vAlign w:val="bottom"/>
          </w:tcPr>
          <w:p w14:paraId="35D9EAED" w14:textId="77777777" w:rsidR="00E941A9" w:rsidRDefault="00012B40">
            <w:pPr>
              <w:pStyle w:val="Body"/>
              <w:spacing w:line="256" w:lineRule="auto"/>
              <w:jc w:val="center"/>
            </w:pPr>
            <w:r>
              <w:rPr>
                <w:rFonts w:ascii="Calibri" w:hAnsi="Calibri"/>
                <w:sz w:val="22"/>
                <w:szCs w:val="22"/>
                <w:lang w:val="de-DE"/>
              </w:rPr>
              <w:t>950</w:t>
            </w:r>
          </w:p>
        </w:tc>
        <w:tc>
          <w:tcPr>
            <w:tcW w:w="2494" w:type="dxa"/>
            <w:tcBorders>
              <w:top w:val="nil"/>
              <w:left w:val="nil"/>
              <w:bottom w:val="nil"/>
              <w:right w:val="nil"/>
            </w:tcBorders>
            <w:shd w:val="clear" w:color="auto" w:fill="auto"/>
            <w:tcMar>
              <w:top w:w="80" w:type="dxa"/>
              <w:left w:w="80" w:type="dxa"/>
              <w:bottom w:w="80" w:type="dxa"/>
              <w:right w:w="80" w:type="dxa"/>
            </w:tcMar>
            <w:vAlign w:val="bottom"/>
          </w:tcPr>
          <w:p w14:paraId="35D9EAEE" w14:textId="77777777" w:rsidR="00E941A9" w:rsidRDefault="00012B40">
            <w:pPr>
              <w:pStyle w:val="Body"/>
              <w:spacing w:line="256" w:lineRule="auto"/>
              <w:jc w:val="center"/>
            </w:pPr>
            <w:r>
              <w:rPr>
                <w:rFonts w:ascii="Calibri" w:hAnsi="Calibri"/>
                <w:sz w:val="22"/>
                <w:szCs w:val="22"/>
                <w:lang w:val="de-DE"/>
              </w:rPr>
              <w:t>128 (16)</w:t>
            </w:r>
          </w:p>
        </w:tc>
      </w:tr>
      <w:tr w:rsidR="00E941A9" w14:paraId="35D9EAF4" w14:textId="77777777">
        <w:trPr>
          <w:trHeight w:val="226"/>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D9EAF0" w14:textId="77777777" w:rsidR="00E941A9" w:rsidRDefault="00012B40">
            <w:pPr>
              <w:pStyle w:val="Body"/>
              <w:spacing w:line="256" w:lineRule="auto"/>
              <w:jc w:val="center"/>
            </w:pPr>
            <w:r>
              <w:rPr>
                <w:rFonts w:ascii="Calibri" w:hAnsi="Calibri"/>
                <w:sz w:val="22"/>
                <w:szCs w:val="22"/>
                <w:lang w:val="de-DE"/>
              </w:rPr>
              <w:t>35</w:t>
            </w:r>
          </w:p>
        </w:tc>
        <w:tc>
          <w:tcPr>
            <w:tcW w:w="24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D9EAF1" w14:textId="77777777" w:rsidR="00E941A9" w:rsidRDefault="00012B40">
            <w:pPr>
              <w:pStyle w:val="Body"/>
              <w:spacing w:line="256" w:lineRule="auto"/>
              <w:jc w:val="center"/>
            </w:pPr>
            <w:r>
              <w:rPr>
                <w:rFonts w:ascii="Calibri" w:hAnsi="Calibri"/>
                <w:sz w:val="22"/>
                <w:szCs w:val="22"/>
                <w:lang w:val="de-DE"/>
              </w:rPr>
              <w:t>823</w:t>
            </w:r>
          </w:p>
        </w:tc>
        <w:tc>
          <w:tcPr>
            <w:tcW w:w="24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D9EAF2" w14:textId="77777777" w:rsidR="00E941A9" w:rsidRDefault="00012B40">
            <w:pPr>
              <w:pStyle w:val="Body"/>
              <w:spacing w:line="256" w:lineRule="auto"/>
              <w:jc w:val="center"/>
            </w:pPr>
            <w:r>
              <w:rPr>
                <w:rFonts w:ascii="Calibri" w:hAnsi="Calibri"/>
                <w:sz w:val="22"/>
                <w:szCs w:val="22"/>
                <w:lang w:val="de-DE"/>
              </w:rPr>
              <w:t>951</w:t>
            </w:r>
          </w:p>
        </w:tc>
        <w:tc>
          <w:tcPr>
            <w:tcW w:w="24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D9EAF3" w14:textId="77777777" w:rsidR="00E941A9" w:rsidRDefault="00012B40">
            <w:pPr>
              <w:pStyle w:val="Body"/>
              <w:spacing w:line="256" w:lineRule="auto"/>
              <w:jc w:val="center"/>
            </w:pPr>
            <w:r>
              <w:rPr>
                <w:rFonts w:ascii="Calibri" w:hAnsi="Calibri"/>
                <w:sz w:val="22"/>
                <w:szCs w:val="22"/>
                <w:lang w:val="de-DE"/>
              </w:rPr>
              <w:t>128 (16)</w:t>
            </w:r>
          </w:p>
        </w:tc>
      </w:tr>
    </w:tbl>
    <w:p w14:paraId="35D9EAF5" w14:textId="77777777" w:rsidR="00E941A9" w:rsidRDefault="00E941A9">
      <w:pPr>
        <w:pStyle w:val="Body"/>
        <w:widowControl w:val="0"/>
        <w:rPr>
          <w:rFonts w:ascii="Calibri" w:eastAsia="Calibri" w:hAnsi="Calibri" w:cs="Calibri"/>
          <w:b/>
          <w:bCs/>
        </w:rPr>
      </w:pPr>
    </w:p>
    <w:p w14:paraId="35D9EAF6" w14:textId="77777777" w:rsidR="00E941A9" w:rsidRDefault="00012B40">
      <w:pPr>
        <w:pStyle w:val="Body"/>
        <w:rPr>
          <w:rFonts w:ascii="Calibri" w:eastAsia="Calibri" w:hAnsi="Calibri" w:cs="Calibri"/>
          <w:sz w:val="22"/>
          <w:szCs w:val="22"/>
        </w:rPr>
      </w:pPr>
      <w:r>
        <w:rPr>
          <w:rFonts w:ascii="Calibri" w:hAnsi="Calibri"/>
          <w:sz w:val="22"/>
          <w:szCs w:val="22"/>
          <w:vertAlign w:val="superscript"/>
        </w:rPr>
        <w:t>a</w:t>
      </w:r>
      <w:r>
        <w:rPr>
          <w:rFonts w:ascii="Calibri" w:hAnsi="Calibri"/>
          <w:sz w:val="22"/>
          <w:szCs w:val="22"/>
        </w:rPr>
        <w:t xml:space="preserve"> Relative to trial start</w:t>
      </w:r>
    </w:p>
    <w:p w14:paraId="35D9EAF7" w14:textId="77777777" w:rsidR="00E941A9" w:rsidRDefault="00012B40">
      <w:pPr>
        <w:pStyle w:val="Body"/>
        <w:rPr>
          <w:rFonts w:ascii="Calibri" w:eastAsia="Calibri" w:hAnsi="Calibri" w:cs="Calibri"/>
          <w:sz w:val="22"/>
          <w:szCs w:val="22"/>
        </w:rPr>
      </w:pPr>
      <w:r>
        <w:rPr>
          <w:rFonts w:ascii="Calibri" w:hAnsi="Calibri"/>
          <w:sz w:val="22"/>
          <w:szCs w:val="22"/>
          <w:vertAlign w:val="superscript"/>
        </w:rPr>
        <w:t xml:space="preserve">b </w:t>
      </w:r>
      <w:r>
        <w:rPr>
          <w:rFonts w:ascii="Calibri" w:hAnsi="Calibri"/>
          <w:sz w:val="22"/>
          <w:szCs w:val="22"/>
        </w:rPr>
        <w:t>Start of trial close-out</w:t>
      </w:r>
    </w:p>
    <w:p w14:paraId="35D9EAF8" w14:textId="32F2D67D" w:rsidR="00E941A9" w:rsidRDefault="00E941A9">
      <w:pPr>
        <w:pStyle w:val="Body"/>
        <w:rPr>
          <w:rFonts w:ascii="Calibri" w:eastAsia="Calibri" w:hAnsi="Calibri" w:cs="Calibri"/>
        </w:rPr>
      </w:pPr>
    </w:p>
    <w:p w14:paraId="35D9EAF9" w14:textId="77777777" w:rsidR="00E941A9" w:rsidRDefault="00012B40">
      <w:pPr>
        <w:pStyle w:val="Body"/>
        <w:sectPr w:rsidR="00E941A9">
          <w:headerReference w:type="default" r:id="rId10"/>
          <w:pgSz w:w="11900" w:h="16840"/>
          <w:pgMar w:top="1440" w:right="1440" w:bottom="1440" w:left="1440" w:header="708" w:footer="708" w:gutter="0"/>
          <w:cols w:space="720"/>
        </w:sectPr>
      </w:pPr>
      <w:r>
        <w:rPr>
          <w:rFonts w:ascii="Calibri" w:hAnsi="Calibri"/>
          <w:sz w:val="22"/>
          <w:szCs w:val="22"/>
        </w:rPr>
        <w:t xml:space="preserve">CEC, clinical events </w:t>
      </w:r>
      <w:r>
        <w:rPr>
          <w:rFonts w:ascii="Calibri" w:hAnsi="Calibri"/>
          <w:sz w:val="22"/>
          <w:szCs w:val="22"/>
        </w:rPr>
        <w:t>committee.</w:t>
      </w:r>
    </w:p>
    <w:p w14:paraId="35D9EAFA" w14:textId="3C604176" w:rsidR="00E941A9" w:rsidRDefault="00012B40">
      <w:pPr>
        <w:pStyle w:val="BodyBA"/>
        <w:rPr>
          <w:rFonts w:ascii="Calibri" w:eastAsia="Calibri" w:hAnsi="Calibri" w:cs="Calibri"/>
        </w:rPr>
      </w:pPr>
      <w:r>
        <w:rPr>
          <w:rFonts w:ascii="Calibri" w:hAnsi="Calibri"/>
          <w:b/>
          <w:bCs/>
        </w:rPr>
        <w:t>Supplementa</w:t>
      </w:r>
      <w:r w:rsidR="003B4E4D">
        <w:rPr>
          <w:rFonts w:ascii="Calibri" w:hAnsi="Calibri"/>
          <w:b/>
          <w:bCs/>
        </w:rPr>
        <w:t>l</w:t>
      </w:r>
      <w:r>
        <w:rPr>
          <w:rFonts w:ascii="Calibri" w:hAnsi="Calibri"/>
          <w:b/>
          <w:bCs/>
        </w:rPr>
        <w:t xml:space="preserve"> Figure 1:</w:t>
      </w:r>
      <w:r>
        <w:rPr>
          <w:rFonts w:ascii="Calibri" w:hAnsi="Calibri"/>
        </w:rPr>
        <w:t xml:space="preserve"> Data Process Flow Chart for Fatal Events</w:t>
      </w:r>
    </w:p>
    <w:p w14:paraId="35D9EAFB" w14:textId="77777777" w:rsidR="00E941A9" w:rsidRDefault="00E941A9">
      <w:pPr>
        <w:pStyle w:val="BodyBA"/>
        <w:rPr>
          <w:rFonts w:ascii="Calibri" w:eastAsia="Calibri" w:hAnsi="Calibri" w:cs="Calibri"/>
        </w:rPr>
      </w:pPr>
    </w:p>
    <w:p w14:paraId="35D9EAFC" w14:textId="77777777" w:rsidR="00E941A9" w:rsidRDefault="00012B40">
      <w:pPr>
        <w:pStyle w:val="BodyBA"/>
        <w:rPr>
          <w:rFonts w:ascii="Calibri" w:eastAsia="Calibri" w:hAnsi="Calibri" w:cs="Calibri"/>
        </w:rPr>
      </w:pPr>
      <w:r>
        <w:rPr>
          <w:noProof/>
        </w:rPr>
        <w:drawing>
          <wp:inline distT="0" distB="0" distL="0" distR="0" wp14:anchorId="35D9EB95" wp14:editId="35D9EB96">
            <wp:extent cx="4976037" cy="4075165"/>
            <wp:effectExtent l="0" t="0" r="0" b="0"/>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1"/>
                    <a:stretch>
                      <a:fillRect/>
                    </a:stretch>
                  </pic:blipFill>
                  <pic:spPr>
                    <a:xfrm>
                      <a:off x="0" y="0"/>
                      <a:ext cx="4976037" cy="4075165"/>
                    </a:xfrm>
                    <a:prstGeom prst="rect">
                      <a:avLst/>
                    </a:prstGeom>
                    <a:ln w="12700" cap="flat">
                      <a:noFill/>
                      <a:miter lim="400000"/>
                    </a:ln>
                    <a:effectLst/>
                  </pic:spPr>
                </pic:pic>
              </a:graphicData>
            </a:graphic>
          </wp:inline>
        </w:drawing>
      </w:r>
    </w:p>
    <w:p w14:paraId="35D9EAFD" w14:textId="77777777" w:rsidR="00E941A9" w:rsidRDefault="00012B40">
      <w:pPr>
        <w:pStyle w:val="BodyBA"/>
        <w:rPr>
          <w:rFonts w:ascii="Calibri" w:eastAsia="Calibri" w:hAnsi="Calibri" w:cs="Calibri"/>
        </w:rPr>
      </w:pPr>
      <w:r>
        <w:t xml:space="preserve"> </w:t>
      </w:r>
    </w:p>
    <w:p w14:paraId="35D9EAFE" w14:textId="77777777" w:rsidR="00E941A9" w:rsidRDefault="00012B40">
      <w:pPr>
        <w:pStyle w:val="BodyBA"/>
        <w:spacing w:line="480" w:lineRule="auto"/>
        <w:rPr>
          <w:rFonts w:ascii="Calibri" w:eastAsia="Calibri" w:hAnsi="Calibri" w:cs="Calibri"/>
        </w:rPr>
      </w:pPr>
      <w:bookmarkStart w:id="0" w:name="_Hlk106789096"/>
      <w:r>
        <w:rPr>
          <w:rFonts w:ascii="Calibri" w:hAnsi="Calibri"/>
        </w:rPr>
        <w:t>CEC, clinical events committee</w:t>
      </w:r>
      <w:bookmarkEnd w:id="0"/>
      <w:r>
        <w:rPr>
          <w:rFonts w:ascii="Calibri" w:hAnsi="Calibri"/>
        </w:rPr>
        <w:t xml:space="preserve">; CECC, clinical events committee cardiology; eCRF, electronic clinical report form; JUDI, the electronic adjudication platform used (AG </w:t>
      </w:r>
      <w:r>
        <w:rPr>
          <w:rFonts w:ascii="Calibri" w:hAnsi="Calibri"/>
        </w:rPr>
        <w:t>Mednet).</w:t>
      </w:r>
    </w:p>
    <w:p w14:paraId="35D9EAFF" w14:textId="77777777" w:rsidR="00E941A9" w:rsidRDefault="00E941A9">
      <w:pPr>
        <w:pStyle w:val="BodyBA"/>
        <w:rPr>
          <w:rFonts w:ascii="Calibri" w:eastAsia="Calibri" w:hAnsi="Calibri" w:cs="Calibri"/>
        </w:rPr>
      </w:pPr>
    </w:p>
    <w:p w14:paraId="35D9EB00" w14:textId="77777777" w:rsidR="00E941A9" w:rsidRDefault="00012B40">
      <w:pPr>
        <w:pStyle w:val="BodyBA"/>
      </w:pPr>
      <w:r>
        <w:rPr>
          <w:rFonts w:ascii="Arial Unicode MS" w:hAnsi="Arial Unicode MS"/>
        </w:rPr>
        <w:br w:type="column"/>
      </w:r>
    </w:p>
    <w:p w14:paraId="35D9EB01" w14:textId="53BC111A" w:rsidR="00E941A9" w:rsidRDefault="00012B40">
      <w:pPr>
        <w:pStyle w:val="BodyBA"/>
        <w:rPr>
          <w:rFonts w:ascii="Calibri" w:eastAsia="Calibri" w:hAnsi="Calibri" w:cs="Calibri"/>
        </w:rPr>
      </w:pPr>
      <w:r>
        <w:rPr>
          <w:rFonts w:ascii="Calibri" w:hAnsi="Calibri"/>
          <w:b/>
          <w:bCs/>
        </w:rPr>
        <w:t>Supplementa</w:t>
      </w:r>
      <w:r w:rsidR="003B4E4D">
        <w:rPr>
          <w:rFonts w:ascii="Calibri" w:hAnsi="Calibri"/>
          <w:b/>
          <w:bCs/>
        </w:rPr>
        <w:t>l</w:t>
      </w:r>
      <w:r>
        <w:rPr>
          <w:rFonts w:ascii="Calibri" w:hAnsi="Calibri"/>
          <w:b/>
          <w:bCs/>
        </w:rPr>
        <w:t xml:space="preserve"> Figure 2:</w:t>
      </w:r>
      <w:r>
        <w:rPr>
          <w:rFonts w:ascii="Calibri" w:hAnsi="Calibri"/>
        </w:rPr>
        <w:t xml:space="preserve"> Data Process Flow Chart for Heart Failure Hospitalization</w:t>
      </w:r>
    </w:p>
    <w:p w14:paraId="35D9EB02" w14:textId="77777777" w:rsidR="00E941A9" w:rsidRDefault="00E941A9">
      <w:pPr>
        <w:pStyle w:val="BodyBA"/>
        <w:rPr>
          <w:rFonts w:ascii="Calibri" w:eastAsia="Calibri" w:hAnsi="Calibri" w:cs="Calibri"/>
        </w:rPr>
      </w:pPr>
    </w:p>
    <w:p w14:paraId="35D9EB03" w14:textId="77777777" w:rsidR="00E941A9" w:rsidRDefault="00012B40">
      <w:pPr>
        <w:pStyle w:val="BodyBA"/>
        <w:rPr>
          <w:rFonts w:ascii="Calibri" w:eastAsia="Calibri" w:hAnsi="Calibri" w:cs="Calibri"/>
        </w:rPr>
      </w:pPr>
      <w:r>
        <w:rPr>
          <w:noProof/>
        </w:rPr>
        <w:drawing>
          <wp:inline distT="0" distB="0" distL="0" distR="0" wp14:anchorId="35D9EB97" wp14:editId="35D9EB98">
            <wp:extent cx="5727700" cy="3877310"/>
            <wp:effectExtent l="0" t="0" r="0" b="0"/>
            <wp:docPr id="1073741826" name="officeArt object"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DiagramDescription automatically generated with low confidence" descr="DiagramDescription automatically generated with low confidence"/>
                    <pic:cNvPicPr>
                      <a:picLocks noChangeAspect="1"/>
                    </pic:cNvPicPr>
                  </pic:nvPicPr>
                  <pic:blipFill>
                    <a:blip r:embed="rId12"/>
                    <a:stretch>
                      <a:fillRect/>
                    </a:stretch>
                  </pic:blipFill>
                  <pic:spPr>
                    <a:xfrm>
                      <a:off x="0" y="0"/>
                      <a:ext cx="5727700" cy="3877310"/>
                    </a:xfrm>
                    <a:prstGeom prst="rect">
                      <a:avLst/>
                    </a:prstGeom>
                    <a:ln w="12700" cap="flat">
                      <a:noFill/>
                      <a:miter lim="400000"/>
                    </a:ln>
                    <a:effectLst/>
                  </pic:spPr>
                </pic:pic>
              </a:graphicData>
            </a:graphic>
          </wp:inline>
        </w:drawing>
      </w:r>
    </w:p>
    <w:p w14:paraId="35D9EB04" w14:textId="77777777" w:rsidR="00E941A9" w:rsidRDefault="00E941A9">
      <w:pPr>
        <w:pStyle w:val="BodyBA"/>
        <w:rPr>
          <w:rFonts w:ascii="Calibri" w:eastAsia="Calibri" w:hAnsi="Calibri" w:cs="Calibri"/>
        </w:rPr>
      </w:pPr>
    </w:p>
    <w:p w14:paraId="35D9EB05" w14:textId="77777777" w:rsidR="00E941A9" w:rsidRDefault="00012B40">
      <w:pPr>
        <w:pStyle w:val="BodyBA"/>
        <w:spacing w:line="480" w:lineRule="auto"/>
        <w:rPr>
          <w:rFonts w:ascii="Calibri" w:eastAsia="Calibri" w:hAnsi="Calibri" w:cs="Calibri"/>
        </w:rPr>
      </w:pPr>
      <w:r>
        <w:rPr>
          <w:rFonts w:ascii="Calibri" w:hAnsi="Calibri"/>
        </w:rPr>
        <w:t xml:space="preserve">CEC, clinical events committee; CECC, clinical events committee cardiology; eCRF, electronic clinical report form; JUDI, the electronic adjudication platform </w:t>
      </w:r>
      <w:r>
        <w:rPr>
          <w:rFonts w:ascii="Calibri" w:hAnsi="Calibri"/>
        </w:rPr>
        <w:t>used (AG Mednet).</w:t>
      </w:r>
    </w:p>
    <w:p w14:paraId="35D9EB06" w14:textId="77777777" w:rsidR="00E941A9" w:rsidRDefault="00E941A9">
      <w:pPr>
        <w:pStyle w:val="BodyBA"/>
        <w:rPr>
          <w:rFonts w:ascii="Calibri" w:eastAsia="Calibri" w:hAnsi="Calibri" w:cs="Calibri"/>
        </w:rPr>
      </w:pPr>
    </w:p>
    <w:p w14:paraId="533BE17A" w14:textId="17C180CC" w:rsidR="003B4E4D" w:rsidRPr="00012B40" w:rsidRDefault="00012B40">
      <w:pPr>
        <w:pStyle w:val="Heading"/>
      </w:pPr>
      <w:r>
        <w:rPr>
          <w:rFonts w:ascii="Arial Unicode MS" w:eastAsia="Arial Unicode MS" w:hAnsi="Arial Unicode MS" w:cs="Arial Unicode MS"/>
          <w:lang w:val="en-US"/>
        </w:rPr>
        <w:br w:type="column"/>
      </w:r>
      <w:r w:rsidR="003B4E4D" w:rsidRPr="003B4E4D">
        <w:rPr>
          <w:rFonts w:ascii="Times New Roman" w:hAnsi="Times New Roman"/>
          <w:color w:val="000000"/>
          <w:sz w:val="28"/>
          <w:szCs w:val="28"/>
          <w:u w:color="000000"/>
          <w:lang w:val="en-US"/>
        </w:rPr>
        <w:t>Supplemental Methods</w:t>
      </w:r>
    </w:p>
    <w:p w14:paraId="35D9EB08" w14:textId="77B76F75" w:rsidR="00E941A9" w:rsidRDefault="00012B40">
      <w:pPr>
        <w:pStyle w:val="Heading"/>
        <w:rPr>
          <w:rFonts w:ascii="Times New Roman" w:eastAsia="Times New Roman" w:hAnsi="Times New Roman" w:cs="Times New Roman"/>
          <w:caps/>
          <w:color w:val="000000"/>
          <w:sz w:val="21"/>
          <w:szCs w:val="21"/>
          <w:u w:color="000000"/>
          <w:lang w:val="en-US"/>
        </w:rPr>
      </w:pPr>
      <w:r>
        <w:rPr>
          <w:rFonts w:ascii="Times New Roman" w:hAnsi="Times New Roman"/>
          <w:caps/>
          <w:color w:val="000000"/>
          <w:sz w:val="21"/>
          <w:szCs w:val="21"/>
          <w:u w:color="000000"/>
          <w:lang w:val="en-US"/>
        </w:rPr>
        <w:t>Adjudicated outcome event definitions: Hospitalization for heart FAilure and Cause of Death</w:t>
      </w:r>
    </w:p>
    <w:p w14:paraId="35D9EB09" w14:textId="77777777" w:rsidR="00E941A9" w:rsidRDefault="00E941A9">
      <w:pPr>
        <w:pStyle w:val="BodyDA"/>
        <w:spacing w:after="160" w:line="256" w:lineRule="auto"/>
        <w:ind w:left="720"/>
        <w:rPr>
          <w:sz w:val="21"/>
          <w:szCs w:val="21"/>
          <w:lang w:val="en-US"/>
        </w:rPr>
      </w:pPr>
    </w:p>
    <w:p w14:paraId="35D9EB0A" w14:textId="77777777" w:rsidR="00E941A9" w:rsidRDefault="00012B40">
      <w:pPr>
        <w:pStyle w:val="BodyDA"/>
        <w:rPr>
          <w:sz w:val="21"/>
          <w:szCs w:val="21"/>
          <w:lang w:val="en-US"/>
        </w:rPr>
      </w:pPr>
      <w:r>
        <w:rPr>
          <w:sz w:val="21"/>
          <w:szCs w:val="21"/>
          <w:lang w:val="en-US"/>
        </w:rPr>
        <w:t>All cardiovascular endpoint definitions were modifications based on draft recommendations for CDISC August 20, 2014 (Standardized Definitions for Cardiovascular and Stroke Endpoint Events in Clinical Trials for CDISC, Hicks KA et al August 2014) and were i</w:t>
      </w:r>
      <w:r>
        <w:rPr>
          <w:sz w:val="21"/>
          <w:szCs w:val="21"/>
          <w:lang w:val="en-US"/>
        </w:rPr>
        <w:t xml:space="preserve">ncluded in the Clinical Endpoint Committee (CEC) Charter.  The CEC Charter specified that in the case of limited or missing data, the committee was to adjudicate events based on their clinical expertise and the totality of the evidence. </w:t>
      </w:r>
    </w:p>
    <w:p w14:paraId="35D9EB0B" w14:textId="77777777" w:rsidR="00E941A9" w:rsidRDefault="00E941A9">
      <w:pPr>
        <w:pStyle w:val="BodyDA"/>
        <w:spacing w:after="160" w:line="256" w:lineRule="auto"/>
        <w:rPr>
          <w:sz w:val="21"/>
          <w:szCs w:val="21"/>
          <w:lang w:val="en-US"/>
        </w:rPr>
      </w:pPr>
    </w:p>
    <w:p w14:paraId="35D9EB0C" w14:textId="77777777" w:rsidR="00E941A9" w:rsidRDefault="00012B40">
      <w:pPr>
        <w:pStyle w:val="BodyDA"/>
        <w:keepNext/>
        <w:keepLines/>
        <w:spacing w:before="40" w:line="256" w:lineRule="auto"/>
        <w:outlineLvl w:val="1"/>
        <w:rPr>
          <w:b/>
          <w:bCs/>
          <w:sz w:val="21"/>
          <w:szCs w:val="21"/>
          <w:u w:val="single"/>
          <w:lang w:val="en-US"/>
        </w:rPr>
      </w:pPr>
      <w:r>
        <w:rPr>
          <w:b/>
          <w:bCs/>
          <w:sz w:val="21"/>
          <w:szCs w:val="21"/>
          <w:u w:val="single"/>
          <w:lang w:val="en-US"/>
        </w:rPr>
        <w:t>Hospitalization f</w:t>
      </w:r>
      <w:r>
        <w:rPr>
          <w:b/>
          <w:bCs/>
          <w:sz w:val="21"/>
          <w:szCs w:val="21"/>
          <w:u w:val="single"/>
          <w:lang w:val="en-US"/>
        </w:rPr>
        <w:t xml:space="preserve">or heart failure </w:t>
      </w:r>
    </w:p>
    <w:p w14:paraId="35D9EB0D" w14:textId="77777777" w:rsidR="00E941A9" w:rsidRDefault="00E941A9">
      <w:pPr>
        <w:pStyle w:val="BodyDA"/>
        <w:rPr>
          <w:sz w:val="21"/>
          <w:szCs w:val="21"/>
          <w:lang w:val="en-US"/>
        </w:rPr>
      </w:pPr>
    </w:p>
    <w:p w14:paraId="35D9EB0E" w14:textId="77777777" w:rsidR="00E941A9" w:rsidRDefault="00012B40">
      <w:pPr>
        <w:pStyle w:val="BodyDA"/>
        <w:rPr>
          <w:sz w:val="21"/>
          <w:szCs w:val="21"/>
          <w:lang w:val="en-US"/>
        </w:rPr>
      </w:pPr>
      <w:r>
        <w:rPr>
          <w:sz w:val="21"/>
          <w:szCs w:val="21"/>
          <w:lang w:val="en-US"/>
        </w:rPr>
        <w:t>A Heart Failure Hospitalization should include the following criteria:</w:t>
      </w:r>
    </w:p>
    <w:p w14:paraId="35D9EB0F" w14:textId="77777777" w:rsidR="00E941A9" w:rsidRDefault="00012B40">
      <w:pPr>
        <w:pStyle w:val="BodyDA"/>
        <w:numPr>
          <w:ilvl w:val="0"/>
          <w:numId w:val="2"/>
        </w:numPr>
        <w:spacing w:after="160" w:line="256" w:lineRule="auto"/>
        <w:rPr>
          <w:sz w:val="21"/>
          <w:szCs w:val="21"/>
          <w:lang w:val="en-US"/>
        </w:rPr>
      </w:pPr>
      <w:r>
        <w:rPr>
          <w:sz w:val="21"/>
          <w:szCs w:val="21"/>
          <w:lang w:val="en-US"/>
        </w:rPr>
        <w:t>The adjudicated primary diagnosis is admission to hospital for heart failure.</w:t>
      </w:r>
    </w:p>
    <w:p w14:paraId="35D9EB10" w14:textId="77777777" w:rsidR="00E941A9" w:rsidRDefault="00012B40">
      <w:pPr>
        <w:pStyle w:val="BodyDA"/>
        <w:numPr>
          <w:ilvl w:val="0"/>
          <w:numId w:val="2"/>
        </w:numPr>
        <w:spacing w:after="160" w:line="256" w:lineRule="auto"/>
        <w:rPr>
          <w:sz w:val="21"/>
          <w:szCs w:val="21"/>
          <w:lang w:val="en-US"/>
        </w:rPr>
      </w:pPr>
      <w:r>
        <w:rPr>
          <w:sz w:val="21"/>
          <w:szCs w:val="21"/>
          <w:lang w:val="en-US"/>
        </w:rPr>
        <w:t xml:space="preserve"> The patient</w:t>
      </w:r>
      <w:r>
        <w:rPr>
          <w:sz w:val="21"/>
          <w:szCs w:val="21"/>
          <w:rtl/>
          <w:lang w:val="ar-SA"/>
        </w:rPr>
        <w:t>’</w:t>
      </w:r>
      <w:r>
        <w:rPr>
          <w:sz w:val="21"/>
          <w:szCs w:val="21"/>
          <w:lang w:val="en-US"/>
        </w:rPr>
        <w:t xml:space="preserve">s length-of-stay in hospital extends for at least 12 hours (or a change in </w:t>
      </w:r>
      <w:r>
        <w:rPr>
          <w:sz w:val="21"/>
          <w:szCs w:val="21"/>
          <w:lang w:val="en-US"/>
        </w:rPr>
        <w:t>calendar date if the hospital admission and discharge times are unavailable). Emergency room visit for ≥ 12 hours with intravenous therapy would be considered equivalent as admission to hospital.</w:t>
      </w:r>
    </w:p>
    <w:p w14:paraId="35D9EB11" w14:textId="77777777" w:rsidR="00E941A9" w:rsidRDefault="00012B40">
      <w:pPr>
        <w:pStyle w:val="BodyDA"/>
        <w:numPr>
          <w:ilvl w:val="0"/>
          <w:numId w:val="2"/>
        </w:numPr>
        <w:spacing w:after="160" w:line="256" w:lineRule="auto"/>
        <w:rPr>
          <w:sz w:val="21"/>
          <w:szCs w:val="21"/>
          <w:lang w:val="en-US"/>
        </w:rPr>
      </w:pPr>
      <w:r>
        <w:rPr>
          <w:sz w:val="21"/>
          <w:szCs w:val="21"/>
          <w:lang w:val="en-US"/>
        </w:rPr>
        <w:t>The patient exhibits documented new or worsening symptoms du</w:t>
      </w:r>
      <w:r>
        <w:rPr>
          <w:sz w:val="21"/>
          <w:szCs w:val="21"/>
          <w:lang w:val="en-US"/>
        </w:rPr>
        <w:t>e to HF on presentation, including at least ONE of the following:</w:t>
      </w:r>
    </w:p>
    <w:p w14:paraId="35D9EB12" w14:textId="77777777" w:rsidR="00E941A9" w:rsidRDefault="00012B40">
      <w:pPr>
        <w:pStyle w:val="BodyDA"/>
        <w:numPr>
          <w:ilvl w:val="1"/>
          <w:numId w:val="2"/>
        </w:numPr>
        <w:spacing w:after="160" w:line="256" w:lineRule="auto"/>
        <w:rPr>
          <w:sz w:val="21"/>
          <w:szCs w:val="21"/>
          <w:lang w:val="en-US"/>
        </w:rPr>
      </w:pPr>
      <w:r>
        <w:rPr>
          <w:sz w:val="21"/>
          <w:szCs w:val="21"/>
          <w:lang w:val="en-US"/>
        </w:rPr>
        <w:t>Dyspnea (dyspnea with exertion, dyspnea at rest, orthopnea, paroxysmal dyspnea)</w:t>
      </w:r>
    </w:p>
    <w:p w14:paraId="35D9EB13" w14:textId="77777777" w:rsidR="00E941A9" w:rsidRDefault="00012B40">
      <w:pPr>
        <w:pStyle w:val="BodyDA"/>
        <w:numPr>
          <w:ilvl w:val="1"/>
          <w:numId w:val="2"/>
        </w:numPr>
        <w:spacing w:after="160" w:line="256" w:lineRule="auto"/>
        <w:rPr>
          <w:sz w:val="21"/>
          <w:szCs w:val="21"/>
          <w:lang w:val="en-US"/>
        </w:rPr>
      </w:pPr>
      <w:r>
        <w:rPr>
          <w:sz w:val="21"/>
          <w:szCs w:val="21"/>
          <w:lang w:val="en-US"/>
        </w:rPr>
        <w:t>Decreased exercise tolerance</w:t>
      </w:r>
    </w:p>
    <w:p w14:paraId="35D9EB14" w14:textId="77777777" w:rsidR="00E941A9" w:rsidRDefault="00012B40">
      <w:pPr>
        <w:pStyle w:val="BodyDA"/>
        <w:numPr>
          <w:ilvl w:val="1"/>
          <w:numId w:val="2"/>
        </w:numPr>
        <w:spacing w:after="160" w:line="256" w:lineRule="auto"/>
        <w:rPr>
          <w:sz w:val="21"/>
          <w:szCs w:val="21"/>
          <w:lang w:val="fr-FR"/>
        </w:rPr>
      </w:pPr>
      <w:r>
        <w:rPr>
          <w:sz w:val="21"/>
          <w:szCs w:val="21"/>
          <w:lang w:val="fr-FR"/>
        </w:rPr>
        <w:t>Fatigue</w:t>
      </w:r>
    </w:p>
    <w:p w14:paraId="35D9EB15" w14:textId="77777777" w:rsidR="00E941A9" w:rsidRDefault="00012B40">
      <w:pPr>
        <w:pStyle w:val="BodyDA"/>
        <w:numPr>
          <w:ilvl w:val="1"/>
          <w:numId w:val="2"/>
        </w:numPr>
        <w:spacing w:after="160" w:line="256" w:lineRule="auto"/>
        <w:rPr>
          <w:sz w:val="21"/>
          <w:szCs w:val="21"/>
          <w:lang w:val="en-US"/>
        </w:rPr>
      </w:pPr>
      <w:r>
        <w:rPr>
          <w:sz w:val="21"/>
          <w:szCs w:val="21"/>
          <w:lang w:val="en-US"/>
        </w:rPr>
        <w:t xml:space="preserve">Other symptoms of worsened end-organ perfusion such as </w:t>
      </w:r>
      <w:r>
        <w:rPr>
          <w:sz w:val="21"/>
          <w:szCs w:val="21"/>
          <w:lang w:val="en-US"/>
        </w:rPr>
        <w:t>dizziness, mental confusion or volume overload such as weight gain or lower extremity swelling.</w:t>
      </w:r>
    </w:p>
    <w:p w14:paraId="35D9EB16" w14:textId="77777777" w:rsidR="00E941A9" w:rsidRDefault="00012B40">
      <w:pPr>
        <w:pStyle w:val="BodyDA"/>
        <w:numPr>
          <w:ilvl w:val="0"/>
          <w:numId w:val="2"/>
        </w:numPr>
        <w:spacing w:after="160" w:line="256" w:lineRule="auto"/>
        <w:rPr>
          <w:sz w:val="21"/>
          <w:szCs w:val="21"/>
          <w:lang w:val="en-US"/>
        </w:rPr>
      </w:pPr>
      <w:r>
        <w:rPr>
          <w:sz w:val="21"/>
          <w:szCs w:val="21"/>
          <w:lang w:val="en-US"/>
        </w:rPr>
        <w:t>The patient has objective evidence of new or worsening HF, consisting of at least TWO physical examination findings OR one physical examination finding and at l</w:t>
      </w:r>
      <w:r>
        <w:rPr>
          <w:sz w:val="21"/>
          <w:szCs w:val="21"/>
          <w:lang w:val="en-US"/>
        </w:rPr>
        <w:t>east ONE laboratory criterion), including:</w:t>
      </w:r>
    </w:p>
    <w:p w14:paraId="35D9EB17" w14:textId="77777777" w:rsidR="00E941A9" w:rsidRDefault="00012B40">
      <w:pPr>
        <w:pStyle w:val="BodyDA"/>
        <w:numPr>
          <w:ilvl w:val="1"/>
          <w:numId w:val="2"/>
        </w:numPr>
        <w:spacing w:after="160" w:line="256" w:lineRule="auto"/>
        <w:rPr>
          <w:sz w:val="21"/>
          <w:szCs w:val="21"/>
          <w:lang w:val="en-US"/>
        </w:rPr>
      </w:pPr>
      <w:r>
        <w:rPr>
          <w:sz w:val="21"/>
          <w:szCs w:val="21"/>
          <w:lang w:val="en-US"/>
        </w:rPr>
        <w:t>Physical examination findings considered to be due to heart failure, including new or worsened:</w:t>
      </w:r>
    </w:p>
    <w:p w14:paraId="35D9EB18" w14:textId="77777777" w:rsidR="00E941A9" w:rsidRDefault="00012B40">
      <w:pPr>
        <w:pStyle w:val="BodyDA"/>
        <w:numPr>
          <w:ilvl w:val="2"/>
          <w:numId w:val="2"/>
        </w:numPr>
        <w:spacing w:after="160" w:line="256" w:lineRule="auto"/>
        <w:rPr>
          <w:sz w:val="21"/>
          <w:szCs w:val="21"/>
        </w:rPr>
      </w:pPr>
      <w:r>
        <w:rPr>
          <w:sz w:val="21"/>
          <w:szCs w:val="21"/>
        </w:rPr>
        <w:t>Peripheral edema</w:t>
      </w:r>
    </w:p>
    <w:p w14:paraId="35D9EB19" w14:textId="77777777" w:rsidR="00E941A9" w:rsidRDefault="00012B40">
      <w:pPr>
        <w:pStyle w:val="BodyDA"/>
        <w:numPr>
          <w:ilvl w:val="2"/>
          <w:numId w:val="2"/>
        </w:numPr>
        <w:spacing w:after="160" w:line="256" w:lineRule="auto"/>
        <w:rPr>
          <w:sz w:val="21"/>
          <w:szCs w:val="21"/>
          <w:lang w:val="en-US"/>
        </w:rPr>
      </w:pPr>
      <w:r>
        <w:rPr>
          <w:sz w:val="21"/>
          <w:szCs w:val="21"/>
          <w:lang w:val="en-US"/>
        </w:rPr>
        <w:t>Increasing abdominal distention or ascites (in the absence of primary hepatic disease)</w:t>
      </w:r>
    </w:p>
    <w:p w14:paraId="35D9EB1A" w14:textId="77777777" w:rsidR="00E941A9" w:rsidRDefault="00012B40">
      <w:pPr>
        <w:pStyle w:val="BodyDA"/>
        <w:numPr>
          <w:ilvl w:val="2"/>
          <w:numId w:val="2"/>
        </w:numPr>
        <w:spacing w:after="160" w:line="256" w:lineRule="auto"/>
        <w:rPr>
          <w:sz w:val="21"/>
          <w:szCs w:val="21"/>
          <w:lang w:val="en-US"/>
        </w:rPr>
      </w:pPr>
      <w:r>
        <w:rPr>
          <w:sz w:val="21"/>
          <w:szCs w:val="21"/>
          <w:lang w:val="en-US"/>
        </w:rPr>
        <w:t>Pulmonary rales/crackles/crepitations</w:t>
      </w:r>
    </w:p>
    <w:p w14:paraId="35D9EB1B" w14:textId="77777777" w:rsidR="00E941A9" w:rsidRDefault="00012B40">
      <w:pPr>
        <w:pStyle w:val="BodyDA"/>
        <w:numPr>
          <w:ilvl w:val="2"/>
          <w:numId w:val="2"/>
        </w:numPr>
        <w:spacing w:after="160" w:line="256" w:lineRule="auto"/>
        <w:rPr>
          <w:sz w:val="21"/>
          <w:szCs w:val="21"/>
          <w:lang w:val="en-US"/>
        </w:rPr>
      </w:pPr>
      <w:r>
        <w:rPr>
          <w:sz w:val="21"/>
          <w:szCs w:val="21"/>
          <w:lang w:val="en-US"/>
        </w:rPr>
        <w:t>Increased jugular venous pressure and/or hepatojugular reflux</w:t>
      </w:r>
    </w:p>
    <w:p w14:paraId="35D9EB1C" w14:textId="77777777" w:rsidR="00E941A9" w:rsidRDefault="00012B40">
      <w:pPr>
        <w:pStyle w:val="BodyDA"/>
        <w:numPr>
          <w:ilvl w:val="2"/>
          <w:numId w:val="2"/>
        </w:numPr>
        <w:spacing w:after="160" w:line="256" w:lineRule="auto"/>
        <w:rPr>
          <w:sz w:val="21"/>
          <w:szCs w:val="21"/>
          <w:lang w:val="it-IT"/>
        </w:rPr>
      </w:pPr>
      <w:r>
        <w:rPr>
          <w:sz w:val="21"/>
          <w:szCs w:val="21"/>
          <w:lang w:val="it-IT"/>
        </w:rPr>
        <w:t>S3 gallop</w:t>
      </w:r>
    </w:p>
    <w:p w14:paraId="35D9EB1D" w14:textId="77777777" w:rsidR="00E941A9" w:rsidRDefault="00012B40">
      <w:pPr>
        <w:pStyle w:val="BodyDA"/>
        <w:numPr>
          <w:ilvl w:val="2"/>
          <w:numId w:val="2"/>
        </w:numPr>
        <w:spacing w:after="160" w:line="256" w:lineRule="auto"/>
        <w:rPr>
          <w:sz w:val="21"/>
          <w:szCs w:val="21"/>
          <w:lang w:val="en-US"/>
        </w:rPr>
      </w:pPr>
      <w:r>
        <w:rPr>
          <w:sz w:val="21"/>
          <w:szCs w:val="21"/>
          <w:lang w:val="en-US"/>
        </w:rPr>
        <w:t>Clinically significant or rapid weight gain thought to be related to fluid retention</w:t>
      </w:r>
    </w:p>
    <w:p w14:paraId="35D9EB1E" w14:textId="77777777" w:rsidR="00E941A9" w:rsidRDefault="00012B40">
      <w:pPr>
        <w:pStyle w:val="BodyDA"/>
        <w:numPr>
          <w:ilvl w:val="1"/>
          <w:numId w:val="2"/>
        </w:numPr>
        <w:spacing w:after="160" w:line="256" w:lineRule="auto"/>
        <w:rPr>
          <w:sz w:val="21"/>
          <w:szCs w:val="21"/>
          <w:lang w:val="en-US"/>
        </w:rPr>
      </w:pPr>
      <w:r>
        <w:rPr>
          <w:sz w:val="21"/>
          <w:szCs w:val="21"/>
          <w:lang w:val="en-US"/>
        </w:rPr>
        <w:t>Laboratory evidence of new or worsening HF, if obtained withi</w:t>
      </w:r>
      <w:r>
        <w:rPr>
          <w:sz w:val="21"/>
          <w:szCs w:val="21"/>
          <w:lang w:val="en-US"/>
        </w:rPr>
        <w:t>n 24 hours of presentation, including:</w:t>
      </w:r>
    </w:p>
    <w:p w14:paraId="35D9EB1F" w14:textId="77777777" w:rsidR="00E941A9" w:rsidRDefault="00012B40">
      <w:pPr>
        <w:pStyle w:val="BodyDA"/>
        <w:numPr>
          <w:ilvl w:val="1"/>
          <w:numId w:val="2"/>
        </w:numPr>
        <w:spacing w:after="160" w:line="256" w:lineRule="auto"/>
        <w:rPr>
          <w:sz w:val="21"/>
          <w:szCs w:val="21"/>
          <w:lang w:val="en-US"/>
        </w:rPr>
      </w:pPr>
      <w:r>
        <w:rPr>
          <w:sz w:val="21"/>
          <w:szCs w:val="21"/>
          <w:lang w:val="en-US"/>
        </w:rPr>
        <w:t>Increased B-type natriuretic peptide (BNP)/ N-terminal pro-BNP (NT proBNP) concentrations consistent with decompensation of heart failure. In patients with chronically elevated natriuretic peptides, a significant incr</w:t>
      </w:r>
      <w:r>
        <w:rPr>
          <w:sz w:val="21"/>
          <w:szCs w:val="21"/>
          <w:lang w:val="en-US"/>
        </w:rPr>
        <w:t>ease should be noted above baseline.</w:t>
      </w:r>
    </w:p>
    <w:p w14:paraId="35D9EB20" w14:textId="77777777" w:rsidR="00E941A9" w:rsidRDefault="00012B40">
      <w:pPr>
        <w:pStyle w:val="BodyDA"/>
        <w:numPr>
          <w:ilvl w:val="1"/>
          <w:numId w:val="2"/>
        </w:numPr>
        <w:spacing w:after="160" w:line="256" w:lineRule="auto"/>
        <w:rPr>
          <w:sz w:val="21"/>
          <w:szCs w:val="21"/>
          <w:lang w:val="en-US"/>
        </w:rPr>
      </w:pPr>
      <w:r>
        <w:rPr>
          <w:sz w:val="21"/>
          <w:szCs w:val="21"/>
          <w:lang w:val="en-US"/>
        </w:rPr>
        <w:t xml:space="preserve"> Radiological evidence of pulmonary congestion</w:t>
      </w:r>
    </w:p>
    <w:p w14:paraId="35D9EB21" w14:textId="77777777" w:rsidR="00E941A9" w:rsidRDefault="00012B40">
      <w:pPr>
        <w:pStyle w:val="BodyDA"/>
        <w:numPr>
          <w:ilvl w:val="1"/>
          <w:numId w:val="2"/>
        </w:numPr>
        <w:spacing w:after="160" w:line="256" w:lineRule="auto"/>
        <w:rPr>
          <w:sz w:val="21"/>
          <w:szCs w:val="21"/>
          <w:lang w:val="en-US"/>
        </w:rPr>
      </w:pPr>
      <w:r>
        <w:rPr>
          <w:sz w:val="21"/>
          <w:szCs w:val="21"/>
          <w:lang w:val="en-US"/>
        </w:rPr>
        <w:t>Non-invasive diagnostic evidence of clinically significant elevated left- or right-sided ventricular filling pressure or low cardiac output.  For example, echocardiographic</w:t>
      </w:r>
      <w:r>
        <w:rPr>
          <w:sz w:val="21"/>
          <w:szCs w:val="21"/>
          <w:lang w:val="en-US"/>
        </w:rPr>
        <w:t xml:space="preserve"> criteria could include: E/e</w:t>
      </w:r>
      <w:r>
        <w:rPr>
          <w:sz w:val="21"/>
          <w:szCs w:val="21"/>
          <w:rtl/>
          <w:lang w:val="ar-SA"/>
        </w:rPr>
        <w:t xml:space="preserve">’ </w:t>
      </w:r>
      <w:r>
        <w:rPr>
          <w:sz w:val="21"/>
          <w:szCs w:val="21"/>
          <w:lang w:val="en-US"/>
        </w:rPr>
        <w:t xml:space="preserve">&gt; 15 or D-dominant pulmonary venous inflow pattern, plethoric inferior vena cava with minimal collapse on inspiration, or decreased left ventricular outflow tract (LVOT) minute stroke distance (time velocity integral (TVI))   </w:t>
      </w:r>
      <w:r>
        <w:rPr>
          <w:sz w:val="21"/>
          <w:szCs w:val="21"/>
          <w:lang w:val="en-US"/>
        </w:rPr>
        <w:t xml:space="preserve">  </w:t>
      </w:r>
      <w:r>
        <w:rPr>
          <w:b/>
          <w:bCs/>
          <w:sz w:val="21"/>
          <w:szCs w:val="21"/>
          <w:lang w:val="en-US"/>
        </w:rPr>
        <w:t xml:space="preserve">OR </w:t>
      </w:r>
    </w:p>
    <w:p w14:paraId="35D9EB22" w14:textId="77777777" w:rsidR="00E941A9" w:rsidRDefault="00012B40">
      <w:pPr>
        <w:pStyle w:val="BodyDA"/>
        <w:numPr>
          <w:ilvl w:val="1"/>
          <w:numId w:val="2"/>
        </w:numPr>
        <w:spacing w:after="160" w:line="256" w:lineRule="auto"/>
        <w:rPr>
          <w:sz w:val="21"/>
          <w:szCs w:val="21"/>
          <w:lang w:val="en-US"/>
        </w:rPr>
      </w:pPr>
      <w:r>
        <w:rPr>
          <w:sz w:val="21"/>
          <w:szCs w:val="21"/>
          <w:lang w:val="en-US"/>
        </w:rPr>
        <w:t xml:space="preserve">Invasive diagnostic evidence with right heart catheterization showing a pulmonary capillary wedge pressure (pulmonary artery occlusion pressure) ≥ </w:t>
      </w:r>
      <w:r>
        <w:rPr>
          <w:sz w:val="21"/>
          <w:szCs w:val="21"/>
          <w:lang w:val="fr-FR"/>
        </w:rPr>
        <w:t xml:space="preserve">18 mmHg, central venous pressure </w:t>
      </w:r>
      <w:r>
        <w:rPr>
          <w:sz w:val="21"/>
          <w:szCs w:val="21"/>
          <w:lang w:val="en-US"/>
        </w:rPr>
        <w:t>≥ 12 mmHg, or a cardiac index &lt; 2.2 L/min/m2</w:t>
      </w:r>
    </w:p>
    <w:p w14:paraId="35D9EB25" w14:textId="77777777" w:rsidR="00E941A9" w:rsidRDefault="00012B40">
      <w:pPr>
        <w:pStyle w:val="BodyDA"/>
        <w:rPr>
          <w:sz w:val="21"/>
          <w:szCs w:val="21"/>
          <w:lang w:val="en-US"/>
        </w:rPr>
      </w:pPr>
      <w:r>
        <w:rPr>
          <w:sz w:val="21"/>
          <w:szCs w:val="21"/>
          <w:lang w:val="en-US"/>
        </w:rPr>
        <w:t>5) The patient receives</w:t>
      </w:r>
      <w:r>
        <w:rPr>
          <w:sz w:val="21"/>
          <w:szCs w:val="21"/>
          <w:lang w:val="en-US"/>
        </w:rPr>
        <w:t xml:space="preserve"> initiation or intensification of treatment specifically for HF,</w:t>
      </w:r>
    </w:p>
    <w:p w14:paraId="35D9EB26" w14:textId="77777777" w:rsidR="00E941A9" w:rsidRDefault="00012B40">
      <w:pPr>
        <w:pStyle w:val="BodyDA"/>
        <w:rPr>
          <w:sz w:val="21"/>
          <w:szCs w:val="21"/>
          <w:lang w:val="en-US"/>
        </w:rPr>
      </w:pPr>
      <w:r>
        <w:rPr>
          <w:sz w:val="21"/>
          <w:szCs w:val="21"/>
          <w:lang w:val="en-US"/>
        </w:rPr>
        <w:t>including at least ONE of the following:</w:t>
      </w:r>
    </w:p>
    <w:p w14:paraId="35D9EB27" w14:textId="77777777" w:rsidR="00E941A9" w:rsidRDefault="00012B40">
      <w:pPr>
        <w:pStyle w:val="BodyDA"/>
        <w:ind w:left="720"/>
        <w:rPr>
          <w:sz w:val="21"/>
          <w:szCs w:val="21"/>
          <w:lang w:val="en-US"/>
        </w:rPr>
      </w:pPr>
      <w:r>
        <w:rPr>
          <w:sz w:val="21"/>
          <w:szCs w:val="21"/>
          <w:lang w:val="en-US"/>
        </w:rPr>
        <w:t>a. Augmentation in oral diuretic therapy. NOTE: If the intensification is solely oral diuretics, the duration of hospitalization must be at least 24 h</w:t>
      </w:r>
      <w:r>
        <w:rPr>
          <w:sz w:val="21"/>
          <w:szCs w:val="21"/>
          <w:lang w:val="en-US"/>
        </w:rPr>
        <w:t>ours.</w:t>
      </w:r>
    </w:p>
    <w:p w14:paraId="35D9EB28" w14:textId="77777777" w:rsidR="00E941A9" w:rsidRDefault="00012B40">
      <w:pPr>
        <w:pStyle w:val="BodyDA"/>
        <w:ind w:left="720"/>
        <w:rPr>
          <w:sz w:val="21"/>
          <w:szCs w:val="21"/>
          <w:lang w:val="fr-FR"/>
        </w:rPr>
      </w:pPr>
      <w:r>
        <w:rPr>
          <w:sz w:val="21"/>
          <w:szCs w:val="21"/>
          <w:lang w:val="fr-FR"/>
        </w:rPr>
        <w:t>b. Intravenous diuretic or vasoactive agent (e.g., inotrope, vasopressor, or vasodilator)</w:t>
      </w:r>
    </w:p>
    <w:p w14:paraId="35D9EB29" w14:textId="77777777" w:rsidR="00E941A9" w:rsidRDefault="00012B40">
      <w:pPr>
        <w:pStyle w:val="BodyDA"/>
        <w:ind w:left="720"/>
        <w:rPr>
          <w:sz w:val="21"/>
          <w:szCs w:val="21"/>
          <w:lang w:val="en-US"/>
        </w:rPr>
      </w:pPr>
      <w:r>
        <w:rPr>
          <w:sz w:val="21"/>
          <w:szCs w:val="21"/>
          <w:lang w:val="en-US"/>
        </w:rPr>
        <w:t>c. Mechanical or surgical intervention, including:</w:t>
      </w:r>
    </w:p>
    <w:p w14:paraId="35D9EB2A" w14:textId="77777777" w:rsidR="00E941A9" w:rsidRDefault="00012B40">
      <w:pPr>
        <w:pStyle w:val="BodyDA"/>
        <w:ind w:left="1440"/>
        <w:rPr>
          <w:sz w:val="21"/>
          <w:szCs w:val="21"/>
          <w:lang w:val="en-US"/>
        </w:rPr>
      </w:pPr>
      <w:r>
        <w:rPr>
          <w:sz w:val="21"/>
          <w:szCs w:val="21"/>
          <w:lang w:val="en-US"/>
        </w:rPr>
        <w:t>i. Mechanical circulatory support (e.g., intra-aortic balloon pump, ventricular assist device, extracorporeal</w:t>
      </w:r>
      <w:r>
        <w:rPr>
          <w:sz w:val="21"/>
          <w:szCs w:val="21"/>
          <w:lang w:val="en-US"/>
        </w:rPr>
        <w:t xml:space="preserve"> membrane oxygenation, total artificial heart)</w:t>
      </w:r>
    </w:p>
    <w:p w14:paraId="35D9EB2B" w14:textId="77777777" w:rsidR="00E941A9" w:rsidRDefault="00012B40">
      <w:pPr>
        <w:pStyle w:val="BodyDA"/>
        <w:ind w:left="1440"/>
        <w:rPr>
          <w:sz w:val="21"/>
          <w:szCs w:val="21"/>
          <w:lang w:val="en-US"/>
        </w:rPr>
      </w:pPr>
      <w:r>
        <w:rPr>
          <w:sz w:val="21"/>
          <w:szCs w:val="21"/>
          <w:lang w:val="en-US"/>
        </w:rPr>
        <w:t>ii. Mechanical fluid removal (e.g., ultrafiltration, hemofiltration, dialysis).</w:t>
      </w:r>
    </w:p>
    <w:p w14:paraId="35D9EB2C" w14:textId="77777777" w:rsidR="00E941A9" w:rsidRDefault="00E941A9">
      <w:pPr>
        <w:pStyle w:val="BodyDA"/>
        <w:ind w:left="1440"/>
        <w:rPr>
          <w:sz w:val="21"/>
          <w:szCs w:val="21"/>
          <w:lang w:val="en-US"/>
        </w:rPr>
      </w:pPr>
    </w:p>
    <w:p w14:paraId="35D9EB2D" w14:textId="77777777" w:rsidR="00E941A9" w:rsidRDefault="00012B40">
      <w:pPr>
        <w:pStyle w:val="BodyDA"/>
        <w:rPr>
          <w:sz w:val="21"/>
          <w:szCs w:val="21"/>
          <w:lang w:val="en-US"/>
        </w:rPr>
      </w:pPr>
      <w:r>
        <w:rPr>
          <w:sz w:val="21"/>
          <w:szCs w:val="21"/>
          <w:lang w:val="en-US"/>
        </w:rPr>
        <w:t>An endpoint heart failure hospitalization requires admission to the hospital for heart failure,</w:t>
      </w:r>
    </w:p>
    <w:p w14:paraId="35D9EB2E" w14:textId="77777777" w:rsidR="00E941A9" w:rsidRDefault="00012B40">
      <w:pPr>
        <w:pStyle w:val="BodyDA"/>
        <w:rPr>
          <w:sz w:val="21"/>
          <w:szCs w:val="21"/>
          <w:lang w:val="en-US"/>
        </w:rPr>
      </w:pPr>
      <w:r>
        <w:rPr>
          <w:sz w:val="21"/>
          <w:szCs w:val="21"/>
          <w:lang w:val="en-US"/>
        </w:rPr>
        <w:t xml:space="preserve">worsening of symptoms of </w:t>
      </w:r>
      <w:r>
        <w:rPr>
          <w:sz w:val="21"/>
          <w:szCs w:val="21"/>
          <w:lang w:val="en-US"/>
        </w:rPr>
        <w:t>heart failure, a duration of hospitalization of at least 12 hours, the</w:t>
      </w:r>
    </w:p>
    <w:p w14:paraId="35D9EB2F" w14:textId="77777777" w:rsidR="00E941A9" w:rsidRDefault="00012B40">
      <w:pPr>
        <w:pStyle w:val="BodyDA"/>
        <w:rPr>
          <w:sz w:val="21"/>
          <w:szCs w:val="21"/>
          <w:lang w:val="en-US"/>
        </w:rPr>
      </w:pPr>
      <w:r>
        <w:rPr>
          <w:sz w:val="21"/>
          <w:szCs w:val="21"/>
          <w:lang w:val="en-US"/>
        </w:rPr>
        <w:t>intensification of heart failure therapy, and a committee consensus that the hospitalization was</w:t>
      </w:r>
    </w:p>
    <w:p w14:paraId="35D9EB30" w14:textId="77777777" w:rsidR="00E941A9" w:rsidRDefault="00012B40">
      <w:pPr>
        <w:pStyle w:val="BodyDA"/>
        <w:rPr>
          <w:sz w:val="21"/>
          <w:szCs w:val="21"/>
          <w:lang w:val="en-US"/>
        </w:rPr>
      </w:pPr>
      <w:r>
        <w:rPr>
          <w:sz w:val="21"/>
          <w:szCs w:val="21"/>
          <w:lang w:val="en-US"/>
        </w:rPr>
        <w:t>primarily due to worsening heart failure. Changes in physical signs or laboratory tests,</w:t>
      </w:r>
    </w:p>
    <w:p w14:paraId="35D9EB31" w14:textId="77777777" w:rsidR="00E941A9" w:rsidRDefault="00012B40">
      <w:pPr>
        <w:pStyle w:val="BodyDA"/>
        <w:rPr>
          <w:sz w:val="21"/>
          <w:szCs w:val="21"/>
          <w:lang w:val="en-US"/>
        </w:rPr>
      </w:pPr>
      <w:r>
        <w:rPr>
          <w:sz w:val="21"/>
          <w:szCs w:val="21"/>
          <w:lang w:val="en-US"/>
        </w:rPr>
        <w:t>whenever available and documented, will be considered to be supportive.</w:t>
      </w:r>
    </w:p>
    <w:p w14:paraId="35D9EB32" w14:textId="77777777" w:rsidR="00E941A9" w:rsidRDefault="00E941A9">
      <w:pPr>
        <w:pStyle w:val="BodyDA"/>
        <w:rPr>
          <w:sz w:val="21"/>
          <w:szCs w:val="21"/>
          <w:lang w:val="en-US"/>
        </w:rPr>
      </w:pPr>
    </w:p>
    <w:p w14:paraId="35D9EB33" w14:textId="77777777" w:rsidR="00E941A9" w:rsidRDefault="00E941A9">
      <w:pPr>
        <w:pStyle w:val="BodyDA"/>
        <w:rPr>
          <w:sz w:val="21"/>
          <w:szCs w:val="21"/>
          <w:lang w:val="en-US"/>
        </w:rPr>
      </w:pPr>
    </w:p>
    <w:p w14:paraId="35D9EB34" w14:textId="77777777" w:rsidR="00E941A9" w:rsidRDefault="00012B40">
      <w:pPr>
        <w:pStyle w:val="BodyDA"/>
        <w:keepNext/>
        <w:keepLines/>
        <w:spacing w:before="40" w:line="256" w:lineRule="auto"/>
        <w:outlineLvl w:val="1"/>
        <w:rPr>
          <w:b/>
          <w:bCs/>
          <w:sz w:val="21"/>
          <w:szCs w:val="21"/>
          <w:u w:val="single"/>
          <w:lang w:val="en-US"/>
        </w:rPr>
      </w:pPr>
      <w:r>
        <w:rPr>
          <w:b/>
          <w:bCs/>
          <w:sz w:val="21"/>
          <w:szCs w:val="21"/>
          <w:u w:val="single"/>
          <w:lang w:val="en-US"/>
        </w:rPr>
        <w:t>Cause of death</w:t>
      </w:r>
    </w:p>
    <w:p w14:paraId="35D9EB35" w14:textId="77777777" w:rsidR="00E941A9" w:rsidRDefault="00E941A9">
      <w:pPr>
        <w:pStyle w:val="BodyDA"/>
        <w:rPr>
          <w:sz w:val="21"/>
          <w:szCs w:val="21"/>
          <w:lang w:val="en-US"/>
        </w:rPr>
      </w:pPr>
    </w:p>
    <w:p w14:paraId="35D9EB36" w14:textId="77777777" w:rsidR="00E941A9" w:rsidRDefault="00012B40">
      <w:pPr>
        <w:pStyle w:val="BodyDA"/>
        <w:rPr>
          <w:sz w:val="21"/>
          <w:szCs w:val="21"/>
          <w:lang w:val="en-US"/>
        </w:rPr>
      </w:pPr>
      <w:r>
        <w:rPr>
          <w:sz w:val="21"/>
          <w:szCs w:val="21"/>
          <w:lang w:val="en-US"/>
        </w:rPr>
        <w:t>Cause of death was adjudicated, as either Cardiovascular death or Non-Cardiovascular death.  Cause of death was further categorized when possible.</w:t>
      </w:r>
    </w:p>
    <w:p w14:paraId="35D9EB37" w14:textId="77777777" w:rsidR="00E941A9" w:rsidRDefault="00E941A9">
      <w:pPr>
        <w:pStyle w:val="BodyDA"/>
        <w:rPr>
          <w:sz w:val="21"/>
          <w:szCs w:val="21"/>
          <w:lang w:val="en-US"/>
        </w:rPr>
      </w:pPr>
    </w:p>
    <w:p w14:paraId="35D9EB38" w14:textId="77777777" w:rsidR="00E941A9" w:rsidRDefault="00012B40">
      <w:pPr>
        <w:pStyle w:val="BodyDA"/>
        <w:rPr>
          <w:sz w:val="21"/>
          <w:szCs w:val="21"/>
          <w:lang w:val="en-US"/>
        </w:rPr>
      </w:pPr>
      <w:r>
        <w:rPr>
          <w:b/>
          <w:bCs/>
          <w:sz w:val="21"/>
          <w:szCs w:val="21"/>
          <w:lang w:val="en-US"/>
        </w:rPr>
        <w:t>Cardiovascular death</w:t>
      </w:r>
      <w:r>
        <w:rPr>
          <w:sz w:val="21"/>
          <w:szCs w:val="21"/>
          <w:lang w:val="en-US"/>
        </w:rPr>
        <w:t xml:space="preserve"> includes the following categories:</w:t>
      </w:r>
    </w:p>
    <w:p w14:paraId="35D9EB39" w14:textId="77777777" w:rsidR="00E941A9" w:rsidRDefault="00012B40">
      <w:pPr>
        <w:pStyle w:val="BodyDA"/>
        <w:rPr>
          <w:sz w:val="21"/>
          <w:szCs w:val="21"/>
          <w:lang w:val="en-US"/>
        </w:rPr>
      </w:pPr>
      <w:r>
        <w:rPr>
          <w:sz w:val="21"/>
          <w:szCs w:val="21"/>
          <w:lang w:val="en-US"/>
        </w:rPr>
        <w:t>1. Death due to Acute Myocardial Infarction:  refers to a death by any cardiovascular mechanism (e.g., arrhythmia, sudden death, heart failure, stroke, pulmonary embolus,</w:t>
      </w:r>
    </w:p>
    <w:p w14:paraId="35D9EB3A" w14:textId="77777777" w:rsidR="00E941A9" w:rsidRDefault="00012B40">
      <w:pPr>
        <w:pStyle w:val="BodyDA"/>
        <w:rPr>
          <w:sz w:val="21"/>
          <w:szCs w:val="21"/>
          <w:lang w:val="en-US"/>
        </w:rPr>
      </w:pPr>
      <w:r>
        <w:rPr>
          <w:sz w:val="21"/>
          <w:szCs w:val="21"/>
          <w:lang w:val="en-US"/>
        </w:rPr>
        <w:t xml:space="preserve">peripheral arterial disease) </w:t>
      </w:r>
      <w:r>
        <w:rPr>
          <w:sz w:val="21"/>
          <w:szCs w:val="21"/>
          <w:lang w:val="en-US"/>
        </w:rPr>
        <w:t xml:space="preserve">≤ 30 days after a MI related to the immediate consequences of the MI, such as progressive heart failure or recalcitrant arrhythmia. We note that there may be assessable mechanisms of cardiovascular death during this time period, but for simplicity, if the </w:t>
      </w:r>
      <w:r>
        <w:rPr>
          <w:sz w:val="21"/>
          <w:szCs w:val="21"/>
          <w:lang w:val="en-US"/>
        </w:rPr>
        <w:t>cardiovascular death occurs ≤ 30 days of the myocardial infarction, it will be considered a death due to myocardial infarction. Acute MI should be verified to the extent possible by the diagnostic criteria outlined for acute MI or by autopsy findings showi</w:t>
      </w:r>
      <w:r>
        <w:rPr>
          <w:sz w:val="21"/>
          <w:szCs w:val="21"/>
          <w:lang w:val="en-US"/>
        </w:rPr>
        <w:t>ng recent MI or recent coronary thrombosis.</w:t>
      </w:r>
    </w:p>
    <w:p w14:paraId="35D9EB3B" w14:textId="77777777" w:rsidR="00E941A9" w:rsidRDefault="00E941A9">
      <w:pPr>
        <w:pStyle w:val="BodyDA"/>
        <w:rPr>
          <w:sz w:val="21"/>
          <w:szCs w:val="21"/>
          <w:lang w:val="en-US"/>
        </w:rPr>
      </w:pPr>
    </w:p>
    <w:p w14:paraId="35D9EB3C" w14:textId="77777777" w:rsidR="00E941A9" w:rsidRDefault="00012B40">
      <w:pPr>
        <w:pStyle w:val="BodyDA"/>
        <w:rPr>
          <w:sz w:val="21"/>
          <w:szCs w:val="21"/>
          <w:lang w:val="en-US"/>
        </w:rPr>
      </w:pPr>
      <w:r>
        <w:rPr>
          <w:sz w:val="21"/>
          <w:szCs w:val="21"/>
          <w:lang w:val="en-US"/>
        </w:rPr>
        <w:t>Death resulting from a procedure to treat a MI (percutaneous coronary intervention (PCI),</w:t>
      </w:r>
    </w:p>
    <w:p w14:paraId="35D9EB3D" w14:textId="77777777" w:rsidR="00E941A9" w:rsidRDefault="00012B40">
      <w:pPr>
        <w:pStyle w:val="BodyDA"/>
        <w:rPr>
          <w:sz w:val="21"/>
          <w:szCs w:val="21"/>
          <w:lang w:val="en-US"/>
        </w:rPr>
      </w:pPr>
      <w:r>
        <w:rPr>
          <w:sz w:val="21"/>
          <w:szCs w:val="21"/>
          <w:lang w:val="en-US"/>
        </w:rPr>
        <w:t>coronary artery bypass graft surgery (CABG)), or to treat a complication resulting from MI, should also be considered dea</w:t>
      </w:r>
      <w:r>
        <w:rPr>
          <w:sz w:val="21"/>
          <w:szCs w:val="21"/>
          <w:lang w:val="en-US"/>
        </w:rPr>
        <w:t>th due to acute MI.</w:t>
      </w:r>
    </w:p>
    <w:p w14:paraId="35D9EB3E" w14:textId="77777777" w:rsidR="00E941A9" w:rsidRDefault="00E941A9">
      <w:pPr>
        <w:pStyle w:val="BodyDA"/>
        <w:rPr>
          <w:sz w:val="21"/>
          <w:szCs w:val="21"/>
          <w:lang w:val="en-US"/>
        </w:rPr>
      </w:pPr>
    </w:p>
    <w:p w14:paraId="35D9EB3F" w14:textId="77777777" w:rsidR="00E941A9" w:rsidRDefault="00012B40">
      <w:pPr>
        <w:pStyle w:val="BodyDA"/>
        <w:rPr>
          <w:sz w:val="21"/>
          <w:szCs w:val="21"/>
          <w:lang w:val="en-US"/>
        </w:rPr>
      </w:pPr>
      <w:r>
        <w:rPr>
          <w:sz w:val="21"/>
          <w:szCs w:val="21"/>
          <w:lang w:val="en-US"/>
        </w:rPr>
        <w:t>Death resulting from an elective coronary procedure to treat myocardial ischemia (i.e.</w:t>
      </w:r>
    </w:p>
    <w:p w14:paraId="35D9EB40" w14:textId="77777777" w:rsidR="00E941A9" w:rsidRDefault="00012B40">
      <w:pPr>
        <w:pStyle w:val="BodyDA"/>
        <w:rPr>
          <w:sz w:val="21"/>
          <w:szCs w:val="21"/>
          <w:lang w:val="en-US"/>
        </w:rPr>
      </w:pPr>
      <w:r>
        <w:rPr>
          <w:sz w:val="21"/>
          <w:szCs w:val="21"/>
          <w:lang w:val="en-US"/>
        </w:rPr>
        <w:t>chronic stable angina) or death due to a MI that occurs as a direct consequence of a CV</w:t>
      </w:r>
    </w:p>
    <w:p w14:paraId="35D9EB41" w14:textId="77777777" w:rsidR="00E941A9" w:rsidRDefault="00012B40">
      <w:pPr>
        <w:pStyle w:val="BodyDA"/>
        <w:rPr>
          <w:sz w:val="21"/>
          <w:szCs w:val="21"/>
          <w:lang w:val="en-US"/>
        </w:rPr>
      </w:pPr>
      <w:r>
        <w:rPr>
          <w:sz w:val="21"/>
          <w:szCs w:val="21"/>
          <w:lang w:val="en-US"/>
        </w:rPr>
        <w:t xml:space="preserve">investigation/procedure/operation should be considered as a </w:t>
      </w:r>
      <w:r>
        <w:rPr>
          <w:sz w:val="21"/>
          <w:szCs w:val="21"/>
          <w:lang w:val="en-US"/>
        </w:rPr>
        <w:t>death due to a CV procedure.</w:t>
      </w:r>
    </w:p>
    <w:p w14:paraId="35D9EB42" w14:textId="77777777" w:rsidR="00E941A9" w:rsidRDefault="00E941A9">
      <w:pPr>
        <w:pStyle w:val="BodyDA"/>
        <w:rPr>
          <w:sz w:val="21"/>
          <w:szCs w:val="21"/>
          <w:lang w:val="en-US"/>
        </w:rPr>
      </w:pPr>
    </w:p>
    <w:p w14:paraId="35D9EB43" w14:textId="77777777" w:rsidR="00E941A9" w:rsidRDefault="00012B40">
      <w:pPr>
        <w:pStyle w:val="BodyDA"/>
        <w:rPr>
          <w:sz w:val="21"/>
          <w:szCs w:val="21"/>
          <w:lang w:val="en-US"/>
        </w:rPr>
      </w:pPr>
      <w:r>
        <w:rPr>
          <w:sz w:val="21"/>
          <w:szCs w:val="21"/>
          <w:lang w:val="en-US"/>
        </w:rPr>
        <w:t>2. Sudden Cardiac Death refers to a death that occurs unexpectedly, not following an acute</w:t>
      </w:r>
    </w:p>
    <w:p w14:paraId="35D9EB44" w14:textId="77777777" w:rsidR="00E941A9" w:rsidRDefault="00012B40">
      <w:pPr>
        <w:pStyle w:val="BodyDA"/>
        <w:rPr>
          <w:sz w:val="21"/>
          <w:szCs w:val="21"/>
          <w:lang w:val="en-US"/>
        </w:rPr>
      </w:pPr>
      <w:r>
        <w:rPr>
          <w:sz w:val="21"/>
          <w:szCs w:val="21"/>
          <w:lang w:val="en-US"/>
        </w:rPr>
        <w:t>MI, and includes the following deaths:</w:t>
      </w:r>
    </w:p>
    <w:p w14:paraId="35D9EB45" w14:textId="77777777" w:rsidR="00E941A9" w:rsidRDefault="00012B40">
      <w:pPr>
        <w:pStyle w:val="BodyDA"/>
        <w:ind w:left="720"/>
        <w:rPr>
          <w:sz w:val="21"/>
          <w:szCs w:val="21"/>
          <w:lang w:val="en-US"/>
        </w:rPr>
      </w:pPr>
      <w:r>
        <w:rPr>
          <w:sz w:val="21"/>
          <w:szCs w:val="21"/>
          <w:lang w:val="en-US"/>
        </w:rPr>
        <w:t>a. Death witnessed and occurring without new or worsening symptoms</w:t>
      </w:r>
    </w:p>
    <w:p w14:paraId="35D9EB46" w14:textId="77777777" w:rsidR="00E941A9" w:rsidRDefault="00012B40">
      <w:pPr>
        <w:pStyle w:val="BodyDA"/>
        <w:ind w:left="720"/>
        <w:rPr>
          <w:sz w:val="21"/>
          <w:szCs w:val="21"/>
          <w:lang w:val="en-US"/>
        </w:rPr>
      </w:pPr>
      <w:r>
        <w:rPr>
          <w:sz w:val="21"/>
          <w:szCs w:val="21"/>
          <w:lang w:val="en-US"/>
        </w:rPr>
        <w:t xml:space="preserve">b. Death witnessed </w:t>
      </w:r>
      <w:r>
        <w:rPr>
          <w:sz w:val="21"/>
          <w:szCs w:val="21"/>
          <w:lang w:val="en-US"/>
        </w:rPr>
        <w:t>within 60 minutes of the onset of new or worsening cardiac symptoms, unless the symptoms suggest acute MI</w:t>
      </w:r>
    </w:p>
    <w:p w14:paraId="35D9EB47" w14:textId="77777777" w:rsidR="00E941A9" w:rsidRDefault="00012B40">
      <w:pPr>
        <w:pStyle w:val="BodyDA"/>
        <w:ind w:left="720"/>
        <w:rPr>
          <w:sz w:val="21"/>
          <w:szCs w:val="21"/>
          <w:lang w:val="en-US"/>
        </w:rPr>
      </w:pPr>
      <w:r>
        <w:rPr>
          <w:sz w:val="21"/>
          <w:szCs w:val="21"/>
          <w:lang w:val="en-US"/>
        </w:rPr>
        <w:t>c. Death witnessed and attributed to an identified arrhythmia (e.g., captured on an</w:t>
      </w:r>
    </w:p>
    <w:p w14:paraId="35D9EB48" w14:textId="77777777" w:rsidR="00E941A9" w:rsidRDefault="00012B40">
      <w:pPr>
        <w:pStyle w:val="BodyDA"/>
        <w:ind w:left="720"/>
        <w:rPr>
          <w:sz w:val="21"/>
          <w:szCs w:val="21"/>
          <w:lang w:val="en-US"/>
        </w:rPr>
      </w:pPr>
      <w:r>
        <w:rPr>
          <w:sz w:val="21"/>
          <w:szCs w:val="21"/>
          <w:lang w:val="en-US"/>
        </w:rPr>
        <w:t>electrocardiographic (ECG) recording, witnessed on a monitor, or u</w:t>
      </w:r>
      <w:r>
        <w:rPr>
          <w:sz w:val="21"/>
          <w:szCs w:val="21"/>
          <w:lang w:val="en-US"/>
        </w:rPr>
        <w:t>nwitnessed but</w:t>
      </w:r>
    </w:p>
    <w:p w14:paraId="35D9EB49" w14:textId="77777777" w:rsidR="00E941A9" w:rsidRDefault="00012B40">
      <w:pPr>
        <w:pStyle w:val="BodyDA"/>
        <w:ind w:left="720"/>
        <w:rPr>
          <w:sz w:val="21"/>
          <w:szCs w:val="21"/>
          <w:lang w:val="en-US"/>
        </w:rPr>
      </w:pPr>
      <w:r>
        <w:rPr>
          <w:sz w:val="21"/>
          <w:szCs w:val="21"/>
          <w:lang w:val="en-US"/>
        </w:rPr>
        <w:t>found on implantable cardioverter-defibrillator review)</w:t>
      </w:r>
    </w:p>
    <w:p w14:paraId="35D9EB4A" w14:textId="77777777" w:rsidR="00E941A9" w:rsidRDefault="00012B40">
      <w:pPr>
        <w:pStyle w:val="BodyDA"/>
        <w:ind w:left="720"/>
        <w:rPr>
          <w:sz w:val="21"/>
          <w:szCs w:val="21"/>
          <w:lang w:val="en-US"/>
        </w:rPr>
      </w:pPr>
      <w:r>
        <w:rPr>
          <w:sz w:val="21"/>
          <w:szCs w:val="21"/>
          <w:lang w:val="en-US"/>
        </w:rPr>
        <w:t>d. Death after unsuccessful resuscitation from cardiac arrest (e.g., implantable</w:t>
      </w:r>
    </w:p>
    <w:p w14:paraId="35D9EB4B" w14:textId="77777777" w:rsidR="00E941A9" w:rsidRDefault="00012B40">
      <w:pPr>
        <w:pStyle w:val="BodyDA"/>
        <w:ind w:left="720"/>
        <w:rPr>
          <w:sz w:val="21"/>
          <w:szCs w:val="21"/>
          <w:lang w:val="en-US"/>
        </w:rPr>
      </w:pPr>
      <w:r>
        <w:rPr>
          <w:sz w:val="21"/>
          <w:szCs w:val="21"/>
          <w:lang w:val="en-US"/>
        </w:rPr>
        <w:t>cardioverter defibrillator (ICD) unresponsive sudden cardiac death, pulseless</w:t>
      </w:r>
    </w:p>
    <w:p w14:paraId="35D9EB4C" w14:textId="77777777" w:rsidR="00E941A9" w:rsidRDefault="00012B40">
      <w:pPr>
        <w:pStyle w:val="BodyDA"/>
        <w:ind w:left="720"/>
        <w:rPr>
          <w:sz w:val="21"/>
          <w:szCs w:val="21"/>
          <w:lang w:val="en-US"/>
        </w:rPr>
      </w:pPr>
      <w:r>
        <w:rPr>
          <w:sz w:val="21"/>
          <w:szCs w:val="21"/>
          <w:lang w:val="en-US"/>
        </w:rPr>
        <w:t>electrical activity arrest</w:t>
      </w:r>
      <w:r>
        <w:rPr>
          <w:sz w:val="21"/>
          <w:szCs w:val="21"/>
          <w:lang w:val="en-US"/>
        </w:rPr>
        <w:t>)</w:t>
      </w:r>
    </w:p>
    <w:p w14:paraId="35D9EB4D" w14:textId="77777777" w:rsidR="00E941A9" w:rsidRDefault="00012B40">
      <w:pPr>
        <w:pStyle w:val="BodyDA"/>
        <w:ind w:left="720"/>
        <w:rPr>
          <w:sz w:val="21"/>
          <w:szCs w:val="21"/>
          <w:lang w:val="en-US"/>
        </w:rPr>
      </w:pPr>
      <w:r>
        <w:rPr>
          <w:sz w:val="21"/>
          <w:szCs w:val="21"/>
          <w:lang w:val="en-US"/>
        </w:rPr>
        <w:t>e. Death after successful resuscitation from cardiac arrest and without identification</w:t>
      </w:r>
    </w:p>
    <w:p w14:paraId="35D9EB4E" w14:textId="77777777" w:rsidR="00E941A9" w:rsidRDefault="00012B40">
      <w:pPr>
        <w:pStyle w:val="BodyDA"/>
        <w:ind w:left="720"/>
        <w:rPr>
          <w:sz w:val="21"/>
          <w:szCs w:val="21"/>
          <w:lang w:val="en-US"/>
        </w:rPr>
      </w:pPr>
      <w:r>
        <w:rPr>
          <w:sz w:val="21"/>
          <w:szCs w:val="21"/>
          <w:lang w:val="en-US"/>
        </w:rPr>
        <w:t>of a specific cardiac or non-cardiac etiology</w:t>
      </w:r>
    </w:p>
    <w:p w14:paraId="35D9EB4F" w14:textId="77777777" w:rsidR="00E941A9" w:rsidRDefault="00012B40">
      <w:pPr>
        <w:pStyle w:val="BodyDA"/>
        <w:ind w:left="720"/>
        <w:rPr>
          <w:sz w:val="21"/>
          <w:szCs w:val="21"/>
          <w:lang w:val="en-US"/>
        </w:rPr>
      </w:pPr>
      <w:r>
        <w:rPr>
          <w:sz w:val="21"/>
          <w:szCs w:val="21"/>
          <w:lang w:val="en-US"/>
        </w:rPr>
        <w:t>f. Unwitnessed death in a subject seen alive and clinically stable ≤ 72 hours prior to</w:t>
      </w:r>
    </w:p>
    <w:p w14:paraId="35D9EB50" w14:textId="77777777" w:rsidR="00E941A9" w:rsidRDefault="00012B40">
      <w:pPr>
        <w:pStyle w:val="BodyDA"/>
        <w:ind w:left="720"/>
        <w:rPr>
          <w:sz w:val="21"/>
          <w:szCs w:val="21"/>
          <w:lang w:val="en-US"/>
        </w:rPr>
      </w:pPr>
      <w:r>
        <w:rPr>
          <w:sz w:val="21"/>
          <w:szCs w:val="21"/>
          <w:lang w:val="en-US"/>
        </w:rPr>
        <w:t>being found dead without any evide</w:t>
      </w:r>
      <w:r>
        <w:rPr>
          <w:sz w:val="21"/>
          <w:szCs w:val="21"/>
          <w:lang w:val="en-US"/>
        </w:rPr>
        <w:t>nce supporting a specific non-cardiovascular</w:t>
      </w:r>
    </w:p>
    <w:p w14:paraId="35D9EB51" w14:textId="77777777" w:rsidR="00E941A9" w:rsidRDefault="00012B40">
      <w:pPr>
        <w:pStyle w:val="BodyDA"/>
        <w:ind w:left="720"/>
        <w:rPr>
          <w:sz w:val="21"/>
          <w:szCs w:val="21"/>
        </w:rPr>
      </w:pPr>
      <w:r>
        <w:rPr>
          <w:sz w:val="21"/>
          <w:szCs w:val="21"/>
          <w:lang w:val="en-US"/>
        </w:rPr>
        <w:t>cause of death (information regarding the patient</w:t>
      </w:r>
      <w:r>
        <w:rPr>
          <w:sz w:val="21"/>
          <w:szCs w:val="21"/>
          <w:rtl/>
          <w:lang w:val="ar-SA"/>
        </w:rPr>
        <w:t>’</w:t>
      </w:r>
      <w:r>
        <w:rPr>
          <w:sz w:val="21"/>
          <w:szCs w:val="21"/>
          <w:lang w:val="en-US"/>
        </w:rPr>
        <w:t>s clinical status preceding death</w:t>
      </w:r>
    </w:p>
    <w:p w14:paraId="35D9EB52" w14:textId="77777777" w:rsidR="00E941A9" w:rsidRDefault="00012B40">
      <w:pPr>
        <w:pStyle w:val="BodyDA"/>
        <w:ind w:left="720"/>
        <w:rPr>
          <w:sz w:val="21"/>
          <w:szCs w:val="21"/>
          <w:lang w:val="en-US"/>
        </w:rPr>
      </w:pPr>
      <w:r>
        <w:rPr>
          <w:sz w:val="21"/>
          <w:szCs w:val="21"/>
          <w:lang w:val="en-US"/>
        </w:rPr>
        <w:t>should be provided, if available)</w:t>
      </w:r>
    </w:p>
    <w:p w14:paraId="35D9EB53" w14:textId="77777777" w:rsidR="00E941A9" w:rsidRDefault="00012B40">
      <w:pPr>
        <w:pStyle w:val="BodyDA"/>
        <w:rPr>
          <w:b/>
          <w:bCs/>
          <w:sz w:val="21"/>
          <w:szCs w:val="21"/>
          <w:lang w:val="en-US"/>
        </w:rPr>
      </w:pPr>
      <w:r>
        <w:rPr>
          <w:b/>
          <w:bCs/>
          <w:sz w:val="21"/>
          <w:szCs w:val="21"/>
          <w:lang w:val="en-US"/>
        </w:rPr>
        <w:t xml:space="preserve"> </w:t>
      </w:r>
    </w:p>
    <w:p w14:paraId="35D9EB54" w14:textId="77777777" w:rsidR="00E941A9" w:rsidRDefault="00012B40">
      <w:pPr>
        <w:pStyle w:val="BodyDA"/>
        <w:rPr>
          <w:sz w:val="21"/>
          <w:szCs w:val="21"/>
          <w:lang w:val="en-US"/>
        </w:rPr>
      </w:pPr>
      <w:r>
        <w:rPr>
          <w:sz w:val="21"/>
          <w:szCs w:val="21"/>
          <w:lang w:val="en-US"/>
        </w:rPr>
        <w:t>Unless additional information suggests an alternate specific cause of death (e.g., Death</w:t>
      </w:r>
    </w:p>
    <w:p w14:paraId="35D9EB55" w14:textId="77777777" w:rsidR="00E941A9" w:rsidRDefault="00012B40">
      <w:pPr>
        <w:pStyle w:val="BodyDA"/>
        <w:rPr>
          <w:sz w:val="21"/>
          <w:szCs w:val="21"/>
          <w:lang w:val="en-US"/>
        </w:rPr>
      </w:pPr>
      <w:r>
        <w:rPr>
          <w:sz w:val="21"/>
          <w:szCs w:val="21"/>
          <w:lang w:val="en-US"/>
        </w:rPr>
        <w:t>du</w:t>
      </w:r>
      <w:r>
        <w:rPr>
          <w:sz w:val="21"/>
          <w:szCs w:val="21"/>
          <w:lang w:val="en-US"/>
        </w:rPr>
        <w:t>e to Other Cardiovascular Causes), if a patient is noted to be alive ≤ 72 hours of being</w:t>
      </w:r>
    </w:p>
    <w:p w14:paraId="35D9EB56" w14:textId="77777777" w:rsidR="00E941A9" w:rsidRDefault="00012B40">
      <w:pPr>
        <w:pStyle w:val="BodyDA"/>
        <w:rPr>
          <w:sz w:val="21"/>
          <w:szCs w:val="21"/>
          <w:lang w:val="en-US"/>
        </w:rPr>
      </w:pPr>
      <w:r>
        <w:rPr>
          <w:sz w:val="21"/>
          <w:szCs w:val="21"/>
          <w:lang w:val="en-US"/>
        </w:rPr>
        <w:t>found dead, sudden cardiac death (criterion 2f) should be recorded. For patients who were</w:t>
      </w:r>
    </w:p>
    <w:p w14:paraId="35D9EB57" w14:textId="77777777" w:rsidR="00E941A9" w:rsidRDefault="00012B40">
      <w:pPr>
        <w:pStyle w:val="BodyDA"/>
        <w:rPr>
          <w:sz w:val="21"/>
          <w:szCs w:val="21"/>
          <w:lang w:val="en-US"/>
        </w:rPr>
      </w:pPr>
      <w:r>
        <w:rPr>
          <w:sz w:val="21"/>
          <w:szCs w:val="21"/>
          <w:lang w:val="en-US"/>
        </w:rPr>
        <w:t>not observed alive within 72 hours of death, undetermined cause of death shou</w:t>
      </w:r>
      <w:r>
        <w:rPr>
          <w:sz w:val="21"/>
          <w:szCs w:val="21"/>
          <w:lang w:val="en-US"/>
        </w:rPr>
        <w:t>ld be</w:t>
      </w:r>
    </w:p>
    <w:p w14:paraId="35D9EB58" w14:textId="77777777" w:rsidR="00E941A9" w:rsidRDefault="00012B40">
      <w:pPr>
        <w:pStyle w:val="BodyDA"/>
        <w:rPr>
          <w:sz w:val="21"/>
          <w:szCs w:val="21"/>
          <w:lang w:val="en-US"/>
        </w:rPr>
      </w:pPr>
      <w:r>
        <w:rPr>
          <w:sz w:val="21"/>
          <w:szCs w:val="21"/>
          <w:lang w:val="en-US"/>
        </w:rPr>
        <w:t>recorded (e.g., a subject found dead in bed, but who had not been seen by family for</w:t>
      </w:r>
    </w:p>
    <w:p w14:paraId="35D9EB59" w14:textId="77777777" w:rsidR="00E941A9" w:rsidRDefault="00012B40">
      <w:pPr>
        <w:pStyle w:val="BodyDA"/>
        <w:rPr>
          <w:sz w:val="21"/>
          <w:szCs w:val="21"/>
          <w:lang w:val="en-US"/>
        </w:rPr>
      </w:pPr>
      <w:r>
        <w:rPr>
          <w:sz w:val="21"/>
          <w:szCs w:val="21"/>
          <w:lang w:val="en-US"/>
        </w:rPr>
        <w:t xml:space="preserve">several days). </w:t>
      </w:r>
    </w:p>
    <w:p w14:paraId="35D9EB5A" w14:textId="77777777" w:rsidR="00E941A9" w:rsidRDefault="00E941A9">
      <w:pPr>
        <w:pStyle w:val="BodyDA"/>
        <w:rPr>
          <w:sz w:val="21"/>
          <w:szCs w:val="21"/>
          <w:lang w:val="en-US"/>
        </w:rPr>
      </w:pPr>
    </w:p>
    <w:p w14:paraId="35D9EB5B" w14:textId="77777777" w:rsidR="00E941A9" w:rsidRDefault="00012B40">
      <w:pPr>
        <w:pStyle w:val="BodyDA"/>
        <w:rPr>
          <w:sz w:val="21"/>
          <w:szCs w:val="21"/>
          <w:lang w:val="en-US"/>
        </w:rPr>
      </w:pPr>
      <w:r>
        <w:rPr>
          <w:b/>
          <w:bCs/>
          <w:sz w:val="21"/>
          <w:szCs w:val="21"/>
          <w:lang w:val="en-US"/>
        </w:rPr>
        <w:t>3</w:t>
      </w:r>
      <w:r>
        <w:rPr>
          <w:sz w:val="21"/>
          <w:szCs w:val="21"/>
          <w:lang w:val="en-US"/>
        </w:rPr>
        <w:t>. Death due to Heart Failure</w:t>
      </w:r>
      <w:r>
        <w:rPr>
          <w:b/>
          <w:bCs/>
          <w:sz w:val="21"/>
          <w:szCs w:val="21"/>
          <w:lang w:val="en-US"/>
        </w:rPr>
        <w:t xml:space="preserve"> </w:t>
      </w:r>
      <w:r>
        <w:rPr>
          <w:sz w:val="21"/>
          <w:szCs w:val="21"/>
          <w:lang w:val="en-US"/>
        </w:rPr>
        <w:t>refers to a death in association with clinically worsening</w:t>
      </w:r>
    </w:p>
    <w:p w14:paraId="35D9EB5C" w14:textId="77777777" w:rsidR="00E941A9" w:rsidRDefault="00012B40">
      <w:pPr>
        <w:pStyle w:val="BodyDA"/>
        <w:rPr>
          <w:sz w:val="21"/>
          <w:szCs w:val="21"/>
          <w:lang w:val="en-US"/>
        </w:rPr>
      </w:pPr>
      <w:r>
        <w:rPr>
          <w:sz w:val="21"/>
          <w:szCs w:val="21"/>
          <w:lang w:val="en-US"/>
        </w:rPr>
        <w:t xml:space="preserve">symptoms and/or signs of heart failure regardless of HF etiology. Deaths due to heart failure can have various etiologies, including single or recurrent myocardial infarctions, ischemic or non-ischemic cardiomyopathy, hypertension, or valvular disease. </w:t>
      </w:r>
    </w:p>
    <w:p w14:paraId="35D9EB5D" w14:textId="77777777" w:rsidR="00E941A9" w:rsidRDefault="00E941A9">
      <w:pPr>
        <w:pStyle w:val="BodyDA"/>
        <w:rPr>
          <w:sz w:val="21"/>
          <w:szCs w:val="21"/>
          <w:lang w:val="en-US"/>
        </w:rPr>
      </w:pPr>
    </w:p>
    <w:p w14:paraId="35D9EB5E" w14:textId="77777777" w:rsidR="00E941A9" w:rsidRDefault="00012B40">
      <w:pPr>
        <w:pStyle w:val="BodyDA"/>
        <w:rPr>
          <w:sz w:val="21"/>
          <w:szCs w:val="21"/>
          <w:lang w:val="en-US"/>
        </w:rPr>
      </w:pPr>
      <w:r>
        <w:rPr>
          <w:sz w:val="21"/>
          <w:szCs w:val="21"/>
          <w:lang w:val="en-US"/>
        </w:rPr>
        <w:t>N</w:t>
      </w:r>
      <w:r>
        <w:rPr>
          <w:sz w:val="21"/>
          <w:szCs w:val="21"/>
          <w:lang w:val="en-US"/>
        </w:rPr>
        <w:t>ew or worsening signs and/or symptoms of congestive heart failure (CHF) may include any of the following:</w:t>
      </w:r>
    </w:p>
    <w:p w14:paraId="35D9EB5F" w14:textId="77777777" w:rsidR="00E941A9" w:rsidRDefault="00012B40">
      <w:pPr>
        <w:pStyle w:val="BodyDA"/>
        <w:ind w:left="720"/>
        <w:rPr>
          <w:sz w:val="21"/>
          <w:szCs w:val="21"/>
          <w:lang w:val="en-US"/>
        </w:rPr>
      </w:pPr>
      <w:r>
        <w:rPr>
          <w:sz w:val="21"/>
          <w:szCs w:val="21"/>
          <w:lang w:val="en-US"/>
        </w:rPr>
        <w:t>• New or increasing symptoms and/or signs of heart failure requiring the initiation of, or</w:t>
      </w:r>
    </w:p>
    <w:p w14:paraId="35D9EB60" w14:textId="77777777" w:rsidR="00E941A9" w:rsidRDefault="00012B40">
      <w:pPr>
        <w:pStyle w:val="BodyDA"/>
        <w:ind w:left="720"/>
        <w:rPr>
          <w:sz w:val="21"/>
          <w:szCs w:val="21"/>
          <w:lang w:val="en-US"/>
        </w:rPr>
      </w:pPr>
      <w:r>
        <w:rPr>
          <w:sz w:val="21"/>
          <w:szCs w:val="21"/>
          <w:lang w:val="en-US"/>
        </w:rPr>
        <w:t>an increase in, treatment directed at heart failure or occu</w:t>
      </w:r>
      <w:r>
        <w:rPr>
          <w:sz w:val="21"/>
          <w:szCs w:val="21"/>
          <w:lang w:val="en-US"/>
        </w:rPr>
        <w:t>rring in a patient already receiving maximal therapy for heart failure</w:t>
      </w:r>
    </w:p>
    <w:p w14:paraId="35D9EB61" w14:textId="77777777" w:rsidR="00E941A9" w:rsidRDefault="00012B40">
      <w:pPr>
        <w:pStyle w:val="BodyDA"/>
        <w:ind w:left="720"/>
        <w:rPr>
          <w:sz w:val="21"/>
          <w:szCs w:val="21"/>
          <w:lang w:val="en-US"/>
        </w:rPr>
      </w:pPr>
      <w:r>
        <w:rPr>
          <w:sz w:val="21"/>
          <w:szCs w:val="21"/>
          <w:lang w:val="en-US"/>
        </w:rPr>
        <w:t>• Heart failure symptoms or signs requiring continuous intravenous therapy or oxygen</w:t>
      </w:r>
    </w:p>
    <w:p w14:paraId="35D9EB62" w14:textId="77777777" w:rsidR="00E941A9" w:rsidRDefault="00012B40">
      <w:pPr>
        <w:pStyle w:val="BodyDA"/>
        <w:ind w:left="720"/>
        <w:rPr>
          <w:sz w:val="21"/>
          <w:szCs w:val="21"/>
          <w:lang w:val="fr-FR"/>
        </w:rPr>
      </w:pPr>
      <w:r>
        <w:rPr>
          <w:sz w:val="21"/>
          <w:szCs w:val="21"/>
          <w:lang w:val="fr-FR"/>
        </w:rPr>
        <w:t>administration</w:t>
      </w:r>
    </w:p>
    <w:p w14:paraId="35D9EB63" w14:textId="77777777" w:rsidR="00E941A9" w:rsidRDefault="00012B40">
      <w:pPr>
        <w:pStyle w:val="BodyDA"/>
        <w:ind w:left="720"/>
        <w:rPr>
          <w:sz w:val="21"/>
          <w:szCs w:val="21"/>
          <w:lang w:val="en-US"/>
        </w:rPr>
      </w:pPr>
      <w:r>
        <w:rPr>
          <w:sz w:val="21"/>
          <w:szCs w:val="21"/>
          <w:lang w:val="en-US"/>
        </w:rPr>
        <w:t>• Confinement to bed predominantly due to heart failure symptoms</w:t>
      </w:r>
    </w:p>
    <w:p w14:paraId="35D9EB64" w14:textId="77777777" w:rsidR="00E941A9" w:rsidRDefault="00012B40">
      <w:pPr>
        <w:pStyle w:val="BodyDA"/>
        <w:ind w:left="720"/>
        <w:rPr>
          <w:sz w:val="21"/>
          <w:szCs w:val="21"/>
          <w:lang w:val="en-US"/>
        </w:rPr>
      </w:pPr>
      <w:r>
        <w:rPr>
          <w:sz w:val="21"/>
          <w:szCs w:val="21"/>
          <w:lang w:val="en-US"/>
        </w:rPr>
        <w:t xml:space="preserve">• Pulmonary </w:t>
      </w:r>
      <w:r>
        <w:rPr>
          <w:sz w:val="21"/>
          <w:szCs w:val="21"/>
          <w:lang w:val="en-US"/>
        </w:rPr>
        <w:t>edema sufficient to cause tachypnea and distress not occurring in the context of an acute myocardial infarction or as the consequence of a primary event</w:t>
      </w:r>
    </w:p>
    <w:p w14:paraId="35D9EB65" w14:textId="77777777" w:rsidR="00E941A9" w:rsidRDefault="00012B40">
      <w:pPr>
        <w:pStyle w:val="BodyDA"/>
        <w:ind w:left="720"/>
        <w:rPr>
          <w:sz w:val="21"/>
          <w:szCs w:val="21"/>
          <w:lang w:val="en-US"/>
        </w:rPr>
      </w:pPr>
      <w:r>
        <w:rPr>
          <w:sz w:val="21"/>
          <w:szCs w:val="21"/>
          <w:lang w:val="en-US"/>
        </w:rPr>
        <w:t>• Cardiogenic shock, manifest as clinical signs and symptoms of hypoperfusion felt to</w:t>
      </w:r>
    </w:p>
    <w:p w14:paraId="35D9EB66" w14:textId="77777777" w:rsidR="00E941A9" w:rsidRDefault="00012B40">
      <w:pPr>
        <w:pStyle w:val="BodyDA"/>
        <w:ind w:left="720"/>
        <w:rPr>
          <w:sz w:val="21"/>
          <w:szCs w:val="21"/>
          <w:lang w:val="en-US"/>
        </w:rPr>
      </w:pPr>
      <w:r>
        <w:rPr>
          <w:sz w:val="21"/>
          <w:szCs w:val="21"/>
          <w:lang w:val="en-US"/>
        </w:rPr>
        <w:t>be secondary to c</w:t>
      </w:r>
      <w:r>
        <w:rPr>
          <w:sz w:val="21"/>
          <w:szCs w:val="21"/>
          <w:lang w:val="en-US"/>
        </w:rPr>
        <w:t>ardiac dysfunction, and not occurring in the context of an acute myocardial infarction or as the consequence of a primary arrhythmic event</w:t>
      </w:r>
    </w:p>
    <w:p w14:paraId="35D9EB67" w14:textId="77777777" w:rsidR="00E941A9" w:rsidRDefault="00012B40">
      <w:pPr>
        <w:pStyle w:val="BodyDA"/>
        <w:ind w:left="720"/>
        <w:rPr>
          <w:sz w:val="21"/>
          <w:szCs w:val="21"/>
          <w:lang w:val="en-US"/>
        </w:rPr>
      </w:pPr>
      <w:r>
        <w:rPr>
          <w:sz w:val="21"/>
          <w:szCs w:val="21"/>
          <w:lang w:val="en-US"/>
        </w:rPr>
        <w:t>• Patients who are hospitalized and are being actively treated for heart failure and who</w:t>
      </w:r>
    </w:p>
    <w:p w14:paraId="35D9EB68" w14:textId="77777777" w:rsidR="00E941A9" w:rsidRDefault="00012B40">
      <w:pPr>
        <w:pStyle w:val="BodyDA"/>
        <w:ind w:left="720"/>
        <w:rPr>
          <w:sz w:val="21"/>
          <w:szCs w:val="21"/>
          <w:lang w:val="en-US"/>
        </w:rPr>
      </w:pPr>
      <w:r>
        <w:rPr>
          <w:sz w:val="21"/>
          <w:szCs w:val="21"/>
          <w:lang w:val="en-US"/>
        </w:rPr>
        <w:t>have a sudden death as the t</w:t>
      </w:r>
      <w:r>
        <w:rPr>
          <w:sz w:val="21"/>
          <w:szCs w:val="21"/>
          <w:lang w:val="en-US"/>
        </w:rPr>
        <w:t>erminal event will be classified as having a heart failure related death.</w:t>
      </w:r>
    </w:p>
    <w:p w14:paraId="35D9EB69" w14:textId="77777777" w:rsidR="00E941A9" w:rsidRDefault="00E941A9">
      <w:pPr>
        <w:pStyle w:val="BodyDA"/>
        <w:ind w:left="720"/>
        <w:rPr>
          <w:sz w:val="21"/>
          <w:szCs w:val="21"/>
          <w:lang w:val="en-US"/>
        </w:rPr>
      </w:pPr>
    </w:p>
    <w:p w14:paraId="35D9EB6A" w14:textId="77777777" w:rsidR="00E941A9" w:rsidRDefault="00012B40">
      <w:pPr>
        <w:pStyle w:val="BodyDA"/>
        <w:rPr>
          <w:sz w:val="21"/>
          <w:szCs w:val="21"/>
          <w:lang w:val="en-US"/>
        </w:rPr>
      </w:pPr>
      <w:r>
        <w:rPr>
          <w:sz w:val="21"/>
          <w:szCs w:val="21"/>
          <w:lang w:val="en-US"/>
        </w:rPr>
        <w:t>4. Death due to Stroke refers to death after a stroke that is either a direct consequence of</w:t>
      </w:r>
    </w:p>
    <w:p w14:paraId="35D9EB6B" w14:textId="77777777" w:rsidR="00E941A9" w:rsidRDefault="00012B40">
      <w:pPr>
        <w:pStyle w:val="BodyDA"/>
        <w:rPr>
          <w:sz w:val="21"/>
          <w:szCs w:val="21"/>
          <w:lang w:val="en-US"/>
        </w:rPr>
      </w:pPr>
      <w:r>
        <w:rPr>
          <w:sz w:val="21"/>
          <w:szCs w:val="21"/>
          <w:lang w:val="en-US"/>
        </w:rPr>
        <w:t>the stroke or a complication of the stroke. Acute stroke should be verified to the exten</w:t>
      </w:r>
      <w:r>
        <w:rPr>
          <w:sz w:val="21"/>
          <w:szCs w:val="21"/>
          <w:lang w:val="en-US"/>
        </w:rPr>
        <w:t>t</w:t>
      </w:r>
    </w:p>
    <w:p w14:paraId="35D9EB6C" w14:textId="77777777" w:rsidR="00E941A9" w:rsidRDefault="00012B40">
      <w:pPr>
        <w:pStyle w:val="BodyDA"/>
        <w:rPr>
          <w:sz w:val="21"/>
          <w:szCs w:val="21"/>
          <w:lang w:val="en-US"/>
        </w:rPr>
      </w:pPr>
      <w:r>
        <w:rPr>
          <w:sz w:val="21"/>
          <w:szCs w:val="21"/>
          <w:lang w:val="en-US"/>
        </w:rPr>
        <w:t>possible by the diagnostic criteria outlined for stroke.</w:t>
      </w:r>
    </w:p>
    <w:p w14:paraId="35D9EB6D" w14:textId="77777777" w:rsidR="00E941A9" w:rsidRDefault="00E941A9">
      <w:pPr>
        <w:pStyle w:val="BodyDA"/>
        <w:rPr>
          <w:sz w:val="21"/>
          <w:szCs w:val="21"/>
          <w:lang w:val="en-US"/>
        </w:rPr>
      </w:pPr>
    </w:p>
    <w:p w14:paraId="35D9EB6E" w14:textId="77777777" w:rsidR="00E941A9" w:rsidRDefault="00012B40">
      <w:pPr>
        <w:pStyle w:val="BodyDA"/>
        <w:rPr>
          <w:sz w:val="21"/>
          <w:szCs w:val="21"/>
          <w:lang w:val="en-US"/>
        </w:rPr>
      </w:pPr>
      <w:r>
        <w:rPr>
          <w:sz w:val="21"/>
          <w:szCs w:val="21"/>
          <w:lang w:val="en-US"/>
        </w:rPr>
        <w:t>5. Death due to Cardiovascular Procedures refers to death caused by the immediate complications of a cardiac procedure.</w:t>
      </w:r>
    </w:p>
    <w:p w14:paraId="35D9EB6F" w14:textId="77777777" w:rsidR="00E941A9" w:rsidRDefault="00E941A9">
      <w:pPr>
        <w:pStyle w:val="BodyDA"/>
        <w:rPr>
          <w:sz w:val="21"/>
          <w:szCs w:val="21"/>
          <w:lang w:val="en-US"/>
        </w:rPr>
      </w:pPr>
    </w:p>
    <w:p w14:paraId="35D9EB70" w14:textId="77777777" w:rsidR="00E941A9" w:rsidRDefault="00012B40">
      <w:pPr>
        <w:pStyle w:val="BodyDA"/>
        <w:rPr>
          <w:sz w:val="21"/>
          <w:szCs w:val="21"/>
          <w:lang w:val="en-US"/>
        </w:rPr>
      </w:pPr>
      <w:r>
        <w:rPr>
          <w:sz w:val="21"/>
          <w:szCs w:val="21"/>
          <w:lang w:val="en-US"/>
        </w:rPr>
        <w:t>6. Death due to Cardiovascular Hemorrhage</w:t>
      </w:r>
      <w:r>
        <w:rPr>
          <w:b/>
          <w:bCs/>
          <w:sz w:val="21"/>
          <w:szCs w:val="21"/>
          <w:lang w:val="en-US"/>
        </w:rPr>
        <w:t xml:space="preserve"> </w:t>
      </w:r>
      <w:r>
        <w:rPr>
          <w:sz w:val="21"/>
          <w:szCs w:val="21"/>
          <w:lang w:val="en-US"/>
        </w:rPr>
        <w:t>refers to death related to hemorr</w:t>
      </w:r>
      <w:r>
        <w:rPr>
          <w:sz w:val="21"/>
          <w:szCs w:val="21"/>
          <w:lang w:val="en-US"/>
        </w:rPr>
        <w:t>hage such</w:t>
      </w:r>
    </w:p>
    <w:p w14:paraId="35D9EB71" w14:textId="77777777" w:rsidR="00E941A9" w:rsidRDefault="00012B40">
      <w:pPr>
        <w:pStyle w:val="BodyDA"/>
        <w:rPr>
          <w:sz w:val="21"/>
          <w:szCs w:val="21"/>
          <w:lang w:val="en-US"/>
        </w:rPr>
      </w:pPr>
      <w:r>
        <w:rPr>
          <w:sz w:val="21"/>
          <w:szCs w:val="21"/>
          <w:lang w:val="en-US"/>
        </w:rPr>
        <w:t>as a non-stroke intracranial hemorrhage, non-procedural or non-traumatic vascular</w:t>
      </w:r>
    </w:p>
    <w:p w14:paraId="35D9EB72" w14:textId="77777777" w:rsidR="00E941A9" w:rsidRDefault="00012B40">
      <w:pPr>
        <w:pStyle w:val="BodyDA"/>
        <w:rPr>
          <w:sz w:val="21"/>
          <w:szCs w:val="21"/>
          <w:lang w:val="en-US"/>
        </w:rPr>
      </w:pPr>
      <w:r>
        <w:rPr>
          <w:sz w:val="21"/>
          <w:szCs w:val="21"/>
          <w:lang w:val="en-US"/>
        </w:rPr>
        <w:t>rupture (e.g., aortic aneurysm), or hemorrhage causing cardiac tamponade.</w:t>
      </w:r>
    </w:p>
    <w:p w14:paraId="35D9EB73" w14:textId="77777777" w:rsidR="00E941A9" w:rsidRDefault="00E941A9">
      <w:pPr>
        <w:pStyle w:val="BodyDA"/>
        <w:rPr>
          <w:sz w:val="21"/>
          <w:szCs w:val="21"/>
          <w:lang w:val="en-US"/>
        </w:rPr>
      </w:pPr>
    </w:p>
    <w:p w14:paraId="35D9EB74" w14:textId="77777777" w:rsidR="00E941A9" w:rsidRDefault="00012B40">
      <w:pPr>
        <w:pStyle w:val="BodyDA"/>
        <w:rPr>
          <w:sz w:val="21"/>
          <w:szCs w:val="21"/>
          <w:lang w:val="en-US"/>
        </w:rPr>
      </w:pPr>
      <w:r>
        <w:rPr>
          <w:sz w:val="21"/>
          <w:szCs w:val="21"/>
          <w:lang w:val="en-US"/>
        </w:rPr>
        <w:t>7. Death due to Other Cardiovascular Causes</w:t>
      </w:r>
      <w:r>
        <w:rPr>
          <w:b/>
          <w:bCs/>
          <w:sz w:val="21"/>
          <w:szCs w:val="21"/>
          <w:lang w:val="en-US"/>
        </w:rPr>
        <w:t xml:space="preserve"> </w:t>
      </w:r>
      <w:r>
        <w:rPr>
          <w:sz w:val="21"/>
          <w:szCs w:val="21"/>
          <w:lang w:val="en-US"/>
        </w:rPr>
        <w:t>refers to a CV death not included in the abov</w:t>
      </w:r>
      <w:r>
        <w:rPr>
          <w:sz w:val="21"/>
          <w:szCs w:val="21"/>
          <w:lang w:val="en-US"/>
        </w:rPr>
        <w:t>e categories but with a specific, known cause (e.g., pulmonary embolism or peripheral arterial disease).</w:t>
      </w:r>
    </w:p>
    <w:p w14:paraId="35D9EB75" w14:textId="77777777" w:rsidR="00E941A9" w:rsidRDefault="00E941A9">
      <w:pPr>
        <w:pStyle w:val="BodyDA"/>
        <w:rPr>
          <w:sz w:val="21"/>
          <w:szCs w:val="21"/>
          <w:lang w:val="en-US"/>
        </w:rPr>
      </w:pPr>
    </w:p>
    <w:p w14:paraId="35D9EB76" w14:textId="77777777" w:rsidR="00E941A9" w:rsidRDefault="00012B40">
      <w:pPr>
        <w:pStyle w:val="BodyDA"/>
        <w:rPr>
          <w:sz w:val="21"/>
          <w:szCs w:val="21"/>
          <w:lang w:val="en-US"/>
        </w:rPr>
      </w:pPr>
      <w:r>
        <w:rPr>
          <w:b/>
          <w:bCs/>
          <w:sz w:val="21"/>
          <w:szCs w:val="21"/>
          <w:lang w:val="en-US"/>
        </w:rPr>
        <w:t xml:space="preserve">Non-cardiovascular death </w:t>
      </w:r>
      <w:r>
        <w:rPr>
          <w:sz w:val="21"/>
          <w:szCs w:val="21"/>
          <w:lang w:val="en-US"/>
        </w:rPr>
        <w:t>is defined as any death with a specific cause that is not thought to</w:t>
      </w:r>
    </w:p>
    <w:p w14:paraId="35D9EB77" w14:textId="77777777" w:rsidR="00E941A9" w:rsidRDefault="00012B40">
      <w:pPr>
        <w:pStyle w:val="BodyDA"/>
        <w:rPr>
          <w:sz w:val="21"/>
          <w:szCs w:val="21"/>
          <w:lang w:val="en-US"/>
        </w:rPr>
      </w:pPr>
      <w:r>
        <w:rPr>
          <w:sz w:val="21"/>
          <w:szCs w:val="21"/>
          <w:lang w:val="en-US"/>
        </w:rPr>
        <w:t>be cardiovascular in nature.</w:t>
      </w:r>
    </w:p>
    <w:p w14:paraId="35D9EB78" w14:textId="77777777" w:rsidR="00E941A9" w:rsidRDefault="00E941A9">
      <w:pPr>
        <w:pStyle w:val="BodyDA"/>
        <w:rPr>
          <w:sz w:val="21"/>
          <w:szCs w:val="21"/>
          <w:lang w:val="en-US"/>
        </w:rPr>
      </w:pPr>
    </w:p>
    <w:p w14:paraId="35D9EB79" w14:textId="77777777" w:rsidR="00E941A9" w:rsidRDefault="00012B40">
      <w:pPr>
        <w:pStyle w:val="BodyDA"/>
        <w:rPr>
          <w:sz w:val="21"/>
          <w:szCs w:val="21"/>
          <w:lang w:val="en-US"/>
        </w:rPr>
      </w:pPr>
      <w:r>
        <w:rPr>
          <w:sz w:val="21"/>
          <w:szCs w:val="21"/>
          <w:lang w:val="en-US"/>
        </w:rPr>
        <w:t>The following is a suggest</w:t>
      </w:r>
      <w:r>
        <w:rPr>
          <w:sz w:val="21"/>
          <w:szCs w:val="21"/>
          <w:lang w:val="en-US"/>
        </w:rPr>
        <w:t>ed list of non-CV causes of death:</w:t>
      </w:r>
    </w:p>
    <w:p w14:paraId="35D9EB7A" w14:textId="77777777" w:rsidR="00E941A9" w:rsidRDefault="00012B40">
      <w:pPr>
        <w:pStyle w:val="BodyDA"/>
        <w:rPr>
          <w:sz w:val="21"/>
          <w:szCs w:val="21"/>
          <w:lang w:val="en-US"/>
        </w:rPr>
      </w:pPr>
      <w:r>
        <w:rPr>
          <w:sz w:val="21"/>
          <w:szCs w:val="21"/>
          <w:lang w:val="en-US"/>
        </w:rPr>
        <w:t>• Pulmonary</w:t>
      </w:r>
    </w:p>
    <w:p w14:paraId="35D9EB7B" w14:textId="77777777" w:rsidR="00E941A9" w:rsidRDefault="00012B40">
      <w:pPr>
        <w:pStyle w:val="BodyDA"/>
        <w:rPr>
          <w:sz w:val="21"/>
          <w:szCs w:val="21"/>
          <w:lang w:val="en-US"/>
        </w:rPr>
      </w:pPr>
      <w:r>
        <w:rPr>
          <w:sz w:val="21"/>
          <w:szCs w:val="21"/>
          <w:lang w:val="en-US"/>
        </w:rPr>
        <w:t>• Renal</w:t>
      </w:r>
    </w:p>
    <w:p w14:paraId="35D9EB7C" w14:textId="77777777" w:rsidR="00E941A9" w:rsidRDefault="00012B40">
      <w:pPr>
        <w:pStyle w:val="BodyDA"/>
        <w:rPr>
          <w:sz w:val="21"/>
          <w:szCs w:val="21"/>
        </w:rPr>
      </w:pPr>
      <w:r>
        <w:rPr>
          <w:sz w:val="21"/>
          <w:szCs w:val="21"/>
          <w:lang w:val="en-US"/>
        </w:rPr>
        <w:t xml:space="preserve">• </w:t>
      </w:r>
      <w:r>
        <w:rPr>
          <w:sz w:val="21"/>
          <w:szCs w:val="21"/>
          <w:lang w:val="fr-FR"/>
        </w:rPr>
        <w:t>Gastrointestinal</w:t>
      </w:r>
    </w:p>
    <w:p w14:paraId="35D9EB7D" w14:textId="77777777" w:rsidR="00E941A9" w:rsidRDefault="00012B40">
      <w:pPr>
        <w:pStyle w:val="BodyDA"/>
        <w:rPr>
          <w:sz w:val="21"/>
          <w:szCs w:val="21"/>
        </w:rPr>
      </w:pPr>
      <w:r>
        <w:rPr>
          <w:sz w:val="21"/>
          <w:szCs w:val="21"/>
          <w:lang w:val="en-US"/>
        </w:rPr>
        <w:t xml:space="preserve">• </w:t>
      </w:r>
      <w:r>
        <w:rPr>
          <w:sz w:val="21"/>
          <w:szCs w:val="21"/>
          <w:lang w:val="it-IT"/>
        </w:rPr>
        <w:t>Hepatobiliary</w:t>
      </w:r>
    </w:p>
    <w:p w14:paraId="35D9EB7E" w14:textId="77777777" w:rsidR="00E941A9" w:rsidRDefault="00012B40">
      <w:pPr>
        <w:pStyle w:val="BodyDA"/>
        <w:rPr>
          <w:sz w:val="21"/>
          <w:szCs w:val="21"/>
          <w:lang w:val="en-US"/>
        </w:rPr>
      </w:pPr>
      <w:r>
        <w:rPr>
          <w:sz w:val="21"/>
          <w:szCs w:val="21"/>
          <w:lang w:val="en-US"/>
        </w:rPr>
        <w:t>• Pancreatic</w:t>
      </w:r>
    </w:p>
    <w:p w14:paraId="35D9EB7F" w14:textId="77777777" w:rsidR="00E941A9" w:rsidRDefault="00012B40">
      <w:pPr>
        <w:pStyle w:val="BodyDA"/>
        <w:rPr>
          <w:sz w:val="21"/>
          <w:szCs w:val="21"/>
          <w:lang w:val="en-US"/>
        </w:rPr>
      </w:pPr>
      <w:r>
        <w:rPr>
          <w:sz w:val="21"/>
          <w:szCs w:val="21"/>
          <w:lang w:val="en-US"/>
        </w:rPr>
        <w:t>• Infection (includes sepsis)</w:t>
      </w:r>
    </w:p>
    <w:p w14:paraId="35D9EB80" w14:textId="77777777" w:rsidR="00E941A9" w:rsidRDefault="00012B40">
      <w:pPr>
        <w:pStyle w:val="BodyDA"/>
        <w:rPr>
          <w:sz w:val="21"/>
          <w:szCs w:val="21"/>
          <w:lang w:val="en-US"/>
        </w:rPr>
      </w:pPr>
      <w:r>
        <w:rPr>
          <w:sz w:val="21"/>
          <w:szCs w:val="21"/>
          <w:lang w:val="en-US"/>
        </w:rPr>
        <w:t xml:space="preserve">• Inflammatory (e.g., Systemic Inflammatory Response Syndrome (SIRS) / Immune (including autoimmune) (may include </w:t>
      </w:r>
      <w:r>
        <w:rPr>
          <w:sz w:val="21"/>
          <w:szCs w:val="21"/>
          <w:lang w:val="en-US"/>
        </w:rPr>
        <w:t>anaphylaxis from environmental (e.g., food allergies)</w:t>
      </w:r>
    </w:p>
    <w:p w14:paraId="35D9EB81" w14:textId="77777777" w:rsidR="00E941A9" w:rsidRDefault="00012B40">
      <w:pPr>
        <w:pStyle w:val="BodyDA"/>
        <w:rPr>
          <w:sz w:val="21"/>
          <w:szCs w:val="21"/>
          <w:lang w:val="en-US"/>
        </w:rPr>
      </w:pPr>
      <w:r>
        <w:rPr>
          <w:sz w:val="21"/>
          <w:szCs w:val="21"/>
          <w:lang w:val="en-US"/>
        </w:rPr>
        <w:t>• Hemorrhage that is neither cardiovascular bleeding or a stroke</w:t>
      </w:r>
    </w:p>
    <w:p w14:paraId="35D9EB82" w14:textId="77777777" w:rsidR="00E941A9" w:rsidRDefault="00012B40">
      <w:pPr>
        <w:pStyle w:val="BodyDA"/>
        <w:rPr>
          <w:sz w:val="21"/>
          <w:szCs w:val="21"/>
          <w:lang w:val="en-US"/>
        </w:rPr>
      </w:pPr>
      <w:r>
        <w:rPr>
          <w:sz w:val="21"/>
          <w:szCs w:val="21"/>
          <w:lang w:val="en-US"/>
        </w:rPr>
        <w:t>• Non-CV procedure or surgery</w:t>
      </w:r>
    </w:p>
    <w:p w14:paraId="35D9EB83" w14:textId="77777777" w:rsidR="00E941A9" w:rsidRDefault="00012B40">
      <w:pPr>
        <w:pStyle w:val="BodyDA"/>
        <w:rPr>
          <w:sz w:val="21"/>
          <w:szCs w:val="21"/>
          <w:lang w:val="en-US"/>
        </w:rPr>
      </w:pPr>
      <w:r>
        <w:rPr>
          <w:sz w:val="21"/>
          <w:szCs w:val="21"/>
          <w:lang w:val="en-US"/>
        </w:rPr>
        <w:t>• Trauma</w:t>
      </w:r>
    </w:p>
    <w:p w14:paraId="35D9EB84" w14:textId="77777777" w:rsidR="00E941A9" w:rsidRDefault="00012B40">
      <w:pPr>
        <w:pStyle w:val="BodyDA"/>
        <w:rPr>
          <w:sz w:val="21"/>
          <w:szCs w:val="21"/>
        </w:rPr>
      </w:pPr>
      <w:r>
        <w:rPr>
          <w:sz w:val="21"/>
          <w:szCs w:val="21"/>
          <w:lang w:val="en-US"/>
        </w:rPr>
        <w:t xml:space="preserve">• </w:t>
      </w:r>
      <w:r>
        <w:rPr>
          <w:sz w:val="21"/>
          <w:szCs w:val="21"/>
          <w:lang w:val="fr-FR"/>
        </w:rPr>
        <w:t>Suicide</w:t>
      </w:r>
    </w:p>
    <w:p w14:paraId="35D9EB85" w14:textId="77777777" w:rsidR="00E941A9" w:rsidRDefault="00012B40">
      <w:pPr>
        <w:pStyle w:val="BodyDA"/>
        <w:rPr>
          <w:sz w:val="21"/>
          <w:szCs w:val="21"/>
          <w:lang w:val="en-US"/>
        </w:rPr>
      </w:pPr>
      <w:r>
        <w:rPr>
          <w:sz w:val="21"/>
          <w:szCs w:val="21"/>
          <w:lang w:val="en-US"/>
        </w:rPr>
        <w:t>• Non-prescription drug reaction or overdose</w:t>
      </w:r>
    </w:p>
    <w:p w14:paraId="35D9EB86" w14:textId="77777777" w:rsidR="00E941A9" w:rsidRDefault="00012B40">
      <w:pPr>
        <w:pStyle w:val="BodyDA"/>
        <w:rPr>
          <w:sz w:val="21"/>
          <w:szCs w:val="21"/>
          <w:lang w:val="en-US"/>
        </w:rPr>
      </w:pPr>
      <w:r>
        <w:rPr>
          <w:sz w:val="21"/>
          <w:szCs w:val="21"/>
          <w:lang w:val="en-US"/>
        </w:rPr>
        <w:t>• Prescription drug reaction or overdose (m</w:t>
      </w:r>
      <w:r>
        <w:rPr>
          <w:sz w:val="21"/>
          <w:szCs w:val="21"/>
          <w:lang w:val="en-US"/>
        </w:rPr>
        <w:t>ay include anaphylaxis)</w:t>
      </w:r>
    </w:p>
    <w:p w14:paraId="35D9EB87" w14:textId="77777777" w:rsidR="00E941A9" w:rsidRDefault="00012B40">
      <w:pPr>
        <w:pStyle w:val="BodyDA"/>
        <w:rPr>
          <w:sz w:val="21"/>
          <w:szCs w:val="21"/>
          <w:lang w:val="en-US"/>
        </w:rPr>
      </w:pPr>
      <w:r>
        <w:rPr>
          <w:sz w:val="21"/>
          <w:szCs w:val="21"/>
          <w:lang w:val="en-US"/>
        </w:rPr>
        <w:t>• Neurological (non-cardiovascular)</w:t>
      </w:r>
    </w:p>
    <w:p w14:paraId="35D9EB88" w14:textId="77777777" w:rsidR="00E941A9" w:rsidRDefault="00012B40">
      <w:pPr>
        <w:pStyle w:val="BodyDA"/>
        <w:rPr>
          <w:sz w:val="21"/>
          <w:szCs w:val="21"/>
          <w:lang w:val="en-US"/>
        </w:rPr>
      </w:pPr>
      <w:r>
        <w:rPr>
          <w:sz w:val="21"/>
          <w:szCs w:val="21"/>
          <w:lang w:val="en-US"/>
        </w:rPr>
        <w:t>• Malignancy</w:t>
      </w:r>
    </w:p>
    <w:p w14:paraId="35D9EB89" w14:textId="77777777" w:rsidR="00E941A9" w:rsidRDefault="00012B40">
      <w:pPr>
        <w:pStyle w:val="BodyDA"/>
        <w:rPr>
          <w:sz w:val="21"/>
          <w:szCs w:val="21"/>
          <w:lang w:val="en-US"/>
        </w:rPr>
      </w:pPr>
      <w:r>
        <w:rPr>
          <w:sz w:val="21"/>
          <w:szCs w:val="21"/>
          <w:lang w:val="en-US"/>
        </w:rPr>
        <w:t>• Other non-CV causes</w:t>
      </w:r>
    </w:p>
    <w:p w14:paraId="35D9EB8A" w14:textId="77777777" w:rsidR="00E941A9" w:rsidRDefault="00E941A9">
      <w:pPr>
        <w:pStyle w:val="BodyDA"/>
        <w:rPr>
          <w:sz w:val="21"/>
          <w:szCs w:val="21"/>
          <w:lang w:val="en-US"/>
        </w:rPr>
      </w:pPr>
    </w:p>
    <w:p w14:paraId="35D9EB8B" w14:textId="77777777" w:rsidR="00E941A9" w:rsidRDefault="00012B40">
      <w:pPr>
        <w:pStyle w:val="BodyDA"/>
        <w:rPr>
          <w:sz w:val="21"/>
          <w:szCs w:val="21"/>
          <w:lang w:val="en-US"/>
        </w:rPr>
      </w:pPr>
      <w:r>
        <w:rPr>
          <w:b/>
          <w:bCs/>
          <w:sz w:val="21"/>
          <w:szCs w:val="21"/>
          <w:lang w:val="en-US"/>
        </w:rPr>
        <w:t xml:space="preserve">Undetermined Cause of Death </w:t>
      </w:r>
      <w:r>
        <w:rPr>
          <w:sz w:val="21"/>
          <w:szCs w:val="21"/>
          <w:lang w:val="en-US"/>
        </w:rPr>
        <w:t>refers to a death not attributable to one of the above</w:t>
      </w:r>
    </w:p>
    <w:p w14:paraId="35D9EB8C" w14:textId="77777777" w:rsidR="00E941A9" w:rsidRDefault="00012B40">
      <w:pPr>
        <w:pStyle w:val="BodyDA"/>
        <w:rPr>
          <w:sz w:val="21"/>
          <w:szCs w:val="21"/>
          <w:lang w:val="en-US"/>
        </w:rPr>
      </w:pPr>
      <w:r>
        <w:rPr>
          <w:sz w:val="21"/>
          <w:szCs w:val="21"/>
          <w:lang w:val="en-US"/>
        </w:rPr>
        <w:t>categories of CV death or to a non-CV cause.</w:t>
      </w:r>
    </w:p>
    <w:p w14:paraId="35D9EB8D" w14:textId="77777777" w:rsidR="00E941A9" w:rsidRDefault="00E941A9">
      <w:pPr>
        <w:pStyle w:val="BodyDA"/>
        <w:rPr>
          <w:sz w:val="21"/>
          <w:szCs w:val="21"/>
          <w:lang w:val="en-US"/>
        </w:rPr>
      </w:pPr>
    </w:p>
    <w:p w14:paraId="35D9EB8E" w14:textId="77777777" w:rsidR="00E941A9" w:rsidRDefault="00012B40">
      <w:pPr>
        <w:pStyle w:val="BodyDA"/>
        <w:rPr>
          <w:sz w:val="21"/>
          <w:szCs w:val="21"/>
          <w:lang w:val="en-US"/>
        </w:rPr>
      </w:pPr>
      <w:r>
        <w:rPr>
          <w:sz w:val="21"/>
          <w:szCs w:val="21"/>
          <w:lang w:val="en-US"/>
        </w:rPr>
        <w:t>Occasionally, it may not be pos</w:t>
      </w:r>
      <w:r>
        <w:rPr>
          <w:sz w:val="21"/>
          <w:szCs w:val="21"/>
          <w:lang w:val="en-US"/>
        </w:rPr>
        <w:t>sible to determine exact causality when 2 lethal conditions</w:t>
      </w:r>
    </w:p>
    <w:p w14:paraId="35D9EB8F" w14:textId="77777777" w:rsidR="00E941A9" w:rsidRDefault="00012B40">
      <w:pPr>
        <w:pStyle w:val="BodyDA"/>
        <w:rPr>
          <w:sz w:val="21"/>
          <w:szCs w:val="21"/>
          <w:lang w:val="en-US"/>
        </w:rPr>
      </w:pPr>
      <w:r>
        <w:rPr>
          <w:sz w:val="21"/>
          <w:szCs w:val="21"/>
          <w:lang w:val="en-US"/>
        </w:rPr>
        <w:t>contribute to death equally. In this circumstance all events not due solely to non-CV causes</w:t>
      </w:r>
    </w:p>
    <w:p w14:paraId="35D9EB90" w14:textId="77777777" w:rsidR="00E941A9" w:rsidRDefault="00012B40">
      <w:pPr>
        <w:pStyle w:val="BodyDA"/>
        <w:rPr>
          <w:sz w:val="21"/>
          <w:szCs w:val="21"/>
          <w:lang w:val="en-US"/>
        </w:rPr>
      </w:pPr>
      <w:r>
        <w:rPr>
          <w:sz w:val="21"/>
          <w:szCs w:val="21"/>
          <w:lang w:val="en-US"/>
        </w:rPr>
        <w:t>should be adjudicated as CV-related.</w:t>
      </w:r>
    </w:p>
    <w:p w14:paraId="35D9EB91" w14:textId="77777777" w:rsidR="00E941A9" w:rsidRDefault="00E941A9">
      <w:pPr>
        <w:pStyle w:val="BodyDA"/>
        <w:rPr>
          <w:sz w:val="21"/>
          <w:szCs w:val="21"/>
          <w:lang w:val="en-US"/>
        </w:rPr>
      </w:pPr>
    </w:p>
    <w:p w14:paraId="35D9EB92" w14:textId="77777777" w:rsidR="00E941A9" w:rsidRDefault="00012B40">
      <w:pPr>
        <w:pStyle w:val="BodyDA"/>
        <w:rPr>
          <w:sz w:val="21"/>
          <w:szCs w:val="21"/>
        </w:rPr>
      </w:pPr>
      <w:r>
        <w:rPr>
          <w:sz w:val="21"/>
          <w:szCs w:val="21"/>
          <w:lang w:val="en-US"/>
        </w:rPr>
        <w:t xml:space="preserve">All events for which there is </w:t>
      </w:r>
      <w:r>
        <w:rPr>
          <w:sz w:val="21"/>
          <w:szCs w:val="21"/>
          <w:rtl/>
          <w:lang w:val="ar-SA"/>
        </w:rPr>
        <w:t>“</w:t>
      </w:r>
      <w:r>
        <w:rPr>
          <w:sz w:val="21"/>
          <w:szCs w:val="21"/>
          <w:lang w:val="en-US"/>
        </w:rPr>
        <w:t>lack of information” (e.g., the on</w:t>
      </w:r>
      <w:r>
        <w:rPr>
          <w:sz w:val="21"/>
          <w:szCs w:val="21"/>
          <w:lang w:val="en-US"/>
        </w:rPr>
        <w:t>ly available information is</w:t>
      </w:r>
    </w:p>
    <w:p w14:paraId="35D9EB93" w14:textId="77777777" w:rsidR="00E941A9" w:rsidRDefault="00012B40">
      <w:pPr>
        <w:pStyle w:val="BodyDA"/>
        <w:rPr>
          <w:sz w:val="21"/>
          <w:szCs w:val="21"/>
        </w:rPr>
      </w:pPr>
      <w:r>
        <w:rPr>
          <w:sz w:val="21"/>
          <w:szCs w:val="21"/>
          <w:rtl/>
          <w:lang w:val="ar-SA"/>
        </w:rPr>
        <w:t>“</w:t>
      </w:r>
      <w:r>
        <w:rPr>
          <w:sz w:val="21"/>
          <w:szCs w:val="21"/>
          <w:lang w:val="en-US"/>
        </w:rPr>
        <w:t>patient died”) or when there is insufficient supporting information or detail to assign the</w:t>
      </w:r>
    </w:p>
    <w:p w14:paraId="35D9EB94" w14:textId="77777777" w:rsidR="00E941A9" w:rsidRDefault="00012B40">
      <w:pPr>
        <w:pStyle w:val="BodyDA"/>
      </w:pPr>
      <w:r>
        <w:rPr>
          <w:sz w:val="21"/>
          <w:szCs w:val="21"/>
          <w:lang w:val="en-US"/>
        </w:rPr>
        <w:t>cause of death should be adjudicated as undetermined cause of death.</w:t>
      </w:r>
    </w:p>
    <w:sectPr w:rsidR="00E941A9">
      <w:head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EBA2" w14:textId="77777777" w:rsidR="00000000" w:rsidRDefault="00012B40">
      <w:r>
        <w:separator/>
      </w:r>
    </w:p>
  </w:endnote>
  <w:endnote w:type="continuationSeparator" w:id="0">
    <w:p w14:paraId="35D9EBA4" w14:textId="77777777" w:rsidR="00000000" w:rsidRDefault="000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B9A" w14:textId="38BDD62D" w:rsidR="00E941A9" w:rsidRDefault="00012B40">
    <w:pPr>
      <w:pStyle w:val="Footer"/>
      <w:tabs>
        <w:tab w:val="clear" w:pos="9026"/>
        <w:tab w:val="right" w:pos="9000"/>
      </w:tabs>
      <w:jc w:val="right"/>
    </w:pPr>
    <w:r>
      <w:fldChar w:fldCharType="begin"/>
    </w:r>
    <w:r>
      <w:instrText xml:space="preserve"> PAGE </w:instrText>
    </w:r>
    <w:r w:rsidR="00C522CD">
      <w:fldChar w:fldCharType="separate"/>
    </w:r>
    <w:r w:rsidR="00C522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EB9E" w14:textId="77777777" w:rsidR="00000000" w:rsidRDefault="00012B40">
      <w:r>
        <w:separator/>
      </w:r>
    </w:p>
  </w:footnote>
  <w:footnote w:type="continuationSeparator" w:id="0">
    <w:p w14:paraId="35D9EBA0" w14:textId="77777777" w:rsidR="00000000" w:rsidRDefault="0001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B99" w14:textId="77777777" w:rsidR="00E941A9" w:rsidRDefault="00E941A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B9B" w14:textId="77777777" w:rsidR="00E941A9" w:rsidRDefault="00E941A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B9C" w14:textId="77777777" w:rsidR="00E941A9" w:rsidRDefault="00E941A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B9D" w14:textId="77777777" w:rsidR="00E941A9" w:rsidRDefault="00E941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8F7"/>
    <w:multiLevelType w:val="hybridMultilevel"/>
    <w:tmpl w:val="A2BC86D6"/>
    <w:numStyleLink w:val="ImportedStyle10"/>
  </w:abstractNum>
  <w:abstractNum w:abstractNumId="1" w15:restartNumberingAfterBreak="0">
    <w:nsid w:val="41911D33"/>
    <w:multiLevelType w:val="hybridMultilevel"/>
    <w:tmpl w:val="A2BC86D6"/>
    <w:styleLink w:val="ImportedStyle10"/>
    <w:lvl w:ilvl="0" w:tplc="21DEA4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6AE3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AB4F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06AF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236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2C69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CF4B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4C1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6FF6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A9"/>
    <w:rsid w:val="00012B40"/>
    <w:rsid w:val="003B4E4D"/>
    <w:rsid w:val="00C522CD"/>
    <w:rsid w:val="00E9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870"/>
  <w15:docId w15:val="{3A65874F-79AF-45CC-88D9-247CCB7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
    <w:name w:val="Body D A"/>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next w:val="BodyDA"/>
    <w:pPr>
      <w:keepNext/>
      <w:keepLines/>
      <w:spacing w:before="240"/>
      <w:outlineLvl w:val="0"/>
    </w:pPr>
    <w:rPr>
      <w:rFonts w:ascii="Helvetica Neue" w:eastAsia="Helvetica Neue" w:hAnsi="Helvetica Neue" w:cs="Helvetica Neue"/>
      <w:color w:val="2F5496"/>
      <w:sz w:val="32"/>
      <w:szCs w:val="32"/>
      <w:u w:color="2F5496"/>
      <w:lang w:val="de-DE"/>
      <w14:textOutline w14:w="12700" w14:cap="flat" w14:cmpd="sng" w14:algn="ctr">
        <w14:noFill/>
        <w14:prstDash w14:val="solid"/>
        <w14:miter w14:lim="400000"/>
      </w14:textOutline>
    </w:rPr>
  </w:style>
  <w:style w:type="numbering" w:customStyle="1" w:styleId="ImportedStyle10">
    <w:name w:val="Imported Style 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2665</Words>
  <Characters>15192</Characters>
  <Application>Microsoft Office Word</Application>
  <DocSecurity>0</DocSecurity>
  <Lines>126</Lines>
  <Paragraphs>35</Paragraphs>
  <ScaleCrop>false</ScaleCrop>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Loveall, Laura (ELS-HBE)</cp:lastModifiedBy>
  <cp:revision>4</cp:revision>
  <dcterms:created xsi:type="dcterms:W3CDTF">2022-12-27T21:25:00Z</dcterms:created>
  <dcterms:modified xsi:type="dcterms:W3CDTF">2022-12-27T21:30:00Z</dcterms:modified>
</cp:coreProperties>
</file>