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950" w14:textId="77777777" w:rsidR="0018375B" w:rsidRPr="00703DE1" w:rsidRDefault="0018375B" w:rsidP="0018375B">
      <w:pPr>
        <w:spacing w:line="480" w:lineRule="auto"/>
        <w:jc w:val="both"/>
        <w:rPr>
          <w:color w:val="000000" w:themeColor="text1"/>
          <w:sz w:val="32"/>
          <w:szCs w:val="32"/>
          <w:lang w:val="en-US"/>
        </w:rPr>
      </w:pPr>
    </w:p>
    <w:p w14:paraId="107B0D06" w14:textId="77777777" w:rsidR="0018375B" w:rsidRPr="00703DE1" w:rsidRDefault="0018375B" w:rsidP="0018375B">
      <w:pPr>
        <w:spacing w:line="480" w:lineRule="auto"/>
        <w:jc w:val="both"/>
        <w:rPr>
          <w:b/>
          <w:bCs/>
          <w:color w:val="000000" w:themeColor="text1"/>
          <w:sz w:val="32"/>
          <w:szCs w:val="32"/>
          <w:lang w:val="en-US"/>
        </w:rPr>
      </w:pPr>
      <w:r w:rsidRPr="00703DE1">
        <w:rPr>
          <w:b/>
          <w:bCs/>
          <w:color w:val="000000" w:themeColor="text1"/>
          <w:sz w:val="32"/>
          <w:szCs w:val="32"/>
          <w:lang w:val="en-US"/>
        </w:rPr>
        <w:t>Prognostic value of respiratory compliance course on mortality in COVID-19 patients with vv-ECMO</w:t>
      </w:r>
    </w:p>
    <w:p w14:paraId="02E0FD23" w14:textId="2D567982" w:rsidR="00DB1355" w:rsidRPr="00703DE1" w:rsidRDefault="00703DE1">
      <w:pPr>
        <w:rPr>
          <w:b/>
          <w:bCs/>
          <w:color w:val="000000" w:themeColor="text1"/>
          <w:sz w:val="32"/>
          <w:szCs w:val="32"/>
          <w:lang w:val="en-US"/>
        </w:rPr>
      </w:pPr>
      <w:r w:rsidRPr="00703DE1">
        <w:rPr>
          <w:b/>
          <w:bCs/>
          <w:color w:val="000000" w:themeColor="text1"/>
          <w:sz w:val="32"/>
          <w:szCs w:val="32"/>
          <w:lang w:val="en-US"/>
        </w:rPr>
        <w:t>Additional file</w:t>
      </w:r>
    </w:p>
    <w:p w14:paraId="4B5A983A" w14:textId="77777777" w:rsidR="004B6CBB" w:rsidRPr="00703DE1" w:rsidRDefault="004B6CBB">
      <w:pPr>
        <w:rPr>
          <w:rFonts w:eastAsiaTheme="minorHAnsi"/>
          <w:color w:val="000000" w:themeColor="text1"/>
          <w:sz w:val="32"/>
          <w:szCs w:val="32"/>
          <w:lang w:val="en-US" w:eastAsia="en-US"/>
        </w:rPr>
      </w:pPr>
    </w:p>
    <w:p w14:paraId="2F485FDB" w14:textId="5504B7F0" w:rsidR="00625649" w:rsidRPr="00703DE1" w:rsidRDefault="00625649" w:rsidP="00532ECB">
      <w:pPr>
        <w:spacing w:line="480" w:lineRule="auto"/>
        <w:jc w:val="both"/>
        <w:rPr>
          <w:b/>
          <w:bCs/>
          <w:color w:val="000000" w:themeColor="text1"/>
          <w:sz w:val="32"/>
          <w:szCs w:val="32"/>
          <w:lang w:val="en-US"/>
        </w:rPr>
      </w:pPr>
      <w:bookmarkStart w:id="0" w:name="_Toc116565027"/>
      <w:r w:rsidRPr="00703DE1">
        <w:rPr>
          <w:b/>
          <w:bCs/>
          <w:color w:val="000000" w:themeColor="text1"/>
          <w:sz w:val="32"/>
          <w:szCs w:val="32"/>
          <w:lang w:val="en-US"/>
        </w:rPr>
        <w:t>METHODS</w:t>
      </w:r>
    </w:p>
    <w:p w14:paraId="7F6A010E" w14:textId="7416F1D5" w:rsidR="00532ECB" w:rsidRPr="007E495B" w:rsidRDefault="00532ECB" w:rsidP="00532ECB">
      <w:pPr>
        <w:spacing w:line="480" w:lineRule="auto"/>
        <w:jc w:val="both"/>
        <w:rPr>
          <w:color w:val="000000" w:themeColor="text1"/>
          <w:u w:val="single"/>
          <w:lang w:val="en-US"/>
        </w:rPr>
      </w:pPr>
      <w:r w:rsidRPr="007E495B">
        <w:rPr>
          <w:color w:val="000000" w:themeColor="text1"/>
          <w:u w:val="single"/>
          <w:lang w:val="en-US"/>
        </w:rPr>
        <w:t>vv-ECMO implantation process</w:t>
      </w:r>
    </w:p>
    <w:p w14:paraId="20B7601D" w14:textId="4BB78680" w:rsidR="00532ECB" w:rsidRPr="007E495B" w:rsidRDefault="00532ECB" w:rsidP="00532ECB">
      <w:pPr>
        <w:spacing w:line="480" w:lineRule="auto"/>
        <w:jc w:val="both"/>
        <w:rPr>
          <w:color w:val="000000" w:themeColor="text1"/>
          <w:lang w:val="en-US"/>
        </w:rPr>
      </w:pPr>
      <w:r w:rsidRPr="007E495B">
        <w:rPr>
          <w:color w:val="000000" w:themeColor="text1"/>
          <w:lang w:val="en-US"/>
        </w:rPr>
        <w:t xml:space="preserve">vv-ECMO cannulation was performed locally for patients primarily admitted to the ICUs or, for non-transportable patients in peripheric hospital, by mobile ECMO retrieval teams. These teams were available 24 hours a day and 7 days a week. All implantations were percutaneously ultrasonography-guided, with a venous drainage cannula (from 23 to 29 Fr) inserted </w:t>
      </w:r>
      <w:r w:rsidRPr="007E495B">
        <w:rPr>
          <w:i/>
          <w:iCs/>
          <w:color w:val="000000" w:themeColor="text1"/>
          <w:lang w:val="en-US"/>
        </w:rPr>
        <w:t>via</w:t>
      </w:r>
      <w:r w:rsidRPr="007E495B">
        <w:rPr>
          <w:color w:val="000000" w:themeColor="text1"/>
          <w:lang w:val="en-US"/>
        </w:rPr>
        <w:t xml:space="preserve"> the femoral vein, and a return cannula (from 17 to 19 Fr) inserted </w:t>
      </w:r>
      <w:r w:rsidRPr="007E495B">
        <w:rPr>
          <w:i/>
          <w:iCs/>
          <w:color w:val="000000" w:themeColor="text1"/>
          <w:lang w:val="en-US"/>
        </w:rPr>
        <w:t>via</w:t>
      </w:r>
      <w:r w:rsidRPr="007E495B">
        <w:rPr>
          <w:color w:val="000000" w:themeColor="text1"/>
          <w:lang w:val="en-US"/>
        </w:rPr>
        <w:t xml:space="preserve"> the right jugular vein. Proper positions of cannula tips were checked on a post-implantation chest X-Ray or by ultrasound. Sufficient distance between tips of the cannulas was ensured to avoid excessive recirculation.</w:t>
      </w:r>
    </w:p>
    <w:p w14:paraId="550F69CF" w14:textId="77777777" w:rsidR="00DF0CD9" w:rsidRPr="007E495B" w:rsidRDefault="00DF0CD9" w:rsidP="00DF0CD9">
      <w:pPr>
        <w:spacing w:line="480" w:lineRule="auto"/>
        <w:jc w:val="both"/>
        <w:rPr>
          <w:i/>
          <w:iCs/>
          <w:color w:val="000000" w:themeColor="text1"/>
          <w:lang w:val="en-US"/>
        </w:rPr>
      </w:pPr>
    </w:p>
    <w:p w14:paraId="6B3274BF" w14:textId="756FB5E1" w:rsidR="00DF0CD9" w:rsidRPr="007E495B" w:rsidRDefault="00DF0CD9" w:rsidP="00DF0CD9">
      <w:pPr>
        <w:spacing w:line="480" w:lineRule="auto"/>
        <w:jc w:val="both"/>
        <w:rPr>
          <w:color w:val="000000" w:themeColor="text1"/>
          <w:u w:val="single"/>
          <w:lang w:val="en-US"/>
        </w:rPr>
      </w:pPr>
      <w:r w:rsidRPr="007E495B">
        <w:rPr>
          <w:color w:val="000000" w:themeColor="text1"/>
          <w:u w:val="single"/>
          <w:lang w:val="en-US"/>
        </w:rPr>
        <w:t>Initial management</w:t>
      </w:r>
    </w:p>
    <w:p w14:paraId="34A852F3" w14:textId="0DF5E806" w:rsidR="00086BCF" w:rsidRPr="007E495B" w:rsidRDefault="00086BCF" w:rsidP="00DF0CD9">
      <w:pPr>
        <w:spacing w:line="480" w:lineRule="auto"/>
        <w:jc w:val="both"/>
        <w:rPr>
          <w:color w:val="000000" w:themeColor="text1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t xml:space="preserve">The PEEP level </w:t>
      </w:r>
      <w:r w:rsidR="002905BE" w:rsidRPr="007E495B">
        <w:rPr>
          <w:color w:val="000000" w:themeColor="text1"/>
          <w:shd w:val="clear" w:color="auto" w:fill="FFFFFF"/>
          <w:lang w:val="en-US"/>
        </w:rPr>
        <w:t>on</w:t>
      </w:r>
      <w:r w:rsidRPr="007E495B">
        <w:rPr>
          <w:color w:val="000000" w:themeColor="text1"/>
          <w:shd w:val="clear" w:color="auto" w:fill="FFFFFF"/>
          <w:lang w:val="en-US"/>
        </w:rPr>
        <w:t xml:space="preserve"> ECMO was systematically personalized by different techniques, depending on device availabilities. Three techniques were used for PEEP titration: esophageal pressure, electrical impedance tomography and alveolar opening pressure. This allowed us to identify the optimal PEEP for each patient to obtain the best </w:t>
      </w:r>
      <w:proofErr w:type="spellStart"/>
      <w:r w:rsidRPr="007E495B">
        <w:rPr>
          <w:color w:val="000000" w:themeColor="text1"/>
          <w:shd w:val="clear" w:color="auto" w:fill="FFFFFF"/>
          <w:lang w:val="en-US"/>
        </w:rPr>
        <w:t>C</w:t>
      </w:r>
      <w:r w:rsidR="006656E9" w:rsidRPr="007E495B">
        <w:rPr>
          <w:color w:val="000000" w:themeColor="text1"/>
          <w:shd w:val="clear" w:color="auto" w:fill="FFFFFF"/>
          <w:lang w:val="en-US"/>
        </w:rPr>
        <w:t>rs</w:t>
      </w:r>
      <w:proofErr w:type="spellEnd"/>
      <w:r w:rsidRPr="007E495B">
        <w:rPr>
          <w:color w:val="000000" w:themeColor="text1"/>
          <w:shd w:val="clear" w:color="auto" w:fill="FFFFFF"/>
          <w:lang w:val="en-US"/>
        </w:rPr>
        <w:t>.</w:t>
      </w:r>
    </w:p>
    <w:p w14:paraId="09B5A94B" w14:textId="12E34A5B" w:rsidR="00DF0CD9" w:rsidRPr="007E495B" w:rsidRDefault="00DF0CD9" w:rsidP="00DF0CD9">
      <w:pPr>
        <w:spacing w:line="480" w:lineRule="auto"/>
        <w:jc w:val="both"/>
        <w:rPr>
          <w:color w:val="000000" w:themeColor="text1"/>
          <w:lang w:val="en-US"/>
        </w:rPr>
      </w:pPr>
      <w:r w:rsidRPr="007E495B">
        <w:rPr>
          <w:color w:val="000000" w:themeColor="text1"/>
          <w:lang w:val="en-US"/>
        </w:rPr>
        <w:t xml:space="preserve">Sedation was managed to target a Richmond Agitation-Sedation Scale score of -4 / -5 assessed every 4 hours. Neuromuscular blocker agents were used systematically during the first 48 hours after vv-ECMO initiation and the decision to pursue them was left at intensivist discretion. </w:t>
      </w:r>
    </w:p>
    <w:p w14:paraId="5AAFCD31" w14:textId="77777777" w:rsidR="00625649" w:rsidRPr="007E495B" w:rsidRDefault="00625649" w:rsidP="00532ECB">
      <w:pPr>
        <w:spacing w:line="480" w:lineRule="auto"/>
        <w:jc w:val="both"/>
        <w:rPr>
          <w:b/>
          <w:bCs/>
          <w:color w:val="000000" w:themeColor="text1"/>
          <w:lang w:val="en-US"/>
        </w:rPr>
      </w:pPr>
    </w:p>
    <w:p w14:paraId="7E1770F9" w14:textId="77777777" w:rsidR="00532ECB" w:rsidRPr="007E495B" w:rsidRDefault="00532ECB" w:rsidP="00532ECB">
      <w:pPr>
        <w:spacing w:line="480" w:lineRule="auto"/>
        <w:jc w:val="both"/>
        <w:rPr>
          <w:color w:val="000000" w:themeColor="text1"/>
          <w:u w:val="single"/>
          <w:lang w:val="en-US"/>
        </w:rPr>
      </w:pPr>
      <w:r w:rsidRPr="007E495B">
        <w:rPr>
          <w:color w:val="000000" w:themeColor="text1"/>
          <w:u w:val="single"/>
          <w:lang w:val="en-US"/>
        </w:rPr>
        <w:t>Coagulation management</w:t>
      </w:r>
    </w:p>
    <w:p w14:paraId="64560288" w14:textId="77777777" w:rsidR="00532ECB" w:rsidRPr="007E495B" w:rsidRDefault="00532ECB" w:rsidP="00532ECB">
      <w:pPr>
        <w:spacing w:line="480" w:lineRule="auto"/>
        <w:jc w:val="both"/>
        <w:rPr>
          <w:i/>
          <w:iCs/>
          <w:color w:val="000000" w:themeColor="text1"/>
          <w:lang w:val="en-US"/>
        </w:rPr>
      </w:pPr>
      <w:r w:rsidRPr="007E495B">
        <w:rPr>
          <w:color w:val="000000" w:themeColor="text1"/>
          <w:lang w:val="en-US"/>
        </w:rPr>
        <w:t xml:space="preserve">Continuous infusion of unfractionated heparin was started immediately after vv-ECMO implantation and an anti-Xa at 0.2-0.6 was targeted and checked every day. Transfusion was </w:t>
      </w:r>
      <w:r w:rsidRPr="007E495B">
        <w:rPr>
          <w:color w:val="000000" w:themeColor="text1"/>
          <w:lang w:val="en-US"/>
        </w:rPr>
        <w:lastRenderedPageBreak/>
        <w:t>performed when hemoglobin was lower than 7 g/dl in case of SaO</w:t>
      </w:r>
      <w:r w:rsidRPr="007E495B">
        <w:rPr>
          <w:color w:val="000000" w:themeColor="text1"/>
          <w:vertAlign w:val="subscript"/>
          <w:lang w:val="en-US"/>
        </w:rPr>
        <w:t>2</w:t>
      </w:r>
      <w:r w:rsidRPr="007E495B">
        <w:rPr>
          <w:color w:val="000000" w:themeColor="text1"/>
          <w:lang w:val="en-US"/>
        </w:rPr>
        <w:t xml:space="preserve"> remained below 90% to optimize oxygen delivery. Platelet transfusions were discouraged except in case of severe bleeding or if platelets were lower than 20 G/l. Fibrinogen level was maintained above 1.5 g/L.</w:t>
      </w:r>
    </w:p>
    <w:p w14:paraId="7F437374" w14:textId="77777777" w:rsidR="00DF0CD9" w:rsidRPr="007E495B" w:rsidRDefault="00DF0CD9" w:rsidP="00CF3464">
      <w:pPr>
        <w:spacing w:line="480" w:lineRule="auto"/>
        <w:jc w:val="both"/>
        <w:rPr>
          <w:color w:val="000000" w:themeColor="text1"/>
          <w:u w:val="single"/>
          <w:shd w:val="clear" w:color="auto" w:fill="FFFFFF"/>
          <w:lang w:val="en-US"/>
        </w:rPr>
      </w:pPr>
    </w:p>
    <w:p w14:paraId="49BE3D7F" w14:textId="4B5B0E61" w:rsidR="00CF3464" w:rsidRPr="007E495B" w:rsidRDefault="00CF3464" w:rsidP="00CF3464">
      <w:pPr>
        <w:spacing w:line="480" w:lineRule="auto"/>
        <w:jc w:val="both"/>
        <w:rPr>
          <w:color w:val="000000" w:themeColor="text1"/>
          <w:u w:val="single"/>
          <w:shd w:val="clear" w:color="auto" w:fill="FFFFFF"/>
          <w:lang w:val="en-US"/>
        </w:rPr>
      </w:pPr>
      <w:r w:rsidRPr="007E495B">
        <w:rPr>
          <w:color w:val="000000" w:themeColor="text1"/>
          <w:u w:val="single"/>
          <w:shd w:val="clear" w:color="auto" w:fill="FFFFFF"/>
          <w:lang w:val="en-US"/>
        </w:rPr>
        <w:t xml:space="preserve">vv-ECMO </w:t>
      </w:r>
      <w:proofErr w:type="gramStart"/>
      <w:r w:rsidRPr="007E495B">
        <w:rPr>
          <w:color w:val="000000" w:themeColor="text1"/>
          <w:u w:val="single"/>
          <w:shd w:val="clear" w:color="auto" w:fill="FFFFFF"/>
          <w:lang w:val="en-US"/>
        </w:rPr>
        <w:t>weaning</w:t>
      </w:r>
      <w:proofErr w:type="gramEnd"/>
    </w:p>
    <w:p w14:paraId="6896E206" w14:textId="507F1DCA" w:rsidR="00532ECB" w:rsidRPr="007E495B" w:rsidRDefault="00CF3464" w:rsidP="007D6053">
      <w:pPr>
        <w:spacing w:line="480" w:lineRule="auto"/>
        <w:jc w:val="both"/>
        <w:rPr>
          <w:color w:val="000000" w:themeColor="text1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t xml:space="preserve">Assessment for weaning was performed daily after the first 48h. First, the weaning process was only initiated in patients presenting a significant improvement in </w:t>
      </w:r>
      <w:proofErr w:type="spellStart"/>
      <w:r w:rsidRPr="007E495B">
        <w:rPr>
          <w:color w:val="000000" w:themeColor="text1"/>
          <w:lang w:val="en-US"/>
        </w:rPr>
        <w:t>Crs</w:t>
      </w:r>
      <w:proofErr w:type="spellEnd"/>
      <w:r w:rsidRPr="007E495B">
        <w:rPr>
          <w:color w:val="000000" w:themeColor="text1"/>
          <w:shd w:val="clear" w:color="auto" w:fill="FFFFFF"/>
          <w:lang w:val="en-US"/>
        </w:rPr>
        <w:t xml:space="preserve"> defined by a V</w:t>
      </w:r>
      <w:r w:rsidRPr="007E495B">
        <w:rPr>
          <w:color w:val="000000" w:themeColor="text1"/>
          <w:shd w:val="clear" w:color="auto" w:fill="FFFFFF"/>
          <w:vertAlign w:val="subscript"/>
          <w:lang w:val="en-US"/>
        </w:rPr>
        <w:t>T</w:t>
      </w:r>
      <w:r w:rsidRPr="007E495B">
        <w:rPr>
          <w:color w:val="000000" w:themeColor="text1"/>
          <w:shd w:val="clear" w:color="auto" w:fill="FFFFFF"/>
          <w:lang w:val="en-US"/>
        </w:rPr>
        <w:t xml:space="preserve"> at 6-7 mL/kg of ideal body weight with a PEEP lower than 12 cmH</w:t>
      </w:r>
      <w:r w:rsidRPr="007E495B">
        <w:rPr>
          <w:color w:val="000000" w:themeColor="text1"/>
          <w:shd w:val="clear" w:color="auto" w:fill="FFFFFF"/>
          <w:vertAlign w:val="subscript"/>
          <w:lang w:val="en-US"/>
        </w:rPr>
        <w:t>2</w:t>
      </w:r>
      <w:r w:rsidRPr="007E495B">
        <w:rPr>
          <w:color w:val="000000" w:themeColor="text1"/>
          <w:shd w:val="clear" w:color="auto" w:fill="FFFFFF"/>
          <w:lang w:val="en-US"/>
        </w:rPr>
        <w:t xml:space="preserve">O resulted in a </w:t>
      </w:r>
      <w:proofErr w:type="spellStart"/>
      <w:r w:rsidRPr="007E495B">
        <w:rPr>
          <w:color w:val="000000" w:themeColor="text1"/>
          <w:lang w:val="en-US"/>
        </w:rPr>
        <w:t>P</w:t>
      </w:r>
      <w:r w:rsidRPr="007E495B">
        <w:rPr>
          <w:color w:val="000000" w:themeColor="text1"/>
          <w:vertAlign w:val="subscript"/>
          <w:lang w:val="en-US"/>
        </w:rPr>
        <w:t>plat</w:t>
      </w:r>
      <w:proofErr w:type="spellEnd"/>
      <w:r w:rsidRPr="007E495B">
        <w:rPr>
          <w:color w:val="000000" w:themeColor="text1"/>
          <w:shd w:val="clear" w:color="auto" w:fill="FFFFFF"/>
          <w:lang w:val="en-US"/>
        </w:rPr>
        <w:t xml:space="preserve"> lower than 27 cmH</w:t>
      </w:r>
      <w:r w:rsidRPr="007E495B">
        <w:rPr>
          <w:color w:val="000000" w:themeColor="text1"/>
          <w:shd w:val="clear" w:color="auto" w:fill="FFFFFF"/>
          <w:vertAlign w:val="subscript"/>
          <w:lang w:val="en-US"/>
        </w:rPr>
        <w:t>2</w:t>
      </w:r>
      <w:r w:rsidRPr="007E495B">
        <w:rPr>
          <w:color w:val="000000" w:themeColor="text1"/>
          <w:shd w:val="clear" w:color="auto" w:fill="FFFFFF"/>
          <w:lang w:val="en-US"/>
        </w:rPr>
        <w:t>O with FiO</w:t>
      </w:r>
      <w:r w:rsidRPr="007E495B">
        <w:rPr>
          <w:color w:val="000000" w:themeColor="text1"/>
          <w:shd w:val="clear" w:color="auto" w:fill="FFFFFF"/>
          <w:vertAlign w:val="subscript"/>
          <w:lang w:val="en-US"/>
        </w:rPr>
        <w:t>2</w:t>
      </w:r>
      <w:r w:rsidRPr="007E495B">
        <w:rPr>
          <w:color w:val="000000" w:themeColor="text1"/>
          <w:shd w:val="clear" w:color="auto" w:fill="FFFFFF"/>
          <w:lang w:val="en-US"/>
        </w:rPr>
        <w:t xml:space="preserve"> lower or equal to 60%. Then, the weaning process started by switching off </w:t>
      </w:r>
      <w:r w:rsidRPr="007E495B">
        <w:rPr>
          <w:color w:val="000000" w:themeColor="text1"/>
          <w:lang w:val="en-US"/>
        </w:rPr>
        <w:t>ECMO sweep gas flow and maintaining a minimum ECMO flow upper than 3L/min</w:t>
      </w:r>
      <w:r w:rsidRPr="007E495B">
        <w:rPr>
          <w:color w:val="000000" w:themeColor="text1"/>
          <w:shd w:val="clear" w:color="auto" w:fill="FFFFFF"/>
          <w:lang w:val="en-US"/>
        </w:rPr>
        <w:t xml:space="preserve">. For patients with a body mass index (BMI) </w:t>
      </w:r>
      <w:r w:rsidRPr="007E495B">
        <w:rPr>
          <w:color w:val="000000" w:themeColor="text1"/>
          <w:lang w:val="en-US"/>
        </w:rPr>
        <w:t>greater than 35 kg/m</w:t>
      </w:r>
      <w:r w:rsidRPr="007E495B">
        <w:rPr>
          <w:color w:val="000000" w:themeColor="text1"/>
          <w:vertAlign w:val="superscript"/>
          <w:lang w:val="en-US"/>
        </w:rPr>
        <w:t>2</w:t>
      </w:r>
      <w:r w:rsidRPr="007E495B">
        <w:rPr>
          <w:color w:val="000000" w:themeColor="text1"/>
          <w:lang w:val="en-US"/>
        </w:rPr>
        <w:t xml:space="preserve">, the </w:t>
      </w:r>
      <w:proofErr w:type="spellStart"/>
      <w:r w:rsidRPr="007E495B">
        <w:rPr>
          <w:color w:val="000000" w:themeColor="text1"/>
          <w:lang w:val="en-US"/>
        </w:rPr>
        <w:t>P</w:t>
      </w:r>
      <w:r w:rsidRPr="007E495B">
        <w:rPr>
          <w:color w:val="000000" w:themeColor="text1"/>
          <w:vertAlign w:val="subscript"/>
          <w:lang w:val="en-US"/>
        </w:rPr>
        <w:t>plat</w:t>
      </w:r>
      <w:proofErr w:type="spellEnd"/>
      <w:r w:rsidRPr="007E495B">
        <w:rPr>
          <w:color w:val="000000" w:themeColor="text1"/>
          <w:lang w:val="en-US"/>
        </w:rPr>
        <w:t xml:space="preserve"> target was lower than 35 cmH</w:t>
      </w:r>
      <w:r w:rsidRPr="007E495B">
        <w:rPr>
          <w:color w:val="000000" w:themeColor="text1"/>
          <w:vertAlign w:val="subscript"/>
          <w:lang w:val="en-US"/>
        </w:rPr>
        <w:t>2</w:t>
      </w:r>
      <w:r w:rsidRPr="007E495B">
        <w:rPr>
          <w:color w:val="000000" w:themeColor="text1"/>
          <w:lang w:val="en-US"/>
        </w:rPr>
        <w:t>O. The a</w:t>
      </w:r>
      <w:r w:rsidRPr="007E495B">
        <w:rPr>
          <w:color w:val="000000" w:themeColor="text1"/>
          <w:shd w:val="clear" w:color="auto" w:fill="FFFFFF"/>
          <w:lang w:val="en-US"/>
        </w:rPr>
        <w:t xml:space="preserve">rterial oxygenation and decarboxylation </w:t>
      </w:r>
      <w:r w:rsidRPr="007E495B">
        <w:rPr>
          <w:color w:val="000000" w:themeColor="text1"/>
          <w:lang w:val="en-US"/>
        </w:rPr>
        <w:t>(generally PaO</w:t>
      </w:r>
      <w:r w:rsidRPr="007E495B">
        <w:rPr>
          <w:color w:val="000000" w:themeColor="text1"/>
          <w:vertAlign w:val="subscript"/>
          <w:lang w:val="en-US"/>
        </w:rPr>
        <w:t>2</w:t>
      </w:r>
      <w:r w:rsidRPr="007E495B">
        <w:rPr>
          <w:color w:val="000000" w:themeColor="text1"/>
          <w:lang w:val="en-US"/>
        </w:rPr>
        <w:t xml:space="preserve"> greater than 65 – 70 mmHg and PaCO</w:t>
      </w:r>
      <w:r w:rsidRPr="007E495B">
        <w:rPr>
          <w:color w:val="000000" w:themeColor="text1"/>
          <w:vertAlign w:val="subscript"/>
          <w:lang w:val="en-US"/>
        </w:rPr>
        <w:t>2</w:t>
      </w:r>
      <w:r w:rsidRPr="007E495B">
        <w:rPr>
          <w:color w:val="000000" w:themeColor="text1"/>
          <w:lang w:val="en-US"/>
        </w:rPr>
        <w:t xml:space="preserve"> lower than 45 – 50 mmHg) were</w:t>
      </w:r>
      <w:r w:rsidRPr="007E495B">
        <w:rPr>
          <w:color w:val="000000" w:themeColor="text1"/>
          <w:shd w:val="clear" w:color="auto" w:fill="FFFFFF"/>
          <w:lang w:val="en-US"/>
        </w:rPr>
        <w:t xml:space="preserve"> checked at three, six and twelve hours </w:t>
      </w:r>
      <w:r w:rsidRPr="007E495B">
        <w:rPr>
          <w:color w:val="000000" w:themeColor="text1"/>
          <w:lang w:val="en-US"/>
        </w:rPr>
        <w:t>during the trial.</w:t>
      </w:r>
    </w:p>
    <w:p w14:paraId="34E8DAD9" w14:textId="77777777" w:rsidR="00542019" w:rsidRPr="007E495B" w:rsidRDefault="00542019" w:rsidP="00542019">
      <w:pPr>
        <w:tabs>
          <w:tab w:val="left" w:pos="2552"/>
        </w:tabs>
        <w:spacing w:line="480" w:lineRule="auto"/>
        <w:jc w:val="both"/>
        <w:rPr>
          <w:rFonts w:eastAsiaTheme="minorHAnsi"/>
          <w:i/>
          <w:iCs/>
          <w:color w:val="000000" w:themeColor="text1"/>
          <w:lang w:val="en-US" w:eastAsia="en-US"/>
        </w:rPr>
      </w:pPr>
      <w:r w:rsidRPr="007E495B">
        <w:rPr>
          <w:rFonts w:eastAsiaTheme="minorHAnsi"/>
          <w:i/>
          <w:iCs/>
          <w:color w:val="000000" w:themeColor="text1"/>
          <w:lang w:val="en-US" w:eastAsia="en-US"/>
        </w:rPr>
        <w:t>Withdrawal of care management</w:t>
      </w:r>
    </w:p>
    <w:p w14:paraId="642078B1" w14:textId="77777777" w:rsidR="00542019" w:rsidRPr="007E495B" w:rsidRDefault="00542019" w:rsidP="00542019">
      <w:pPr>
        <w:tabs>
          <w:tab w:val="left" w:pos="2552"/>
        </w:tabs>
        <w:spacing w:line="480" w:lineRule="auto"/>
        <w:jc w:val="both"/>
        <w:rPr>
          <w:color w:val="000000" w:themeColor="text1"/>
          <w:lang w:val="en-US"/>
        </w:rPr>
      </w:pPr>
      <w:r w:rsidRPr="007E495B">
        <w:rPr>
          <w:color w:val="000000" w:themeColor="text1"/>
          <w:lang w:val="en-US"/>
        </w:rPr>
        <w:t>ECMO stopping rules were based on clinical and radiological factors: Clinically, a lack of a significant respiratory improvement over time (</w:t>
      </w:r>
      <w:proofErr w:type="spellStart"/>
      <w:r w:rsidRPr="007E495B">
        <w:rPr>
          <w:color w:val="000000" w:themeColor="text1"/>
          <w:lang w:val="en-US"/>
        </w:rPr>
        <w:t>Crs</w:t>
      </w:r>
      <w:proofErr w:type="spellEnd"/>
      <w:r w:rsidRPr="007E495B">
        <w:rPr>
          <w:color w:val="000000" w:themeColor="text1"/>
          <w:lang w:val="en-US"/>
        </w:rPr>
        <w:t xml:space="preserve"> for instance, persistent hypoxemia or hypercapnia at repeated ECMO weaning trials). Deterioration of the patient’s general condition was also a major factor. When needed, </w:t>
      </w:r>
      <w:proofErr w:type="gramStart"/>
      <w:r w:rsidRPr="007E495B">
        <w:rPr>
          <w:color w:val="000000" w:themeColor="text1"/>
          <w:lang w:val="en-US"/>
        </w:rPr>
        <w:t>i.e.</w:t>
      </w:r>
      <w:proofErr w:type="gramEnd"/>
      <w:r w:rsidRPr="007E495B">
        <w:rPr>
          <w:color w:val="000000" w:themeColor="text1"/>
          <w:lang w:val="en-US"/>
        </w:rPr>
        <w:t xml:space="preserve"> in most cases, a chest computed tomography was performed to ensure the unfavorable evolution of the parenchymal involvement with radiological signs of pulmonary fibrosis (traction bronchiectasis and/or reticulations). Specifically, in France, the rules of withdrawal are regulated (Law Clays Leonetti N°2016-87). Thus, any withdrawal of care can be decided only after gaining a consensus between medical, paramedical teams and the relatives. Moreover, a second expert opinion, independent from the team in charge must be documented in the record.</w:t>
      </w:r>
    </w:p>
    <w:p w14:paraId="41A09360" w14:textId="77777777" w:rsidR="00CF3464" w:rsidRPr="007E495B" w:rsidRDefault="00CF3464" w:rsidP="00B031A4">
      <w:pPr>
        <w:spacing w:line="480" w:lineRule="auto"/>
        <w:rPr>
          <w:rFonts w:eastAsiaTheme="minorHAnsi"/>
          <w:color w:val="000000" w:themeColor="text1"/>
          <w:lang w:val="en-US" w:eastAsia="en-US"/>
        </w:rPr>
      </w:pPr>
    </w:p>
    <w:p w14:paraId="47A57A3C" w14:textId="28C5C247" w:rsidR="004B6CBB" w:rsidRPr="007E495B" w:rsidRDefault="004B6CBB" w:rsidP="00B031A4">
      <w:pPr>
        <w:spacing w:line="480" w:lineRule="auto"/>
        <w:rPr>
          <w:rFonts w:eastAsiaTheme="minorHAnsi"/>
          <w:color w:val="000000" w:themeColor="text1"/>
          <w:u w:val="single"/>
          <w:lang w:val="en-US" w:eastAsia="en-US"/>
        </w:rPr>
      </w:pPr>
      <w:r w:rsidRPr="007E495B">
        <w:rPr>
          <w:rFonts w:eastAsiaTheme="minorHAnsi"/>
          <w:color w:val="000000" w:themeColor="text1"/>
          <w:u w:val="single"/>
          <w:lang w:val="en-US" w:eastAsia="en-US"/>
        </w:rPr>
        <w:t>Statistical analysis</w:t>
      </w:r>
      <w:bookmarkEnd w:id="0"/>
    </w:p>
    <w:p w14:paraId="5BEE4DD4" w14:textId="71D3B6AD" w:rsidR="00205389" w:rsidRPr="00703DE1" w:rsidRDefault="00B031A4" w:rsidP="001C0305">
      <w:pPr>
        <w:spacing w:line="480" w:lineRule="auto"/>
        <w:jc w:val="both"/>
        <w:rPr>
          <w:rFonts w:eastAsiaTheme="majorEastAsia"/>
          <w:color w:val="000000" w:themeColor="text1"/>
          <w:sz w:val="32"/>
          <w:szCs w:val="32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lastRenderedPageBreak/>
        <w:t>To determine factors associated with the primary outcome, a time-dependent analysis has been performed. The strength of this specific Cox model relies on the integration of within-individual time variation of the covariate to predict individual response at each time interval when the covariate varies. In other words, in a survival analysis, time-varying covariates are covariates whose value can change during follow-up. In our manuscript, C</w:t>
      </w:r>
      <w:r w:rsidRPr="007E495B">
        <w:rPr>
          <w:color w:val="000000" w:themeColor="text1"/>
          <w:shd w:val="clear" w:color="auto" w:fill="FFFFFF"/>
          <w:vertAlign w:val="subscript"/>
          <w:lang w:val="en-US"/>
        </w:rPr>
        <w:t>RS,</w:t>
      </w:r>
      <w:r w:rsidRPr="007E495B">
        <w:rPr>
          <w:color w:val="000000" w:themeColor="text1"/>
          <w:shd w:val="clear" w:color="auto" w:fill="FFFFFF"/>
          <w:lang w:val="en-US"/>
        </w:rPr>
        <w:t xml:space="preserve"> for instance, is a time-dependent covariate and considering its variation over time improves the accuracy of the prediction compared to a unique value at a specific time.</w:t>
      </w:r>
      <w:r w:rsidRPr="007E495B">
        <w:rPr>
          <w:rFonts w:eastAsiaTheme="minorHAnsi"/>
          <w:color w:val="000000" w:themeColor="text1"/>
          <w:lang w:val="en-US" w:eastAsia="en-US"/>
        </w:rPr>
        <w:t xml:space="preserve"> </w:t>
      </w:r>
      <w:r w:rsidR="004B6CBB" w:rsidRPr="007E495B">
        <w:rPr>
          <w:rFonts w:eastAsiaTheme="minorHAnsi"/>
          <w:color w:val="000000" w:themeColor="text1"/>
          <w:lang w:val="en-US" w:eastAsia="en-US"/>
        </w:rPr>
        <w:t xml:space="preserve">Variables included were chosen on literature and were </w:t>
      </w:r>
      <w:r w:rsidR="004B6CBB" w:rsidRPr="007E495B">
        <w:rPr>
          <w:rFonts w:eastAsiaTheme="minorHAnsi"/>
          <w:i/>
          <w:iCs/>
          <w:color w:val="000000" w:themeColor="text1"/>
          <w:lang w:val="en-US" w:eastAsia="en-US"/>
        </w:rPr>
        <w:t>a priori</w:t>
      </w:r>
      <w:r w:rsidR="004B6CBB" w:rsidRPr="007E495B">
        <w:rPr>
          <w:rFonts w:eastAsiaTheme="minorHAnsi"/>
          <w:color w:val="000000" w:themeColor="text1"/>
          <w:lang w:val="en-US" w:eastAsia="en-US"/>
        </w:rPr>
        <w:t xml:space="preserve"> discussed among authors. Thus, the </w:t>
      </w:r>
      <w:r w:rsidR="004B6CBB" w:rsidRPr="007E495B">
        <w:rPr>
          <w:color w:val="000000" w:themeColor="text1"/>
          <w:lang w:val="en-US"/>
        </w:rPr>
        <w:t>variable “corticosteroids for COVID-19” was not included as no patient received them during the first wave of the pandemic. “PaO</w:t>
      </w:r>
      <w:r w:rsidR="004B6CBB" w:rsidRPr="007E495B">
        <w:rPr>
          <w:color w:val="000000" w:themeColor="text1"/>
          <w:vertAlign w:val="subscript"/>
          <w:lang w:val="en-US"/>
        </w:rPr>
        <w:t>2</w:t>
      </w:r>
      <w:r w:rsidR="004B6CBB" w:rsidRPr="007E495B">
        <w:rPr>
          <w:color w:val="000000" w:themeColor="text1"/>
          <w:lang w:val="en-US"/>
        </w:rPr>
        <w:t>/F</w:t>
      </w:r>
      <w:r w:rsidR="00663C27" w:rsidRPr="007E495B">
        <w:rPr>
          <w:color w:val="000000" w:themeColor="text1"/>
          <w:lang w:val="en-US"/>
        </w:rPr>
        <w:t>i</w:t>
      </w:r>
      <w:r w:rsidR="004B6CBB" w:rsidRPr="007E495B">
        <w:rPr>
          <w:color w:val="000000" w:themeColor="text1"/>
          <w:lang w:val="en-US"/>
        </w:rPr>
        <w:t>O</w:t>
      </w:r>
      <w:r w:rsidR="004B6CBB" w:rsidRPr="007E495B">
        <w:rPr>
          <w:color w:val="000000" w:themeColor="text1"/>
          <w:vertAlign w:val="subscript"/>
          <w:lang w:val="en-US"/>
        </w:rPr>
        <w:t>2</w:t>
      </w:r>
      <w:r w:rsidR="004B6CBB" w:rsidRPr="007E495B">
        <w:rPr>
          <w:color w:val="000000" w:themeColor="text1"/>
          <w:lang w:val="en-US"/>
        </w:rPr>
        <w:t>” variable was also not included as a direct consequence of the vv-ECMO settings. “ΔP” as a target variable in the ventilatory management below 15 cmH</w:t>
      </w:r>
      <w:r w:rsidR="004B6CBB" w:rsidRPr="007E495B">
        <w:rPr>
          <w:color w:val="000000" w:themeColor="text1"/>
          <w:vertAlign w:val="subscript"/>
          <w:lang w:val="en-US"/>
        </w:rPr>
        <w:t>2</w:t>
      </w:r>
      <w:r w:rsidR="004B6CBB" w:rsidRPr="007E495B">
        <w:rPr>
          <w:color w:val="000000" w:themeColor="text1"/>
          <w:lang w:val="en-US"/>
        </w:rPr>
        <w:t>O and thus “PEEP” and “</w:t>
      </w:r>
      <w:proofErr w:type="spellStart"/>
      <w:r w:rsidR="004B6CBB" w:rsidRPr="007E495B">
        <w:rPr>
          <w:color w:val="000000" w:themeColor="text1"/>
          <w:lang w:val="en-US"/>
        </w:rPr>
        <w:t>P</w:t>
      </w:r>
      <w:r w:rsidR="004B6CBB" w:rsidRPr="007E495B">
        <w:rPr>
          <w:color w:val="000000" w:themeColor="text1"/>
          <w:vertAlign w:val="subscript"/>
          <w:lang w:val="en-US"/>
        </w:rPr>
        <w:t>plat</w:t>
      </w:r>
      <w:proofErr w:type="spellEnd"/>
      <w:r w:rsidR="004B6CBB" w:rsidRPr="007E495B">
        <w:rPr>
          <w:color w:val="000000" w:themeColor="text1"/>
          <w:lang w:val="en-US"/>
        </w:rPr>
        <w:t xml:space="preserve">” were also not included. </w:t>
      </w:r>
      <w:r w:rsidR="004B6CBB" w:rsidRPr="007E495B">
        <w:rPr>
          <w:rFonts w:eastAsiaTheme="minorHAnsi"/>
          <w:color w:val="000000" w:themeColor="text1"/>
          <w:lang w:val="en-US" w:eastAsia="en-US"/>
        </w:rPr>
        <w:t>All remaining parameters with a p value &lt;0.1 were included in the multivariate</w:t>
      </w:r>
      <w:r w:rsidRPr="007E495B">
        <w:rPr>
          <w:rFonts w:eastAsiaTheme="minorHAnsi"/>
          <w:color w:val="000000" w:themeColor="text1"/>
          <w:lang w:val="en-US" w:eastAsia="en-US"/>
        </w:rPr>
        <w:t xml:space="preserve"> time-</w:t>
      </w:r>
      <w:proofErr w:type="spellStart"/>
      <w:r w:rsidRPr="007E495B">
        <w:rPr>
          <w:rFonts w:eastAsiaTheme="minorHAnsi"/>
          <w:color w:val="000000" w:themeColor="text1"/>
          <w:lang w:val="en-US" w:eastAsia="en-US"/>
        </w:rPr>
        <w:t>dependant</w:t>
      </w:r>
      <w:proofErr w:type="spellEnd"/>
      <w:r w:rsidRPr="007E495B">
        <w:rPr>
          <w:rFonts w:eastAsiaTheme="minorHAnsi"/>
          <w:color w:val="000000" w:themeColor="text1"/>
          <w:lang w:val="en-US" w:eastAsia="en-US"/>
        </w:rPr>
        <w:t xml:space="preserve"> model</w:t>
      </w:r>
      <w:r w:rsidR="004B6CBB" w:rsidRPr="007E495B">
        <w:rPr>
          <w:rFonts w:eastAsiaTheme="minorHAnsi"/>
          <w:color w:val="000000" w:themeColor="text1"/>
          <w:lang w:val="en-US" w:eastAsia="en-US"/>
        </w:rPr>
        <w:t>.</w:t>
      </w:r>
      <w:r w:rsidRPr="007E495B">
        <w:rPr>
          <w:color w:val="000000" w:themeColor="text1"/>
          <w:shd w:val="clear" w:color="auto" w:fill="FFFFFF"/>
          <w:lang w:val="en-US"/>
        </w:rPr>
        <w:t xml:space="preserve"> </w:t>
      </w:r>
      <w:r w:rsidR="00E50A04" w:rsidRPr="007E495B">
        <w:rPr>
          <w:rFonts w:eastAsiaTheme="minorHAnsi"/>
          <w:color w:val="000000" w:themeColor="text1"/>
          <w:lang w:val="en-US" w:eastAsia="en-US"/>
        </w:rPr>
        <w:t>To build the multivariate</w:t>
      </w:r>
      <w:r w:rsidRPr="007E495B">
        <w:rPr>
          <w:rFonts w:eastAsiaTheme="minorHAnsi"/>
          <w:color w:val="000000" w:themeColor="text1"/>
          <w:lang w:val="en-US" w:eastAsia="en-US"/>
        </w:rPr>
        <w:t xml:space="preserve"> time-dependent</w:t>
      </w:r>
      <w:r w:rsidR="00E50A04" w:rsidRPr="007E495B">
        <w:rPr>
          <w:rFonts w:eastAsiaTheme="minorHAnsi"/>
          <w:color w:val="000000" w:themeColor="text1"/>
          <w:lang w:val="en-US" w:eastAsia="en-US"/>
        </w:rPr>
        <w:t xml:space="preserve"> cox model, </w:t>
      </w:r>
      <w:r w:rsidR="00E50A04" w:rsidRPr="007E495B">
        <w:rPr>
          <w:color w:val="000000" w:themeColor="text1"/>
          <w:lang w:val="en-US"/>
        </w:rPr>
        <w:t xml:space="preserve">a forward stepwise selection of the variables was used. The Null model included </w:t>
      </w:r>
      <w:proofErr w:type="spellStart"/>
      <w:r w:rsidR="008963C6" w:rsidRPr="007E495B">
        <w:rPr>
          <w:color w:val="000000" w:themeColor="text1"/>
          <w:lang w:val="en-US"/>
        </w:rPr>
        <w:t>Crs</w:t>
      </w:r>
      <w:proofErr w:type="spellEnd"/>
      <w:r w:rsidR="00E50A04" w:rsidRPr="007E495B">
        <w:rPr>
          <w:color w:val="000000" w:themeColor="text1"/>
          <w:lang w:val="en-US"/>
        </w:rPr>
        <w:t xml:space="preserve"> time-dependent variable from day one to day ten. Log-linearity for continuous variables, Schoenfeld residuals and variance inflation factors for multicollinearity were checked.</w:t>
      </w:r>
      <w:r w:rsidR="00E50A04" w:rsidRPr="00703DE1">
        <w:rPr>
          <w:color w:val="000000" w:themeColor="text1"/>
          <w:sz w:val="32"/>
          <w:szCs w:val="32"/>
          <w:lang w:val="en-US"/>
        </w:rPr>
        <w:t xml:space="preserve"> </w:t>
      </w:r>
      <w:bookmarkStart w:id="1" w:name="_Toc116565028"/>
      <w:r w:rsidR="00205389" w:rsidRPr="00703DE1">
        <w:rPr>
          <w:color w:val="000000" w:themeColor="text1"/>
          <w:sz w:val="32"/>
          <w:szCs w:val="32"/>
          <w:lang w:val="en-US"/>
        </w:rPr>
        <w:br w:type="page"/>
      </w:r>
    </w:p>
    <w:p w14:paraId="04E0558F" w14:textId="22B3847C" w:rsidR="00923B47" w:rsidRPr="00703DE1" w:rsidRDefault="00923B47" w:rsidP="00F96245">
      <w:pPr>
        <w:pStyle w:val="Titre2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lastRenderedPageBreak/>
        <w:t xml:space="preserve">Figure S1: Missing values inspection for the </w:t>
      </w:r>
      <w:r w:rsidR="00F96245"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variables included in the final </w:t>
      </w:r>
      <w:r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multivariate cox model.</w:t>
      </w:r>
      <w:r w:rsidR="005024F1"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CRS: Static respiratory compliance.</w:t>
      </w:r>
      <w:bookmarkEnd w:id="1"/>
    </w:p>
    <w:p w14:paraId="00CCFA38" w14:textId="77777777" w:rsidR="00C562D0" w:rsidRPr="00703DE1" w:rsidRDefault="00C562D0" w:rsidP="00C562D0">
      <w:pPr>
        <w:rPr>
          <w:color w:val="000000" w:themeColor="text1"/>
          <w:sz w:val="32"/>
          <w:szCs w:val="32"/>
          <w:lang w:val="en-US"/>
        </w:rPr>
      </w:pPr>
    </w:p>
    <w:p w14:paraId="49057A89" w14:textId="7DC1A41D" w:rsidR="00923B47" w:rsidRPr="00703DE1" w:rsidRDefault="00E0725B" w:rsidP="00E0725B">
      <w:pPr>
        <w:ind w:hanging="1276"/>
        <w:jc w:val="center"/>
        <w:rPr>
          <w:color w:val="000000" w:themeColor="text1"/>
          <w:sz w:val="32"/>
          <w:szCs w:val="32"/>
          <w:lang w:val="en-US"/>
        </w:rPr>
      </w:pPr>
      <w:r w:rsidRPr="00703DE1">
        <w:rPr>
          <w:noProof/>
          <w:color w:val="000000" w:themeColor="text1"/>
          <w:sz w:val="32"/>
          <w:szCs w:val="32"/>
          <w:lang w:val="en-IN" w:eastAsia="en-IN"/>
        </w:rPr>
        <w:drawing>
          <wp:inline distT="0" distB="0" distL="0" distR="0" wp14:anchorId="08C1F189" wp14:editId="2688C7D2">
            <wp:extent cx="5756910" cy="38176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0A03" w14:textId="31FED1DB" w:rsidR="00923B47" w:rsidRPr="00703DE1" w:rsidRDefault="00923B47" w:rsidP="00523218">
      <w:pPr>
        <w:ind w:hanging="709"/>
        <w:jc w:val="center"/>
        <w:rPr>
          <w:color w:val="000000" w:themeColor="text1"/>
          <w:sz w:val="32"/>
          <w:szCs w:val="32"/>
          <w:lang w:val="en-US"/>
        </w:rPr>
      </w:pPr>
    </w:p>
    <w:p w14:paraId="3FBE6789" w14:textId="1A63B273" w:rsidR="00923B47" w:rsidRPr="00703DE1" w:rsidRDefault="00923B47">
      <w:pPr>
        <w:rPr>
          <w:color w:val="000000" w:themeColor="text1"/>
          <w:sz w:val="32"/>
          <w:szCs w:val="32"/>
          <w:lang w:val="en-US"/>
        </w:rPr>
      </w:pPr>
      <w:r w:rsidRPr="00703DE1">
        <w:rPr>
          <w:color w:val="000000" w:themeColor="text1"/>
          <w:sz w:val="32"/>
          <w:szCs w:val="32"/>
          <w:lang w:val="en-US"/>
        </w:rPr>
        <w:br w:type="page"/>
      </w:r>
    </w:p>
    <w:p w14:paraId="77BDA6C4" w14:textId="3531AC0A" w:rsidR="006F4D77" w:rsidRPr="00703DE1" w:rsidRDefault="006F4D77" w:rsidP="00F96245">
      <w:pPr>
        <w:pStyle w:val="Titre2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bookmarkStart w:id="2" w:name="_Toc116565029"/>
      <w:r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lastRenderedPageBreak/>
        <w:t>Table S1: Ventilatory characteristics before and after vv-ECMO implantation</w:t>
      </w:r>
      <w:r w:rsidR="00032CC3"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in patients with available data on the 2 timepoints</w:t>
      </w:r>
      <w:bookmarkEnd w:id="2"/>
    </w:p>
    <w:p w14:paraId="341C3126" w14:textId="389654F9" w:rsidR="0032634E" w:rsidRPr="00703DE1" w:rsidRDefault="0032634E" w:rsidP="0032634E">
      <w:pPr>
        <w:rPr>
          <w:color w:val="000000" w:themeColor="text1"/>
          <w:sz w:val="32"/>
          <w:szCs w:val="32"/>
          <w:lang w:val="en-US"/>
        </w:rPr>
      </w:pPr>
    </w:p>
    <w:tbl>
      <w:tblPr>
        <w:tblW w:w="10632" w:type="dxa"/>
        <w:jc w:val="center"/>
        <w:tblLayout w:type="fixed"/>
        <w:tblLook w:val="0420" w:firstRow="1" w:lastRow="0" w:firstColumn="0" w:lastColumn="0" w:noHBand="0" w:noVBand="1"/>
      </w:tblPr>
      <w:tblGrid>
        <w:gridCol w:w="2835"/>
        <w:gridCol w:w="1134"/>
        <w:gridCol w:w="1983"/>
        <w:gridCol w:w="1383"/>
        <w:gridCol w:w="2163"/>
        <w:gridCol w:w="1134"/>
      </w:tblGrid>
      <w:tr w:rsidR="00703DE1" w:rsidRPr="007E495B" w14:paraId="65324C54" w14:textId="77777777" w:rsidTr="00F54D2D">
        <w:trPr>
          <w:cantSplit/>
          <w:tblHeader/>
          <w:jc w:val="center"/>
        </w:trPr>
        <w:tc>
          <w:tcPr>
            <w:tcW w:w="283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09DC" w14:textId="77777777" w:rsidR="0032634E" w:rsidRPr="007E495B" w:rsidRDefault="0032634E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proofErr w:type="gramStart"/>
            <w:r w:rsidRPr="007E495B">
              <w:rPr>
                <w:rFonts w:eastAsia="Helvetica"/>
                <w:color w:val="000000" w:themeColor="text1"/>
              </w:rPr>
              <w:t>variable</w:t>
            </w:r>
            <w:proofErr w:type="gramEnd"/>
          </w:p>
        </w:tc>
        <w:tc>
          <w:tcPr>
            <w:tcW w:w="113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2C0B" w14:textId="5ED5C71D" w:rsidR="0032634E" w:rsidRPr="007E495B" w:rsidRDefault="0032634E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N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available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</w:p>
        </w:tc>
        <w:tc>
          <w:tcPr>
            <w:tcW w:w="1983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63DB" w14:textId="77777777" w:rsidR="0032634E" w:rsidRPr="007E495B" w:rsidRDefault="0032634E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E495B">
              <w:rPr>
                <w:rFonts w:eastAsia="Helvetica"/>
                <w:color w:val="000000" w:themeColor="text1"/>
              </w:rPr>
              <w:t>before</w:t>
            </w:r>
            <w:proofErr w:type="spellEnd"/>
            <w:proofErr w:type="gramEnd"/>
            <w:r w:rsidRPr="007E495B">
              <w:rPr>
                <w:rFonts w:eastAsia="Helvetica"/>
                <w:color w:val="000000" w:themeColor="text1"/>
              </w:rPr>
              <w:t xml:space="preserve"> ECMO</w:t>
            </w:r>
          </w:p>
        </w:tc>
        <w:tc>
          <w:tcPr>
            <w:tcW w:w="1383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BBCC" w14:textId="6F828A4A" w:rsidR="0032634E" w:rsidRPr="007E495B" w:rsidRDefault="0032634E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N available</w:t>
            </w:r>
          </w:p>
        </w:tc>
        <w:tc>
          <w:tcPr>
            <w:tcW w:w="2163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68E3" w14:textId="77777777" w:rsidR="0032634E" w:rsidRPr="007E495B" w:rsidRDefault="0032634E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E495B">
              <w:rPr>
                <w:rFonts w:eastAsia="Helvetica"/>
                <w:color w:val="000000" w:themeColor="text1"/>
              </w:rPr>
              <w:t>day</w:t>
            </w:r>
            <w:proofErr w:type="spellEnd"/>
            <w:proofErr w:type="gramEnd"/>
            <w:r w:rsidRPr="007E495B">
              <w:rPr>
                <w:rFonts w:eastAsia="Helvetica"/>
                <w:color w:val="000000" w:themeColor="text1"/>
              </w:rPr>
              <w:t xml:space="preserve"> 1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after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ECMO</w:t>
            </w:r>
          </w:p>
        </w:tc>
        <w:tc>
          <w:tcPr>
            <w:tcW w:w="113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95E6" w14:textId="77777777" w:rsidR="0032634E" w:rsidRPr="007E495B" w:rsidRDefault="0032634E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proofErr w:type="gramStart"/>
            <w:r w:rsidRPr="007E495B">
              <w:rPr>
                <w:rFonts w:eastAsia="Helvetica"/>
                <w:color w:val="000000" w:themeColor="text1"/>
              </w:rPr>
              <w:t>p</w:t>
            </w:r>
            <w:proofErr w:type="gramEnd"/>
          </w:p>
        </w:tc>
      </w:tr>
      <w:tr w:rsidR="00703DE1" w:rsidRPr="007E495B" w14:paraId="24C595C2" w14:textId="77777777" w:rsidTr="00F54D2D">
        <w:trPr>
          <w:cantSplit/>
          <w:jc w:val="center"/>
        </w:trPr>
        <w:tc>
          <w:tcPr>
            <w:tcW w:w="2835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200F" w14:textId="0ABC5158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Respiratory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rate (c/min)</w:t>
            </w:r>
          </w:p>
        </w:tc>
        <w:tc>
          <w:tcPr>
            <w:tcW w:w="1134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CEB9" w14:textId="06C18938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90</w:t>
            </w:r>
          </w:p>
        </w:tc>
        <w:tc>
          <w:tcPr>
            <w:tcW w:w="1983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3892" w14:textId="17CBF011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28 (26 - 30)</w:t>
            </w:r>
          </w:p>
        </w:tc>
        <w:tc>
          <w:tcPr>
            <w:tcW w:w="1383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F6B4" w14:textId="21AF78D9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90</w:t>
            </w:r>
          </w:p>
        </w:tc>
        <w:tc>
          <w:tcPr>
            <w:tcW w:w="2163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4409" w14:textId="07E106FD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1134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F5A5" w14:textId="07A246CA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  <w:tr w:rsidR="00703DE1" w:rsidRPr="007E495B" w14:paraId="12DAE1D1" w14:textId="77777777" w:rsidTr="00F54D2D">
        <w:trPr>
          <w:cantSplit/>
          <w:jc w:val="center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ECA6" w14:textId="78ACC36D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Tidal volume (ml/kg)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667D" w14:textId="5EA88F00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100</w:t>
            </w:r>
          </w:p>
        </w:tc>
        <w:tc>
          <w:tcPr>
            <w:tcW w:w="1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7625" w14:textId="4E774911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6 (5 - 6)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2DC7" w14:textId="5D25C0D0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100</w:t>
            </w:r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F7F3" w14:textId="45B18147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 (2 - 4)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D1C9" w14:textId="72F948F8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  <w:tr w:rsidR="00703DE1" w:rsidRPr="007E495B" w14:paraId="4E2929D8" w14:textId="77777777" w:rsidTr="00F54D2D">
        <w:trPr>
          <w:cantSplit/>
          <w:jc w:val="center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C193" w14:textId="726C7A1C" w:rsidR="0045297A" w:rsidRPr="007E495B" w:rsidRDefault="00BB5CDE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Crs</w:t>
            </w:r>
            <w:r w:rsidR="0045297A" w:rsidRPr="007E495B">
              <w:rPr>
                <w:rFonts w:eastAsia="Helvetica"/>
                <w:color w:val="000000" w:themeColor="text1"/>
              </w:rPr>
              <w:t xml:space="preserve"> (ml/</w:t>
            </w:r>
            <w:proofErr w:type="spellStart"/>
            <w:r w:rsidR="0045297A" w:rsidRPr="007E495B">
              <w:rPr>
                <w:rFonts w:eastAsia="Helvetica"/>
                <w:color w:val="000000" w:themeColor="text1"/>
              </w:rPr>
              <w:t>cmH₂O</w:t>
            </w:r>
            <w:proofErr w:type="spellEnd"/>
            <w:r w:rsidR="0045297A"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1C83" w14:textId="74B45345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97</w:t>
            </w:r>
          </w:p>
        </w:tc>
        <w:tc>
          <w:tcPr>
            <w:tcW w:w="1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AE06" w14:textId="17B161C0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23.2 (17.9 - 28.6)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ED40" w14:textId="13798D25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97</w:t>
            </w:r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9E9E" w14:textId="61481BA3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15.0 (10.0 - 21.4)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02AB" w14:textId="42B8885F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  <w:tr w:rsidR="00703DE1" w:rsidRPr="007E495B" w14:paraId="461629F7" w14:textId="77777777" w:rsidTr="00F54D2D">
        <w:trPr>
          <w:cantSplit/>
          <w:jc w:val="center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2780" w14:textId="31737CE7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Plateau pressure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cmH₂O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1FC9" w14:textId="0E948A7C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87</w:t>
            </w:r>
          </w:p>
        </w:tc>
        <w:tc>
          <w:tcPr>
            <w:tcW w:w="1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2408" w14:textId="2EBE70B0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28 (25 - 32)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21B9" w14:textId="233F3532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87</w:t>
            </w:r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6F61" w14:textId="56B01F24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 (22 - 27)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A66A" w14:textId="5E58243B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  <w:tr w:rsidR="00703DE1" w:rsidRPr="007E495B" w14:paraId="10478B42" w14:textId="77777777" w:rsidTr="00F54D2D">
        <w:trPr>
          <w:cantSplit/>
          <w:jc w:val="center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D36D" w14:textId="77777777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PEEP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cmH₂O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EF9C" w14:textId="2ECFC008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104</w:t>
            </w:r>
          </w:p>
        </w:tc>
        <w:tc>
          <w:tcPr>
            <w:tcW w:w="1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2CE9" w14:textId="632F37FE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(9 - 14)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9612" w14:textId="53BF2FC1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104</w:t>
            </w:r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2FEA" w14:textId="23CFA14C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1C1F" w14:textId="11A62D6B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0.0116</w:t>
            </w:r>
          </w:p>
        </w:tc>
      </w:tr>
      <w:tr w:rsidR="00703DE1" w:rsidRPr="007E495B" w14:paraId="67982838" w14:textId="77777777" w:rsidTr="00F54D2D">
        <w:trPr>
          <w:cantSplit/>
          <w:jc w:val="center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2D15" w14:textId="045E25A8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Driving pressure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cmH₂O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4AC2" w14:textId="598EA1B0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87</w:t>
            </w:r>
          </w:p>
        </w:tc>
        <w:tc>
          <w:tcPr>
            <w:tcW w:w="1983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BCEE" w14:textId="09A26BFC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17 (15 - 20)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E91A" w14:textId="46FF87F5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87</w:t>
            </w:r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60D6" w14:textId="7602BD54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(9 - 14)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DC24" w14:textId="6D7069BB" w:rsidR="0045297A" w:rsidRPr="007E495B" w:rsidRDefault="0045297A" w:rsidP="0045297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</w:tbl>
    <w:p w14:paraId="2BBCE0EB" w14:textId="094FEBF5" w:rsidR="00000ABC" w:rsidRPr="007E4790" w:rsidRDefault="00000ABC" w:rsidP="00000ABC">
      <w:pPr>
        <w:spacing w:line="480" w:lineRule="auto"/>
        <w:jc w:val="both"/>
        <w:rPr>
          <w:i/>
          <w:iCs/>
          <w:color w:val="000000" w:themeColor="text1"/>
          <w:lang w:val="en-US"/>
        </w:rPr>
      </w:pPr>
      <w:r w:rsidRPr="007E4790">
        <w:rPr>
          <w:i/>
          <w:iCs/>
          <w:color w:val="000000" w:themeColor="text1"/>
          <w:lang w:val="en-US"/>
        </w:rPr>
        <w:t>Values are expressed as median [IQR].</w:t>
      </w:r>
    </w:p>
    <w:p w14:paraId="16B63B56" w14:textId="4853D287" w:rsidR="003F572C" w:rsidRPr="007E4790" w:rsidRDefault="00000ABC" w:rsidP="006F4D77">
      <w:pPr>
        <w:spacing w:line="480" w:lineRule="auto"/>
        <w:jc w:val="both"/>
        <w:rPr>
          <w:color w:val="000000" w:themeColor="text1"/>
          <w:lang w:val="en-US"/>
        </w:rPr>
      </w:pPr>
      <w:r w:rsidRPr="007E4790">
        <w:rPr>
          <w:i/>
          <w:iCs/>
          <w:color w:val="000000" w:themeColor="text1"/>
          <w:lang w:val="en-US"/>
        </w:rPr>
        <w:t>ECMO: extracorporeal membrane oxygenation; PEEP: positive end-expiratory pressure; srC: static respiratory compliance.</w:t>
      </w:r>
    </w:p>
    <w:p w14:paraId="51127C2B" w14:textId="77777777" w:rsidR="003F572C" w:rsidRPr="00703DE1" w:rsidRDefault="003F572C">
      <w:pPr>
        <w:rPr>
          <w:color w:val="000000" w:themeColor="text1"/>
          <w:sz w:val="32"/>
          <w:szCs w:val="32"/>
          <w:lang w:val="en-US"/>
        </w:rPr>
      </w:pPr>
      <w:r w:rsidRPr="00703DE1">
        <w:rPr>
          <w:color w:val="000000" w:themeColor="text1"/>
          <w:sz w:val="32"/>
          <w:szCs w:val="32"/>
          <w:lang w:val="en-US"/>
        </w:rPr>
        <w:br w:type="page"/>
      </w:r>
    </w:p>
    <w:p w14:paraId="2ED3D8B4" w14:textId="33E3A3AC" w:rsidR="009F67E5" w:rsidRPr="00703DE1" w:rsidRDefault="00D672C2" w:rsidP="000B7040">
      <w:pPr>
        <w:pStyle w:val="Titre2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bookmarkStart w:id="3" w:name="_Toc116565030"/>
      <w:r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lastRenderedPageBreak/>
        <w:t>Table S</w:t>
      </w:r>
      <w:r w:rsidR="009F67E5"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2</w:t>
      </w:r>
      <w:r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: Baseline characteristics according to waves</w:t>
      </w:r>
      <w:bookmarkEnd w:id="3"/>
    </w:p>
    <w:tbl>
      <w:tblPr>
        <w:tblW w:w="6315" w:type="pct"/>
        <w:jc w:val="center"/>
        <w:tblLook w:val="0420" w:firstRow="1" w:lastRow="0" w:firstColumn="0" w:lastColumn="0" w:noHBand="0" w:noVBand="1"/>
      </w:tblPr>
      <w:tblGrid>
        <w:gridCol w:w="2147"/>
        <w:gridCol w:w="560"/>
        <w:gridCol w:w="1308"/>
        <w:gridCol w:w="440"/>
        <w:gridCol w:w="1169"/>
        <w:gridCol w:w="440"/>
        <w:gridCol w:w="1282"/>
        <w:gridCol w:w="440"/>
        <w:gridCol w:w="1058"/>
        <w:gridCol w:w="440"/>
        <w:gridCol w:w="1168"/>
        <w:gridCol w:w="996"/>
      </w:tblGrid>
      <w:tr w:rsidR="00703DE1" w:rsidRPr="007E495B" w14:paraId="66D2AFD6" w14:textId="77777777" w:rsidTr="00320FB2">
        <w:trPr>
          <w:cantSplit/>
          <w:tblHeader/>
          <w:jc w:val="center"/>
        </w:trPr>
        <w:tc>
          <w:tcPr>
            <w:tcW w:w="897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32ED" w14:textId="77777777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E495B">
              <w:rPr>
                <w:rFonts w:eastAsia="Helvetica"/>
                <w:b/>
                <w:bCs/>
                <w:color w:val="000000" w:themeColor="text1"/>
              </w:rPr>
              <w:t>variable</w:t>
            </w:r>
            <w:proofErr w:type="gramEnd"/>
          </w:p>
        </w:tc>
        <w:tc>
          <w:tcPr>
            <w:tcW w:w="20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884F" w14:textId="1E05DC5F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>N</w:t>
            </w:r>
          </w:p>
        </w:tc>
        <w:tc>
          <w:tcPr>
            <w:tcW w:w="569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3337" w14:textId="1505FDB7" w:rsidR="00D672C2" w:rsidRPr="007E495B" w:rsidRDefault="00386DA9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>Global</w:t>
            </w:r>
            <w:r w:rsidR="00D672C2" w:rsidRPr="007E495B">
              <w:rPr>
                <w:rFonts w:eastAsia="Helvetica"/>
                <w:b/>
                <w:bCs/>
                <w:color w:val="000000" w:themeColor="text1"/>
              </w:rPr>
              <w:t xml:space="preserve"> population</w:t>
            </w:r>
          </w:p>
        </w:tc>
        <w:tc>
          <w:tcPr>
            <w:tcW w:w="175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89D6" w14:textId="61E3F17D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>N</w:t>
            </w:r>
          </w:p>
        </w:tc>
        <w:tc>
          <w:tcPr>
            <w:tcW w:w="57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D42C" w14:textId="77777777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Wave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176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7885" w14:textId="00B44578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>N</w:t>
            </w:r>
          </w:p>
        </w:tc>
        <w:tc>
          <w:tcPr>
            <w:tcW w:w="619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6CAC" w14:textId="77777777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Wave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179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BA9B" w14:textId="1ED9C624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>N</w:t>
            </w:r>
          </w:p>
        </w:tc>
        <w:tc>
          <w:tcPr>
            <w:tcW w:w="521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A805" w14:textId="77777777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Wave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179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AE3F" w14:textId="239319BD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>N</w:t>
            </w:r>
          </w:p>
        </w:tc>
        <w:tc>
          <w:tcPr>
            <w:tcW w:w="569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660E" w14:textId="77777777" w:rsidR="00D672C2" w:rsidRPr="007E495B" w:rsidRDefault="00D672C2" w:rsidP="00386DA9">
            <w:pP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Wave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4</w:t>
            </w:r>
          </w:p>
        </w:tc>
        <w:tc>
          <w:tcPr>
            <w:tcW w:w="342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DF49" w14:textId="3205A7DF" w:rsidR="00D672C2" w:rsidRPr="007E495B" w:rsidRDefault="00D672C2" w:rsidP="00386DA9">
            <w:pPr>
              <w:spacing w:before="100" w:after="100"/>
              <w:ind w:left="141" w:right="10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E495B">
              <w:rPr>
                <w:rFonts w:eastAsia="Helvetica"/>
                <w:b/>
                <w:bCs/>
                <w:color w:val="000000" w:themeColor="text1"/>
              </w:rPr>
              <w:t>p</w:t>
            </w:r>
            <w:proofErr w:type="gramEnd"/>
          </w:p>
        </w:tc>
      </w:tr>
      <w:tr w:rsidR="00703DE1" w:rsidRPr="007E495B" w14:paraId="14E65A37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3420" w14:textId="2049EE61" w:rsidR="00794B1E" w:rsidRPr="007E495B" w:rsidRDefault="00794B1E" w:rsidP="00591613">
            <w:pPr>
              <w:spacing w:before="100" w:after="100"/>
              <w:ind w:left="100" w:right="100"/>
              <w:rPr>
                <w:rFonts w:eastAsia="Helvetica"/>
                <w:b/>
                <w:bCs/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Demographics</w:t>
            </w:r>
            <w:proofErr w:type="spellEnd"/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9DB2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88FC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04CA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79AC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8F7B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2CEA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CE92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8E67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FDAE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C424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814F" w14:textId="77777777" w:rsidR="00794B1E" w:rsidRPr="007E495B" w:rsidRDefault="00794B1E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448D7483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870C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Age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years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BD2F" w14:textId="1AB3B99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AE83" w14:textId="56DE006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59 (52 - 64)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8393" w14:textId="2A5A055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69C7" w14:textId="1CEC37C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54 (46 - 62)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ED27" w14:textId="7D33560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E6A8" w14:textId="5A38B67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63 (61 - 66)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8DAE" w14:textId="74AEB77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0D19" w14:textId="55478B0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58 (50 - 64)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5D75" w14:textId="1E701B2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487D" w14:textId="0AF504D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58 (51 - 62)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CE55" w14:textId="0C71863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0.003</w:t>
            </w:r>
          </w:p>
        </w:tc>
      </w:tr>
      <w:tr w:rsidR="00703DE1" w:rsidRPr="007E495B" w14:paraId="01BB5B10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9312" w14:textId="08E182EB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Male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gender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C5F9" w14:textId="163AE61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B049" w14:textId="0B25CE4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83 (68 %)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AE4B" w14:textId="3AE0793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61EA" w14:textId="6BFC8A9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19 (83 %)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32B7" w14:textId="6EEC0C6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4EC0" w14:textId="7E91742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 (72 %)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0566" w14:textId="0FF1EB3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F83E" w14:textId="5A16D52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34 (64 %)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225D" w14:textId="3AC2564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1A56" w14:textId="2679D25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(57 %)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12D4" w14:textId="40C799E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0.27</w:t>
            </w:r>
          </w:p>
        </w:tc>
      </w:tr>
      <w:tr w:rsidR="00703DE1" w:rsidRPr="007E495B" w14:paraId="56983D03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14A9" w14:textId="11800F4F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Body mass index (Kg/m²)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5271" w14:textId="71A5629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889E" w14:textId="1487404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33 (28 - 37)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DC35" w14:textId="24CCE2A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A9AD" w14:textId="3D2A4BD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33 (28 - 36)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5C8B" w14:textId="776C93E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FC5D" w14:textId="4D04CD7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32 (26 - 37)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5AA5" w14:textId="6C580CF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4421" w14:textId="663FA81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32 (29 - 36)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9E2C" w14:textId="529F3CB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E54F" w14:textId="509D143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34 (31 - 39)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F40B" w14:textId="30D142D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0.38</w:t>
            </w:r>
          </w:p>
        </w:tc>
      </w:tr>
      <w:tr w:rsidR="00703DE1" w:rsidRPr="007E495B" w14:paraId="39F97CBC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F65B" w14:textId="4B2E3EBE" w:rsidR="005F733F" w:rsidRPr="007E495B" w:rsidRDefault="005F733F" w:rsidP="00591613">
            <w:pPr>
              <w:spacing w:before="100" w:after="100"/>
              <w:ind w:left="100" w:right="100"/>
              <w:rPr>
                <w:rFonts w:eastAsia="Helvetica"/>
                <w:b/>
                <w:bCs/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Medical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History</w:t>
            </w:r>
            <w:proofErr w:type="spellEnd"/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F580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ED51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10A6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6A12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3677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4BDF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7F47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BBC2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C9C9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E25D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C20F" w14:textId="77777777" w:rsidR="005F733F" w:rsidRPr="007E495B" w:rsidRDefault="005F733F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2D848FE1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A184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Hypertension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405D" w14:textId="1CA0029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E97A" w14:textId="3A07907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60 (49 %)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E848" w14:textId="7583796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D3DF" w14:textId="5468F06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7 (30 %)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D0F3" w14:textId="1543EB8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EA4B" w14:textId="0CEEC06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14 (56 %)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2E5E" w14:textId="4EFB421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8DF0" w14:textId="209B6C0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 (47 %)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F618" w14:textId="06AF48A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E29D" w14:textId="6757484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14 (67 %)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9074" w14:textId="35116CE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0.096</w:t>
            </w:r>
          </w:p>
        </w:tc>
      </w:tr>
      <w:tr w:rsidR="00703DE1" w:rsidRPr="007E495B" w14:paraId="3884F417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6721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Diabetes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mellitus</w:t>
            </w:r>
            <w:proofErr w:type="spellEnd"/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4644" w14:textId="2239CE2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5A0D" w14:textId="4A64F99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30 (25 %)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52CD" w14:textId="00AC24F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7782" w14:textId="56DC83F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7 (30 %)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ABF1" w14:textId="4DEE649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FDD0" w14:textId="1C3AC19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(16 %)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F66B" w14:textId="46D361A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4967" w14:textId="399B972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 (19 %)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C8C9" w14:textId="26F1F0A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B517" w14:textId="76B629E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 (43 %)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06AD" w14:textId="7FDC41B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0.11</w:t>
            </w:r>
          </w:p>
        </w:tc>
      </w:tr>
      <w:tr w:rsidR="00703DE1" w:rsidRPr="007E495B" w14:paraId="6470105B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D6A4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Cardiac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disease</w:t>
            </w:r>
            <w:proofErr w:type="spellEnd"/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4BEF" w14:textId="16D08B1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016B" w14:textId="5147980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 (9 %)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276E" w14:textId="2AD33D4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A4B2" w14:textId="5E00D49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 (13 %)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EC59" w14:textId="6833A84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E833" w14:textId="3E67604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(4 %)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CC83" w14:textId="532B587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8B37" w14:textId="5D73032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6 (11 %)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9DB7" w14:textId="24679C2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3C11" w14:textId="4130906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(5 %)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0FB3" w14:textId="4E321DF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0.65</w:t>
            </w:r>
          </w:p>
        </w:tc>
      </w:tr>
      <w:tr w:rsidR="00703DE1" w:rsidRPr="007E495B" w14:paraId="631941EC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5417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Lung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disease</w:t>
            </w:r>
            <w:proofErr w:type="spellEnd"/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D8CF" w14:textId="7757B06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70F6" w14:textId="4BDEAE8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29 (24 %)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7FA3" w14:textId="529BB7E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43C4" w14:textId="017328F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 (13 %)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8ED7" w14:textId="4DAAD96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C9BC" w14:textId="5606D26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6 (24 %)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2668" w14:textId="72DB91F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6063" w14:textId="4B5A235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15 (28 %)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9280" w14:textId="029C129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1EDB" w14:textId="5469E45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 (24 %)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6FAD" w14:textId="433D9BA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0.57</w:t>
            </w:r>
          </w:p>
        </w:tc>
      </w:tr>
      <w:tr w:rsidR="00703DE1" w:rsidRPr="007E495B" w14:paraId="43BC25B3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E129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Renal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disease</w:t>
            </w:r>
            <w:proofErr w:type="spellEnd"/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C75A" w14:textId="5F91B74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78ED" w14:textId="121BDA6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 (8 %)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DC8A" w14:textId="3656E4C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55B4" w14:textId="6A910DB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 (0 %)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9D61" w14:textId="52A43B6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548D" w14:textId="6C0E7B9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 (8 %)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758C" w14:textId="0968628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4AE9" w14:textId="7AFF639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(8 %)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9853" w14:textId="3508F33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6D29" w14:textId="1CE1B02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(19 %)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A2E7" w14:textId="6322233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0.14</w:t>
            </w:r>
          </w:p>
        </w:tc>
      </w:tr>
      <w:tr w:rsidR="00703DE1" w:rsidRPr="007E495B" w14:paraId="7F33298B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1D32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Immunosuppression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CBF4" w14:textId="36F5E1B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F960" w14:textId="006E90C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15 (12 %)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B862" w14:textId="39A06ED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5FA4" w14:textId="6BC2E1D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 (9 %)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00D4" w14:textId="5F566B6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8E38" w14:textId="0D6C223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 (8 %)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E5F0" w14:textId="754B4C5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2219" w14:textId="09AC11A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7 (13 %)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E0F1" w14:textId="431CC0C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3872" w14:textId="6AB7BAF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(19 %)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3E6A" w14:textId="02319C9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0.69</w:t>
            </w:r>
          </w:p>
        </w:tc>
      </w:tr>
      <w:tr w:rsidR="00703DE1" w:rsidRPr="007E495B" w14:paraId="50C0EE61" w14:textId="77777777" w:rsidTr="00320FB2">
        <w:trPr>
          <w:cantSplit/>
          <w:jc w:val="center"/>
        </w:trPr>
        <w:tc>
          <w:tcPr>
            <w:tcW w:w="110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8447" w14:textId="73848C28" w:rsidR="005262A5" w:rsidRPr="007E495B" w:rsidRDefault="005262A5" w:rsidP="00320FB2">
            <w:pP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Pre-ECMO </w:t>
            </w: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mamagement</w:t>
            </w:r>
            <w:proofErr w:type="spellEnd"/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86C3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C121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E41C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C6D6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D037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AAF7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AF87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BA2B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BB4B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0483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412212BF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ACCF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SAPS2 score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7B8F" w14:textId="3AAF51C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E82D" w14:textId="48BD80B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43 (34 - 55)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EE47" w14:textId="238E8CF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CADF" w14:textId="6BD2087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44 (34 - 62)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A5E1" w14:textId="48326B1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C8C" w14:textId="432C078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41 (32 - 51)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1F77" w14:textId="63AE9F9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C6B0" w14:textId="1B6871C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41 (34 - 46)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1918" w14:textId="28805CC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6851" w14:textId="6B5FBB6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55 (40 - 63)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A08D" w14:textId="59A88B1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0.100</w:t>
            </w:r>
          </w:p>
        </w:tc>
      </w:tr>
      <w:tr w:rsidR="00703DE1" w:rsidRPr="007E495B" w14:paraId="521079FE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F4D7" w14:textId="4DCEEDCD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Delay between first symptoms to ECMO (days)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B292" w14:textId="0FB8F9F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109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7C67" w14:textId="064BA4E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16 (10 - 21)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74CE" w14:textId="1BE302F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22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C034" w14:textId="383869B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 (7 - 14)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5BAA" w14:textId="6A5C993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5B41" w14:textId="2939959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 (14 - 24)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A5ED" w14:textId="1C11C00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49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62B8" w14:textId="53ED483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17 (12 - 21)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FCCA" w14:textId="56AB098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CA51" w14:textId="1588398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14 (8 - 24)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65DC" w14:textId="56C6216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0.005</w:t>
            </w:r>
          </w:p>
        </w:tc>
      </w:tr>
      <w:tr w:rsidR="00703DE1" w:rsidRPr="007E495B" w14:paraId="681AE35B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F3A4" w14:textId="7D53F731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Mechanical ventilation duration </w:t>
            </w:r>
            <w:r w:rsidR="002042AC" w:rsidRPr="007E495B">
              <w:rPr>
                <w:rFonts w:eastAsia="Helvetica"/>
                <w:color w:val="000000" w:themeColor="text1"/>
                <w:lang w:val="en-US"/>
              </w:rPr>
              <w:t>before ECMO (days)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C9C5" w14:textId="352792B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79AF" w14:textId="300049D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(1 - 9)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6CD" w14:textId="6C6D138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8359" w14:textId="44A528C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(2 - 7)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D51C" w14:textId="5E1A3E6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5C99" w14:textId="2815F0D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 (2 - 11)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5A15" w14:textId="110568D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C541" w14:textId="0DEBE51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(1 - 9)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F833" w14:textId="34EFC8F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8F18" w14:textId="09C192F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 (1 - 7)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925E" w14:textId="5606B12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0.11</w:t>
            </w:r>
          </w:p>
        </w:tc>
      </w:tr>
      <w:tr w:rsidR="00703DE1" w:rsidRPr="007E495B" w14:paraId="2A1A812D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17A3" w14:textId="6152B3F8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Corticosteroids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for COVID-19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B289" w14:textId="3387AA4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284E" w14:textId="019E9DD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85 (70 %)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1FD0" w14:textId="198BEDC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428F" w14:textId="0D4CF59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(4 %)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332E" w14:textId="6E5F589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2D47" w14:textId="0284B2F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 (72 %)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ADCB" w14:textId="28649BA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3D01" w14:textId="1550815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48 (91 %)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3DBB" w14:textId="56B26A9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1E20" w14:textId="37F7C25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 (86 %)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A0BF" w14:textId="0AB8BD4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  <w:tr w:rsidR="00703DE1" w:rsidRPr="007E495B" w14:paraId="1989B195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6141" w14:textId="55DEB94E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Tocilizumab for COVID-19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E683" w14:textId="56DE688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F8A5" w14:textId="5EA99AB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16 (13 %)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AF9B" w14:textId="06369DA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82BB" w14:textId="5558817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 (9 %)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2D54" w14:textId="363B311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D0D9" w14:textId="1649633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 (12 %)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ECCD" w14:textId="3D5A765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3163" w14:textId="70838CA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 (15 %)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96A8" w14:textId="699AA3E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6FE5" w14:textId="382F588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 (14 %)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54E6" w14:textId="11D7564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0.94</w:t>
            </w:r>
          </w:p>
        </w:tc>
      </w:tr>
      <w:tr w:rsidR="00703DE1" w:rsidRPr="007E495B" w14:paraId="4EC5C90C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532E" w14:textId="1685A28C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Prone </w:t>
            </w:r>
            <w:proofErr w:type="spellStart"/>
            <w:r w:rsidRPr="007E495B">
              <w:rPr>
                <w:rFonts w:eastAsia="Helvetica"/>
                <w:color w:val="000000" w:themeColor="text1"/>
                <w:lang w:val="en-US"/>
              </w:rPr>
              <w:t>positionning</w:t>
            </w:r>
            <w:proofErr w:type="spellEnd"/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F26F" w14:textId="39EE60A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8DA6" w14:textId="0A38420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117 (96 %)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06EC" w14:textId="411FA0C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820C" w14:textId="3AC4459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 (100 %)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D8EF" w14:textId="3C4CB5B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02BF" w14:textId="02766DA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24 (96 %)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1C86" w14:textId="625C0D9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10ED" w14:textId="1B1D86D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50 (94 %)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428B" w14:textId="2E9C351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9E4C" w14:textId="289CC62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 (95 %)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8E3E" w14:textId="37CDB12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0.85</w:t>
            </w:r>
          </w:p>
        </w:tc>
      </w:tr>
      <w:tr w:rsidR="00703DE1" w:rsidRPr="007E495B" w14:paraId="1F136DF9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BA1D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Mobile ECMO assistance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9B76" w14:textId="064DBCA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EF28" w14:textId="03BCFD5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67 (55 %)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C3F2" w14:textId="7A4DB73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02C4" w14:textId="0BB9F3D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 (35 %)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E99A" w14:textId="546BAA7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8EF6" w14:textId="093A430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19 (76 %)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614B" w14:textId="603CA5C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1943" w14:textId="41381FA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27 (51 %)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2731" w14:textId="331FDBA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32FA" w14:textId="4C49997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13 (62 %)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9928" w14:textId="4C19E1A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0.029</w:t>
            </w:r>
          </w:p>
        </w:tc>
      </w:tr>
      <w:tr w:rsidR="00703DE1" w:rsidRPr="007E495B" w14:paraId="6FE9CD98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6513" w14:textId="3B30F51E" w:rsidR="008428E8" w:rsidRPr="007E495B" w:rsidRDefault="008428E8" w:rsidP="008428E8">
            <w:pP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lastRenderedPageBreak/>
              <w:t>Ventilator acquired pneumonia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6E16" w14:textId="5D670D9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EFDA" w14:textId="575014D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72 (59 %)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37F7" w14:textId="5A06B5B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DA4B" w14:textId="4CFC2C0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 (39 %)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47BD" w14:textId="68244A3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E4FE" w14:textId="7604750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 (80 %)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BB1E" w14:textId="1CBF8D6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3561" w14:textId="7B07F8A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27 (51 %)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AF04" w14:textId="259A24F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120F" w14:textId="6E2718A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16 (76 %)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889C" w14:textId="4553626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0.006</w:t>
            </w:r>
          </w:p>
        </w:tc>
      </w:tr>
      <w:tr w:rsidR="00703DE1" w:rsidRPr="007E495B" w14:paraId="0950D312" w14:textId="77777777" w:rsidTr="00320FB2">
        <w:trPr>
          <w:cantSplit/>
          <w:jc w:val="center"/>
        </w:trPr>
        <w:tc>
          <w:tcPr>
            <w:tcW w:w="167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2AF4" w14:textId="31474BE5" w:rsidR="005262A5" w:rsidRPr="007E495B" w:rsidRDefault="005262A5" w:rsidP="003E1DF6">
            <w:pP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proofErr w:type="spellStart"/>
            <w:proofErr w:type="gramStart"/>
            <w:r w:rsidRPr="007E495B">
              <w:rPr>
                <w:rFonts w:eastAsia="Helvetica"/>
                <w:b/>
                <w:bCs/>
                <w:color w:val="000000" w:themeColor="text1"/>
              </w:rPr>
              <w:t>day</w:t>
            </w:r>
            <w:proofErr w:type="spellEnd"/>
            <w:proofErr w:type="gram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1</w:t>
            </w:r>
            <w:r w:rsidR="003E1DF6" w:rsidRPr="007E495B">
              <w:rPr>
                <w:rFonts w:eastAsia="Helvetica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E1DF6" w:rsidRPr="007E495B">
              <w:rPr>
                <w:rFonts w:eastAsia="Helvetica"/>
                <w:b/>
                <w:bCs/>
                <w:color w:val="000000" w:themeColor="text1"/>
              </w:rPr>
              <w:t>parameters</w:t>
            </w:r>
            <w:proofErr w:type="spellEnd"/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8F41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AECB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7717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82ED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8235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095E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1404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D87D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F0C8" w14:textId="77777777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0188AE24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A626" w14:textId="1061A5BA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Lactate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mmol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/l)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DE96" w14:textId="2F0074F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119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1814" w14:textId="327385F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1.4 (1.0 - 2.1)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8D35" w14:textId="308BE70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1135" w14:textId="417599D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1.6 (1.3 - 2.2)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E7C2" w14:textId="0977798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DE96" w14:textId="70EE0C6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1.3 (1.1 - 1.9)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E38E" w14:textId="679F98B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51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87DD" w14:textId="1C2917B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1.4 (0.9 - 2.0)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1BDA" w14:textId="0AFE3F4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49A0" w14:textId="2AE1351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1.4 (0.9 - 2.6)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20EC" w14:textId="777ABE6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0.72</w:t>
            </w:r>
          </w:p>
        </w:tc>
      </w:tr>
      <w:tr w:rsidR="00703DE1" w:rsidRPr="007E495B" w14:paraId="78352771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5B97" w14:textId="5ACDA313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PaO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₂/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iFO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₂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98C2" w14:textId="479E981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14E2" w14:textId="1410EED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134 (93 - 175)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E3BE" w14:textId="6D873F5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A7FF" w14:textId="276BD86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125 (90 - 172)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AF6A" w14:textId="5822BCB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3DD0" w14:textId="72E46B5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111 (73 - 150)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3945" w14:textId="1946A84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C456" w14:textId="72CD709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133 (99 - 162)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00E3" w14:textId="09BC1D6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0929" w14:textId="7A3F3C9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156 (125 - 204)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5E1C" w14:textId="51010C3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0.095</w:t>
            </w:r>
          </w:p>
        </w:tc>
      </w:tr>
      <w:tr w:rsidR="00703DE1" w:rsidRPr="007E495B" w14:paraId="572BD90A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2100" w14:textId="08EBD81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Respiratory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Rare (c/min)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B5B9" w14:textId="711D3BA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119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40F0" w14:textId="0F57B69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2302" w14:textId="7146728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22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EC2E" w14:textId="105724E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5C48" w14:textId="76A5056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F925" w14:textId="6CE5C16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C2C1" w14:textId="51B99D8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366F" w14:textId="44B6AD2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 (10 - 12)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35BD" w14:textId="23B11E1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5F57" w14:textId="7FB3681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(12 - 15)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519E" w14:textId="198DBBE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0.17</w:t>
            </w:r>
          </w:p>
        </w:tc>
      </w:tr>
      <w:tr w:rsidR="00703DE1" w:rsidRPr="007E495B" w14:paraId="1B075356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28C7" w14:textId="53DA0A4A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Tidal volume (ml/kg)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3375" w14:textId="7CD368E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119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EF30" w14:textId="252CDB8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2.8 (2.0 - 3.5)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DC8D" w14:textId="3F26FF8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22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FE71" w14:textId="0402DD2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3.1 (2.5 - 3.9)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FA35" w14:textId="3012FA9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B633" w14:textId="03F24B1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2.2 (1.8 - 2.8)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6812" w14:textId="35B0C30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2E17" w14:textId="0068903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2.5 (1.9 - 3.3)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00FE" w14:textId="0BE4643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0BE7" w14:textId="1720565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3.7 (2.0 - 3.9)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91E1" w14:textId="5727F91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0.009</w:t>
            </w:r>
          </w:p>
        </w:tc>
      </w:tr>
      <w:tr w:rsidR="00703DE1" w:rsidRPr="007E495B" w14:paraId="47203ECD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C19E" w14:textId="1FF557E3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  <w:lang w:val="en-US"/>
              </w:rPr>
              <w:t>Crs</w:t>
            </w:r>
            <w:proofErr w:type="spellEnd"/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 (ml/</w:t>
            </w:r>
            <w:proofErr w:type="spellStart"/>
            <w:r w:rsidRPr="007E495B">
              <w:rPr>
                <w:rFonts w:eastAsia="Helvetica"/>
                <w:color w:val="000000" w:themeColor="text1"/>
                <w:lang w:val="en-US"/>
              </w:rPr>
              <w:t>cmH₂O</w:t>
            </w:r>
            <w:proofErr w:type="spellEnd"/>
            <w:r w:rsidRPr="007E495B">
              <w:rPr>
                <w:rFonts w:eastAsia="Helvetica"/>
                <w:color w:val="000000" w:themeColor="text1"/>
                <w:lang w:val="en-US"/>
              </w:rPr>
              <w:t>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86CA" w14:textId="020F55A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116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DCA9" w14:textId="191A86A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15 (10 - 22)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11BE" w14:textId="08B11EE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19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7167" w14:textId="6A719D2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 (15 - 29)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4BEC" w14:textId="72F6280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457E" w14:textId="7E63275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13 (10 - 20)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EBC9" w14:textId="411E751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51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3EFB" w14:textId="35FF853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13 (9 - 21)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0F88" w14:textId="35C5886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A0E8" w14:textId="587AAA6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 (11 - 27)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CF95" w14:textId="0BA4A85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0.038</w:t>
            </w:r>
          </w:p>
        </w:tc>
      </w:tr>
      <w:tr w:rsidR="00703DE1" w:rsidRPr="007E495B" w14:paraId="3FED5EF4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16BD" w14:textId="108EEA34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Plateau pressure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cmH₂O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34EA" w14:textId="60C7DB8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114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D032" w14:textId="44FD0BE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24 (22 - 26)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EA2D" w14:textId="3D93007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9C48" w14:textId="4E02446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24 (21 - 26)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717D" w14:textId="43AF231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A17F" w14:textId="5850EE4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24 (22 - 25)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8437" w14:textId="79A142E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0E38" w14:textId="5EF6A0A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 (22 - 27)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44D2" w14:textId="0451B0F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1B41" w14:textId="71B4C66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24 (23 - 26)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8D30" w14:textId="776E508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0.90</w:t>
            </w:r>
          </w:p>
        </w:tc>
      </w:tr>
      <w:tr w:rsidR="00703DE1" w:rsidRPr="007E495B" w14:paraId="54097E5E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7B6E" w14:textId="14F5A641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PEEP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cmH₂O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D4B2" w14:textId="3F97819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912C" w14:textId="19F1AAA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1D06" w14:textId="3377C88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22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596D" w14:textId="68A6836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14 (12 - 15)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9A2A" w14:textId="1785EBA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28DB" w14:textId="6DD4001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(10 - 14)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2D1B" w14:textId="7341329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2C98" w14:textId="567B897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(10 - 14)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7726" w14:textId="74CBDDB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9B8F" w14:textId="05EEB84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A3FB" w14:textId="47A0346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0.20</w:t>
            </w:r>
          </w:p>
        </w:tc>
      </w:tr>
      <w:tr w:rsidR="00703DE1" w:rsidRPr="007E495B" w14:paraId="6ABC1A4F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C01B" w14:textId="6F1D66C5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Driving pressure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cmH₂O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8B1F" w14:textId="1366A05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114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10C3" w14:textId="2CA88A0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(10 - 15)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BCE9" w14:textId="06B2EC42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18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4010" w14:textId="3DC7600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 (10 - 13)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84C0" w14:textId="684856D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3728C" w14:textId="1B40810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13 (10 - 15)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3290" w14:textId="44DAA50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7FA7" w14:textId="73304AB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(10 - 14)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EC22" w14:textId="51A7BFC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A341" w14:textId="58B517F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11 (10 - 15)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B25B" w14:textId="053DEE5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0.69</w:t>
            </w:r>
          </w:p>
        </w:tc>
      </w:tr>
      <w:tr w:rsidR="00703DE1" w:rsidRPr="007E495B" w14:paraId="5663CB17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FB6C" w14:textId="2DD33B52" w:rsidR="002042AC" w:rsidRPr="007E495B" w:rsidRDefault="000B7040" w:rsidP="002042AC">
            <w:pPr>
              <w:spacing w:before="100" w:after="100"/>
              <w:ind w:left="100" w:right="100"/>
              <w:rPr>
                <w:rFonts w:eastAsia="Helvetica"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Early r</w:t>
            </w:r>
            <w:r w:rsidR="002042AC" w:rsidRPr="007E495B">
              <w:rPr>
                <w:rFonts w:eastAsia="Helvetica"/>
                <w:color w:val="000000" w:themeColor="text1"/>
                <w:lang w:val="en-US"/>
              </w:rPr>
              <w:t xml:space="preserve">ight ventricular failure 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0379" w14:textId="1E5953F9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1D5C" w14:textId="63F731AD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 (7 %)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3B8C" w14:textId="1D3998DC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3DA1" w14:textId="45A9EFB0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(4 %)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262C" w14:textId="235CFC85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5A45" w14:textId="41503C07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 (8 %)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05AD" w14:textId="3E1BBDD9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7405" w14:textId="494EF77C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 (9 %)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CA2B" w14:textId="75793F16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BD91" w14:textId="4776368A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(5 %)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5DBD" w14:textId="1D17163D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0.93</w:t>
            </w:r>
          </w:p>
        </w:tc>
      </w:tr>
      <w:tr w:rsidR="00703DE1" w:rsidRPr="007E495B" w14:paraId="5506E7D6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3874" w14:textId="2162768F" w:rsidR="005262A5" w:rsidRPr="007E495B" w:rsidRDefault="005262A5" w:rsidP="005262A5">
            <w:pPr>
              <w:spacing w:before="100" w:after="100"/>
              <w:ind w:left="100" w:right="100"/>
              <w:rPr>
                <w:b/>
                <w:bCs/>
                <w:color w:val="000000" w:themeColor="text1"/>
              </w:rPr>
            </w:pPr>
            <w:proofErr w:type="spellStart"/>
            <w:r w:rsidRPr="007E495B">
              <w:rPr>
                <w:b/>
                <w:bCs/>
                <w:color w:val="000000" w:themeColor="text1"/>
              </w:rPr>
              <w:t>Outcomes</w:t>
            </w:r>
            <w:proofErr w:type="spellEnd"/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A3F1" w14:textId="4679C95B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1A4F" w14:textId="59665939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26AA" w14:textId="1E2DAD84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F2B1" w14:textId="66A9E11B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4D37" w14:textId="3EEEB531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FEE9" w14:textId="7AF90982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18DF" w14:textId="3AA58556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EFE4" w14:textId="08A4F05B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BF3E" w14:textId="365C2930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76F5" w14:textId="4EA54BDC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48C8" w14:textId="10FCD5DD" w:rsidR="005262A5" w:rsidRPr="007E495B" w:rsidRDefault="005262A5" w:rsidP="00320FB2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</w:tr>
      <w:tr w:rsidR="00703DE1" w:rsidRPr="007E495B" w14:paraId="78BCC085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7D80" w14:textId="2579C526" w:rsidR="002042AC" w:rsidRPr="007E495B" w:rsidRDefault="002042AC" w:rsidP="002042AC">
            <w:pPr>
              <w:spacing w:before="100" w:after="100"/>
              <w:ind w:left="100" w:right="100"/>
              <w:rPr>
                <w:rFonts w:eastAsia="Helvetica"/>
                <w:color w:val="000000" w:themeColor="text1"/>
                <w:lang w:val="en-US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Steroid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for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prolonged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ARDS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8305" w14:textId="4B8D1BAB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49D4" w14:textId="7F6B594A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82 (67 %)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4352" w14:textId="544D7AD8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A3FE" w14:textId="3B6EA030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9 (39 %)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FCD9" w14:textId="1E04249C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E5CC" w14:textId="1FFD3FFA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 (84 %)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C291" w14:textId="518C225A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E71A" w14:textId="080EA9F2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40 (75 %)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B3A6" w14:textId="359A54D3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D406" w14:textId="7CB4E70F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 (57 %)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D986" w14:textId="4311246F" w:rsidR="002042AC" w:rsidRPr="007E495B" w:rsidRDefault="002042AC" w:rsidP="002042AC">
            <w:pP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0.003</w:t>
            </w:r>
          </w:p>
        </w:tc>
      </w:tr>
      <w:tr w:rsidR="00703DE1" w:rsidRPr="007E495B" w14:paraId="7145EDFC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DC04" w14:textId="18FD7F3C" w:rsidR="00243890" w:rsidRPr="007E495B" w:rsidRDefault="00243890" w:rsidP="00243890">
            <w:pPr>
              <w:spacing w:before="100" w:after="100"/>
              <w:ind w:left="100" w:right="100"/>
              <w:rPr>
                <w:b/>
                <w:bCs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Vasopressors (day one to day ten, yes/no))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521A" w14:textId="2304D065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A8AD" w14:textId="0ABB7BE6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83 (68 %)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F128" w14:textId="558CEBCA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4C20" w14:textId="1A3E77EE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15 (65 %)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0AC5" w14:textId="698BAD3D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F94D" w14:textId="2E81FDD0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 (80 %)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F672" w14:textId="4BF2E9AE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5233" w14:textId="40FB9F3D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31 (58 %)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3FBF" w14:textId="1018B7A3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7EB2" w14:textId="1F499ED7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17 (81 %)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3355" w14:textId="665F618A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0.14</w:t>
            </w:r>
          </w:p>
        </w:tc>
      </w:tr>
      <w:tr w:rsidR="00703DE1" w:rsidRPr="007E495B" w14:paraId="76728D78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3B1B" w14:textId="2980BF73" w:rsidR="00243890" w:rsidRPr="007E495B" w:rsidRDefault="00243890" w:rsidP="00243890">
            <w:pPr>
              <w:spacing w:before="100" w:after="100"/>
              <w:ind w:left="142" w:right="100"/>
              <w:jc w:val="both"/>
              <w:rPr>
                <w:rFonts w:eastAsia="Helvetica"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Number of days on vasopressors (day one to 10)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2FDC" w14:textId="1DA7B693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100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D57A" w14:textId="4613F6D9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(0 - 4)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78E6" w14:textId="06F1CDAF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BF48" w14:textId="056C66CE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 (0 - 3)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220B" w14:textId="2AB0911A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E79F" w14:textId="52BB68FD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(0 - 3)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A0B1" w14:textId="7AB783E1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45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8FA7" w14:textId="6D4B4400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(0 - 3)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BBFC" w14:textId="7B7C982D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5C81" w14:textId="75E6F101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 (1 - 4)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B646" w14:textId="37B89A8A" w:rsidR="00243890" w:rsidRPr="007E495B" w:rsidRDefault="00243890" w:rsidP="00243890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0.20</w:t>
            </w:r>
          </w:p>
        </w:tc>
      </w:tr>
      <w:tr w:rsidR="00703DE1" w:rsidRPr="007E495B" w14:paraId="79B70973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2177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ECMO duration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days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84A9" w14:textId="464F82E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043C" w14:textId="0F1182B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20 (11 - 30)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5E85" w14:textId="163B64FC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DD5E" w14:textId="6787888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 (7 - 16)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632C" w14:textId="55890B4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6AEC" w14:textId="269EE21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26 (16 - 36)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B4B3" w14:textId="7474815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367B" w14:textId="27D7F8E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 (12 - 30)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E57A" w14:textId="24F5DEB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3629" w14:textId="7B63925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 (15 - 29)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F9E" w14:textId="0D79950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0.0005</w:t>
            </w:r>
          </w:p>
        </w:tc>
      </w:tr>
      <w:tr w:rsidR="00703DE1" w:rsidRPr="007E495B" w14:paraId="3A87ADB6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84CC" w14:textId="5D08710C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Mechanical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Ventilation duration (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days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8869" w14:textId="6C53A32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F930" w14:textId="2758DD6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33 (23 - 50)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867F" w14:textId="3764D656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8ABA" w14:textId="5F76883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 (18 - 35)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048B" w14:textId="27A957F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35D2" w14:textId="7B0C67D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44 (26 - 61)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6D5D" w14:textId="56F59F6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6BD7" w14:textId="10C4BE9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34 (24 - 44)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F5E3" w14:textId="5939075D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FD0C" w14:textId="50E3560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34 (28 - 50)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B1AB" w14:textId="33CD1AF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0.014</w:t>
            </w:r>
          </w:p>
        </w:tc>
      </w:tr>
      <w:tr w:rsidR="00703DE1" w:rsidRPr="007E495B" w14:paraId="0C546657" w14:textId="77777777" w:rsidTr="00320FB2">
        <w:trPr>
          <w:cantSplit/>
          <w:jc w:val="center"/>
        </w:trPr>
        <w:tc>
          <w:tcPr>
            <w:tcW w:w="8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E8A0" w14:textId="2CEC84B4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in-ICU length of stay (days)</w:t>
            </w:r>
          </w:p>
        </w:tc>
        <w:tc>
          <w:tcPr>
            <w:tcW w:w="2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FCDF" w14:textId="46061FB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BA13" w14:textId="12B62D23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38 (27 - 52)</w:t>
            </w:r>
          </w:p>
        </w:tc>
        <w:tc>
          <w:tcPr>
            <w:tcW w:w="1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4B30" w14:textId="60BE465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3393" w14:textId="66AE70D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34 (21 - 45)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5EA6" w14:textId="1290ECD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F4C1" w14:textId="2CBFF15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45 (28 - 62)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398D" w14:textId="768FE0C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9ADC" w14:textId="32341311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38 (28 - 49)</w:t>
            </w:r>
          </w:p>
        </w:tc>
        <w:tc>
          <w:tcPr>
            <w:tcW w:w="1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AC16" w14:textId="3E71F52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8A61" w14:textId="18A71FD5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36 (28 - 54)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8289" w14:textId="7A61242A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0.22</w:t>
            </w:r>
          </w:p>
        </w:tc>
      </w:tr>
      <w:tr w:rsidR="00703DE1" w:rsidRPr="007E495B" w14:paraId="6F80ABA7" w14:textId="77777777" w:rsidTr="00320FB2">
        <w:trPr>
          <w:cantSplit/>
          <w:jc w:val="center"/>
        </w:trPr>
        <w:tc>
          <w:tcPr>
            <w:tcW w:w="897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BD4C" w14:textId="77777777" w:rsidR="008428E8" w:rsidRPr="007E495B" w:rsidRDefault="008428E8" w:rsidP="008428E8">
            <w:pP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6-month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deaths</w:t>
            </w:r>
            <w:proofErr w:type="spellEnd"/>
          </w:p>
        </w:tc>
        <w:tc>
          <w:tcPr>
            <w:tcW w:w="20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CE18" w14:textId="053FE528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122</w:t>
            </w:r>
          </w:p>
        </w:tc>
        <w:tc>
          <w:tcPr>
            <w:tcW w:w="569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657C" w14:textId="5EB6076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58 (48 %)</w:t>
            </w:r>
          </w:p>
        </w:tc>
        <w:tc>
          <w:tcPr>
            <w:tcW w:w="175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F5B4" w14:textId="4AC6D047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23</w:t>
            </w:r>
          </w:p>
        </w:tc>
        <w:tc>
          <w:tcPr>
            <w:tcW w:w="57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C1F3" w14:textId="1FCA702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4 (17 %)</w:t>
            </w:r>
          </w:p>
        </w:tc>
        <w:tc>
          <w:tcPr>
            <w:tcW w:w="176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4CA9" w14:textId="3937E414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25</w:t>
            </w:r>
          </w:p>
        </w:tc>
        <w:tc>
          <w:tcPr>
            <w:tcW w:w="619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D0E0" w14:textId="15F3F9D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16 (64 %)</w:t>
            </w:r>
          </w:p>
        </w:tc>
        <w:tc>
          <w:tcPr>
            <w:tcW w:w="179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075A" w14:textId="51F78FDB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53</w:t>
            </w:r>
          </w:p>
        </w:tc>
        <w:tc>
          <w:tcPr>
            <w:tcW w:w="521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E9B3" w14:textId="13243F70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28 (53 %)</w:t>
            </w:r>
          </w:p>
        </w:tc>
        <w:tc>
          <w:tcPr>
            <w:tcW w:w="179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6859" w14:textId="1FAB259F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21</w:t>
            </w:r>
          </w:p>
        </w:tc>
        <w:tc>
          <w:tcPr>
            <w:tcW w:w="569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DC99" w14:textId="3A37DE3E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10 (48 %)</w:t>
            </w:r>
          </w:p>
        </w:tc>
        <w:tc>
          <w:tcPr>
            <w:tcW w:w="342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B140" w14:textId="4F220769" w:rsidR="008428E8" w:rsidRPr="007E495B" w:rsidRDefault="008428E8" w:rsidP="008428E8">
            <w:pP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0.009</w:t>
            </w:r>
          </w:p>
        </w:tc>
      </w:tr>
    </w:tbl>
    <w:p w14:paraId="17C89A3B" w14:textId="33307DE8" w:rsidR="0066527B" w:rsidRPr="007E495B" w:rsidRDefault="0066527B" w:rsidP="0066527B">
      <w:pPr>
        <w:spacing w:line="480" w:lineRule="auto"/>
        <w:jc w:val="both"/>
        <w:rPr>
          <w:i/>
          <w:iCs/>
          <w:color w:val="000000" w:themeColor="text1"/>
          <w:lang w:val="en-US"/>
        </w:rPr>
      </w:pPr>
      <w:r w:rsidRPr="007E495B">
        <w:rPr>
          <w:i/>
          <w:iCs/>
          <w:color w:val="000000" w:themeColor="text1"/>
          <w:lang w:val="en-US"/>
        </w:rPr>
        <w:lastRenderedPageBreak/>
        <w:t>Values are expressed as median [IQR] or as number and frequency. n: available data</w:t>
      </w:r>
    </w:p>
    <w:p w14:paraId="05D17545" w14:textId="2D129D04" w:rsidR="0066527B" w:rsidRPr="007E495B" w:rsidRDefault="0066527B" w:rsidP="0066527B">
      <w:pPr>
        <w:spacing w:line="480" w:lineRule="auto"/>
        <w:jc w:val="both"/>
        <w:rPr>
          <w:color w:val="000000" w:themeColor="text1"/>
          <w:lang w:val="en-US"/>
        </w:rPr>
      </w:pPr>
      <w:r w:rsidRPr="007E495B">
        <w:rPr>
          <w:i/>
          <w:iCs/>
          <w:color w:val="000000" w:themeColor="text1"/>
          <w:lang w:val="en-US"/>
        </w:rPr>
        <w:t>COVID-19: Coronavirus disease 2019;</w:t>
      </w:r>
      <w:r w:rsidR="00701754" w:rsidRPr="007E495B">
        <w:rPr>
          <w:i/>
          <w:iCs/>
          <w:color w:val="000000" w:themeColor="text1"/>
          <w:lang w:val="en-US"/>
        </w:rPr>
        <w:t xml:space="preserve"> </w:t>
      </w:r>
      <w:proofErr w:type="spellStart"/>
      <w:r w:rsidR="00701754" w:rsidRPr="007E495B">
        <w:rPr>
          <w:i/>
          <w:iCs/>
          <w:color w:val="000000" w:themeColor="text1"/>
          <w:lang w:val="en-US"/>
        </w:rPr>
        <w:t>Crs</w:t>
      </w:r>
      <w:proofErr w:type="spellEnd"/>
      <w:r w:rsidR="00701754" w:rsidRPr="007E495B">
        <w:rPr>
          <w:i/>
          <w:iCs/>
          <w:color w:val="000000" w:themeColor="text1"/>
          <w:lang w:val="en-US"/>
        </w:rPr>
        <w:t>: static respiratory compliance;</w:t>
      </w:r>
      <w:r w:rsidRPr="007E495B">
        <w:rPr>
          <w:i/>
          <w:iCs/>
          <w:color w:val="000000" w:themeColor="text1"/>
          <w:lang w:val="en-US"/>
        </w:rPr>
        <w:t xml:space="preserve"> ECMO: extracorporeal membrane oxygenation; FiO</w:t>
      </w:r>
      <w:r w:rsidRPr="007E495B">
        <w:rPr>
          <w:i/>
          <w:iCs/>
          <w:color w:val="000000" w:themeColor="text1"/>
          <w:vertAlign w:val="subscript"/>
          <w:lang w:val="en-US"/>
        </w:rPr>
        <w:t>2</w:t>
      </w:r>
      <w:r w:rsidRPr="007E495B">
        <w:rPr>
          <w:i/>
          <w:iCs/>
          <w:color w:val="000000" w:themeColor="text1"/>
          <w:lang w:val="en-US"/>
        </w:rPr>
        <w:t>: inspired oxygen fraction; ICU: intensive care unit; PaO</w:t>
      </w:r>
      <w:r w:rsidRPr="007E495B">
        <w:rPr>
          <w:i/>
          <w:iCs/>
          <w:color w:val="000000" w:themeColor="text1"/>
          <w:vertAlign w:val="subscript"/>
          <w:lang w:val="en-US"/>
        </w:rPr>
        <w:t>2</w:t>
      </w:r>
      <w:r w:rsidRPr="007E495B">
        <w:rPr>
          <w:i/>
          <w:iCs/>
          <w:color w:val="000000" w:themeColor="text1"/>
          <w:lang w:val="en-US"/>
        </w:rPr>
        <w:t>: arterial oxygen tension; PEEP: positive end-expiratory pressure;</w:t>
      </w:r>
      <w:r w:rsidR="00701754" w:rsidRPr="007E495B">
        <w:rPr>
          <w:i/>
          <w:iCs/>
          <w:color w:val="000000" w:themeColor="text1"/>
          <w:lang w:val="en-US"/>
        </w:rPr>
        <w:t xml:space="preserve"> SAPS2: </w:t>
      </w:r>
      <w:r w:rsidR="00701754" w:rsidRPr="007E495B">
        <w:rPr>
          <w:i/>
          <w:iCs/>
          <w:color w:val="000000" w:themeColor="text1"/>
          <w:shd w:val="clear" w:color="auto" w:fill="FFFFFF"/>
          <w:lang w:val="en-US"/>
        </w:rPr>
        <w:t>simplified acute physiology</w:t>
      </w:r>
      <w:r w:rsidR="00701754" w:rsidRPr="007E495B">
        <w:rPr>
          <w:rStyle w:val="apple-converted-space"/>
          <w:rFonts w:eastAsiaTheme="majorEastAsia"/>
          <w:i/>
          <w:iCs/>
          <w:color w:val="000000" w:themeColor="text1"/>
          <w:shd w:val="clear" w:color="auto" w:fill="FFFFFF"/>
          <w:lang w:val="en-US"/>
        </w:rPr>
        <w:t> </w:t>
      </w:r>
      <w:r w:rsidR="00701754" w:rsidRPr="007E495B">
        <w:rPr>
          <w:rStyle w:val="Accentuation"/>
          <w:color w:val="000000" w:themeColor="text1"/>
          <w:lang w:val="en-US"/>
        </w:rPr>
        <w:t>score</w:t>
      </w:r>
    </w:p>
    <w:p w14:paraId="3A0EDFFD" w14:textId="70B4AC9A" w:rsidR="00205389" w:rsidRPr="007E495B" w:rsidRDefault="00205389" w:rsidP="00205389">
      <w:pPr>
        <w:spacing w:line="480" w:lineRule="auto"/>
        <w:jc w:val="both"/>
        <w:rPr>
          <w:color w:val="000000" w:themeColor="text1"/>
          <w:shd w:val="clear" w:color="auto" w:fill="FFFFFF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t>According to the French National Institute for Statistics and Economic Studies, the distribution of COVID-19 waves in France was decided as follows:</w:t>
      </w:r>
    </w:p>
    <w:p w14:paraId="67B3BAD5" w14:textId="77777777" w:rsidR="00205389" w:rsidRPr="007E495B" w:rsidRDefault="00205389" w:rsidP="00205389">
      <w:pPr>
        <w:spacing w:line="480" w:lineRule="auto"/>
        <w:jc w:val="both"/>
        <w:rPr>
          <w:color w:val="000000" w:themeColor="text1"/>
          <w:shd w:val="clear" w:color="auto" w:fill="FFFFFF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t>Wave 1: From March 2, 2020, to July 6, 2020</w:t>
      </w:r>
    </w:p>
    <w:p w14:paraId="751379FB" w14:textId="77777777" w:rsidR="00205389" w:rsidRPr="007E495B" w:rsidRDefault="00205389" w:rsidP="00205389">
      <w:pPr>
        <w:spacing w:line="480" w:lineRule="auto"/>
        <w:jc w:val="both"/>
        <w:rPr>
          <w:color w:val="000000" w:themeColor="text1"/>
          <w:shd w:val="clear" w:color="auto" w:fill="FFFFFF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t>Wave 2: From July 7, 2020, to January 4, 2021</w:t>
      </w:r>
    </w:p>
    <w:p w14:paraId="073B9503" w14:textId="77777777" w:rsidR="00205389" w:rsidRPr="007E495B" w:rsidRDefault="00205389" w:rsidP="00205389">
      <w:pPr>
        <w:spacing w:line="480" w:lineRule="auto"/>
        <w:jc w:val="both"/>
        <w:rPr>
          <w:color w:val="000000" w:themeColor="text1"/>
          <w:shd w:val="clear" w:color="auto" w:fill="FFFFFF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t>Wave 3: From January 5, 2021, to July 5, 2021</w:t>
      </w:r>
    </w:p>
    <w:p w14:paraId="13D04D43" w14:textId="77777777" w:rsidR="00205389" w:rsidRPr="007E495B" w:rsidRDefault="00205389" w:rsidP="00205389">
      <w:pPr>
        <w:spacing w:line="480" w:lineRule="auto"/>
        <w:jc w:val="both"/>
        <w:rPr>
          <w:color w:val="000000" w:themeColor="text1"/>
          <w:shd w:val="clear" w:color="auto" w:fill="FFFFFF"/>
          <w:lang w:val="en-US"/>
        </w:rPr>
      </w:pPr>
      <w:r w:rsidRPr="007E495B">
        <w:rPr>
          <w:color w:val="000000" w:themeColor="text1"/>
          <w:shd w:val="clear" w:color="auto" w:fill="FFFFFF"/>
          <w:lang w:val="en-US"/>
        </w:rPr>
        <w:t>Wave 4: From July 6, 2021, to December 31, 2021</w:t>
      </w:r>
    </w:p>
    <w:p w14:paraId="0D856457" w14:textId="77777777" w:rsidR="009F67E5" w:rsidRPr="007E495B" w:rsidRDefault="009F67E5" w:rsidP="00CE024E">
      <w:pPr>
        <w:pStyle w:val="Titre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49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7C66B0E7" w14:textId="2B213750" w:rsidR="00CE024E" w:rsidRPr="007E495B" w:rsidRDefault="009F67E5" w:rsidP="007E495B">
      <w:pPr>
        <w:pStyle w:val="Titre2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bookmarkStart w:id="4" w:name="_Toc116565031"/>
      <w:r w:rsidRPr="00703DE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lastRenderedPageBreak/>
        <w:t>Table S3: univariate Cox models for 180-day mortality with time-fixed and time-dependent variables.</w:t>
      </w:r>
      <w:bookmarkEnd w:id="4"/>
    </w:p>
    <w:tbl>
      <w:tblPr>
        <w:tblW w:w="9774" w:type="dxa"/>
        <w:jc w:val="center"/>
        <w:tblLayout w:type="fixed"/>
        <w:tblLook w:val="0420" w:firstRow="1" w:lastRow="0" w:firstColumn="0" w:lastColumn="0" w:noHBand="0" w:noVBand="1"/>
      </w:tblPr>
      <w:tblGrid>
        <w:gridCol w:w="6933"/>
        <w:gridCol w:w="1801"/>
        <w:gridCol w:w="1040"/>
      </w:tblGrid>
      <w:tr w:rsidR="00703DE1" w:rsidRPr="007E495B" w14:paraId="7FA75FD9" w14:textId="77777777" w:rsidTr="003670FC">
        <w:trPr>
          <w:cantSplit/>
          <w:tblHeader/>
          <w:jc w:val="center"/>
        </w:trPr>
        <w:tc>
          <w:tcPr>
            <w:tcW w:w="6933" w:type="dxa"/>
            <w:tcBorders>
              <w:top w:val="single" w:sz="16" w:space="0" w:color="666666"/>
              <w:left w:val="none" w:sz="0" w:space="0" w:color="000000"/>
              <w:bottom w:val="single" w:sz="1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446F" w14:textId="6CE503EC" w:rsidR="00CD768B" w:rsidRPr="007E495B" w:rsidRDefault="00DC4020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lastRenderedPageBreak/>
              <w:t>Variables</w:t>
            </w:r>
          </w:p>
        </w:tc>
        <w:tc>
          <w:tcPr>
            <w:tcW w:w="1801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3029" w14:textId="77777777" w:rsidR="00CD768B" w:rsidRPr="007E495B" w:rsidRDefault="00CD768B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</w:rPr>
              <w:t>HR 95%CI</w:t>
            </w:r>
          </w:p>
        </w:tc>
        <w:tc>
          <w:tcPr>
            <w:tcW w:w="104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8CEF" w14:textId="2B53D273" w:rsidR="00CD768B" w:rsidRPr="007E495B" w:rsidRDefault="00CD768B" w:rsidP="005916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E495B">
              <w:rPr>
                <w:rFonts w:eastAsia="Helvetica"/>
                <w:b/>
                <w:bCs/>
                <w:color w:val="000000" w:themeColor="text1"/>
              </w:rPr>
              <w:t>p</w:t>
            </w:r>
            <w:proofErr w:type="gramEnd"/>
          </w:p>
        </w:tc>
      </w:tr>
      <w:tr w:rsidR="00703DE1" w:rsidRPr="007E495B" w14:paraId="452AF227" w14:textId="77777777" w:rsidTr="003670FC">
        <w:trPr>
          <w:cantSplit/>
          <w:jc w:val="center"/>
        </w:trPr>
        <w:tc>
          <w:tcPr>
            <w:tcW w:w="6933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4CF9" w14:textId="5C4C5A94" w:rsidR="003670FC" w:rsidRPr="007E495B" w:rsidRDefault="003670FC" w:rsidP="00CD768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Demographics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and </w:t>
            </w: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medical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</w:rPr>
              <w:t>history</w:t>
            </w:r>
            <w:proofErr w:type="spellEnd"/>
          </w:p>
        </w:tc>
        <w:tc>
          <w:tcPr>
            <w:tcW w:w="1801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EA1D" w14:textId="77777777" w:rsidR="003670FC" w:rsidRPr="007E495B" w:rsidRDefault="003670FC" w:rsidP="00CD768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040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258A" w14:textId="77777777" w:rsidR="003670FC" w:rsidRPr="007E495B" w:rsidRDefault="003670FC" w:rsidP="00CD768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104C9D0A" w14:textId="77777777" w:rsidTr="003670FC">
        <w:trPr>
          <w:cantSplit/>
          <w:jc w:val="center"/>
        </w:trPr>
        <w:tc>
          <w:tcPr>
            <w:tcW w:w="6933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2A2C" w14:textId="77A11E02" w:rsidR="003670FC" w:rsidRPr="007E495B" w:rsidRDefault="003670FC" w:rsidP="00CD768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i/>
                <w:iCs/>
                <w:color w:val="000000" w:themeColor="text1"/>
              </w:rPr>
              <w:t>Time-</w:t>
            </w:r>
            <w:proofErr w:type="spellStart"/>
            <w:r w:rsidRPr="007E495B">
              <w:rPr>
                <w:rFonts w:eastAsia="Helvetica"/>
                <w:i/>
                <w:iCs/>
                <w:color w:val="000000" w:themeColor="text1"/>
              </w:rPr>
              <w:t>fixed</w:t>
            </w:r>
            <w:proofErr w:type="spellEnd"/>
            <w:r w:rsidRPr="007E495B">
              <w:rPr>
                <w:rFonts w:eastAsia="Helvetica"/>
                <w:i/>
                <w:iCs/>
                <w:color w:val="000000" w:themeColor="text1"/>
              </w:rPr>
              <w:t xml:space="preserve"> variables</w:t>
            </w:r>
          </w:p>
        </w:tc>
        <w:tc>
          <w:tcPr>
            <w:tcW w:w="1801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9BEB" w14:textId="77777777" w:rsidR="003670FC" w:rsidRPr="007E495B" w:rsidRDefault="003670FC" w:rsidP="00CD768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040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8094" w14:textId="77777777" w:rsidR="003670FC" w:rsidRPr="007E495B" w:rsidRDefault="003670FC" w:rsidP="00CD768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7013DC58" w14:textId="77777777" w:rsidTr="003670FC">
        <w:trPr>
          <w:cantSplit/>
          <w:jc w:val="center"/>
        </w:trPr>
        <w:tc>
          <w:tcPr>
            <w:tcW w:w="6933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FC6B" w14:textId="40FB669C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Age (per 5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years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>)</w:t>
            </w:r>
          </w:p>
        </w:tc>
        <w:tc>
          <w:tcPr>
            <w:tcW w:w="1801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86FC" w14:textId="3C4F357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1.4 (1.2-1.6)</w:t>
            </w:r>
          </w:p>
        </w:tc>
        <w:tc>
          <w:tcPr>
            <w:tcW w:w="1040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63E2" w14:textId="6297B32D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0.00033</w:t>
            </w:r>
          </w:p>
        </w:tc>
      </w:tr>
      <w:tr w:rsidR="00703DE1" w:rsidRPr="007E495B" w14:paraId="1CB9A429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16ED" w14:textId="4613364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Body mass index (per 5 Kg/m</w:t>
            </w:r>
            <w:r w:rsidRPr="007E495B">
              <w:rPr>
                <w:rFonts w:eastAsia="Helvetica"/>
                <w:color w:val="000000" w:themeColor="text1"/>
                <w:vertAlign w:val="superscript"/>
                <w:lang w:val="en-US"/>
              </w:rPr>
              <w:t>2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5EC9" w14:textId="4FC27D93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0.93 (0.77-1.1)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12F2" w14:textId="1C8F84EC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0.45</w:t>
            </w:r>
          </w:p>
        </w:tc>
      </w:tr>
      <w:tr w:rsidR="00703DE1" w:rsidRPr="007E495B" w14:paraId="1F0AF8CB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5858" w14:textId="4AA7D533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Male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gender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(%)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FF7D" w14:textId="7E86940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1.3 (0.75-2.4)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17E1" w14:textId="029541C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0.34</w:t>
            </w:r>
          </w:p>
        </w:tc>
      </w:tr>
      <w:tr w:rsidR="00703DE1" w:rsidRPr="007E495B" w14:paraId="525837AD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465D" w14:textId="15E4D8AE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Hypertension 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FD41" w14:textId="5BFB3632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(0.61-1.7)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8B8C" w14:textId="710685BD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0.93</w:t>
            </w:r>
          </w:p>
        </w:tc>
      </w:tr>
      <w:tr w:rsidR="00703DE1" w:rsidRPr="007E495B" w14:paraId="0B740144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BC12" w14:textId="0600350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Diabetes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mellitus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CF51" w14:textId="61874B3E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1.6 (0.93-2.8)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0290" w14:textId="2783C809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0.086</w:t>
            </w:r>
          </w:p>
        </w:tc>
      </w:tr>
      <w:tr w:rsidR="00703DE1" w:rsidRPr="007E495B" w14:paraId="06A1E6C6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54F5" w14:textId="60EB391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Cardiac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disease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313E" w14:textId="55E54FDD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1.3 (0.55-3)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E348" w14:textId="7D3D21E9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0.56</w:t>
            </w:r>
          </w:p>
        </w:tc>
      </w:tr>
      <w:tr w:rsidR="00703DE1" w:rsidRPr="007E495B" w14:paraId="7EFE91B0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F474" w14:textId="28A17813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Lung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disease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B44D" w14:textId="2E1A7CAA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1.6 (0.93-2.8)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9D40" w14:textId="6D3A9C6F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0.085</w:t>
            </w:r>
          </w:p>
        </w:tc>
      </w:tr>
      <w:tr w:rsidR="00703DE1" w:rsidRPr="007E495B" w14:paraId="3DC4A79A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0D4B" w14:textId="63D4244E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Renal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disease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AF91" w14:textId="4244BADD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0.75 (0.27-2.1)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25CA" w14:textId="5819481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0.58</w:t>
            </w:r>
          </w:p>
        </w:tc>
      </w:tr>
      <w:tr w:rsidR="00703DE1" w:rsidRPr="007E495B" w14:paraId="337B775C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8408" w14:textId="74A66A1E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 xml:space="preserve">Immunosuppression 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EC85" w14:textId="6AF8A06F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0.99 (0.45-2.2)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53FA" w14:textId="458E8F1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0.97</w:t>
            </w:r>
          </w:p>
        </w:tc>
      </w:tr>
      <w:tr w:rsidR="00703DE1" w:rsidRPr="007E495B" w14:paraId="20B93756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0E2F" w14:textId="6A26FDEB" w:rsidR="003670FC" w:rsidRPr="007E495B" w:rsidRDefault="003670FC" w:rsidP="003670F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  <w:lang w:val="en-US"/>
              </w:rPr>
              <w:t>characteristics pre-</w:t>
            </w: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  <w:lang w:val="en-US"/>
              </w:rPr>
              <w:t>vvECMO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  <w:lang w:val="en-US"/>
              </w:rPr>
              <w:t xml:space="preserve"> implantation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1F55" w14:textId="77777777" w:rsidR="003670FC" w:rsidRPr="007E495B" w:rsidRDefault="003670FC" w:rsidP="003670F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B5E7" w14:textId="77777777" w:rsidR="003670FC" w:rsidRPr="007E495B" w:rsidRDefault="003670FC" w:rsidP="003670F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1FBD8C86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76D1" w14:textId="1D4A5E5F" w:rsidR="003670FC" w:rsidRPr="007E495B" w:rsidRDefault="003670FC" w:rsidP="003670F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i/>
                <w:iCs/>
                <w:color w:val="000000" w:themeColor="text1"/>
              </w:rPr>
              <w:t>Time-</w:t>
            </w:r>
            <w:proofErr w:type="spellStart"/>
            <w:r w:rsidRPr="007E495B">
              <w:rPr>
                <w:rFonts w:eastAsia="Helvetica"/>
                <w:i/>
                <w:iCs/>
                <w:color w:val="000000" w:themeColor="text1"/>
              </w:rPr>
              <w:t>fixed</w:t>
            </w:r>
            <w:proofErr w:type="spellEnd"/>
            <w:r w:rsidRPr="007E495B">
              <w:rPr>
                <w:rFonts w:eastAsia="Helvetica"/>
                <w:i/>
                <w:iCs/>
                <w:color w:val="000000" w:themeColor="text1"/>
              </w:rPr>
              <w:t xml:space="preserve"> variables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D52B" w14:textId="77777777" w:rsidR="003670FC" w:rsidRPr="007E495B" w:rsidRDefault="003670FC" w:rsidP="003670F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90A9" w14:textId="77777777" w:rsidR="003670FC" w:rsidRPr="007E495B" w:rsidRDefault="003670FC" w:rsidP="003670F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14400F70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FA9E" w14:textId="5FBFF8E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i/>
                <w:iCs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Delay from first symptoms to ECMO implantation (per 2 days)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6BF9" w14:textId="0456A53F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(0.98-1)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EA80" w14:textId="3387C2CA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0.67</w:t>
            </w:r>
          </w:p>
        </w:tc>
      </w:tr>
      <w:tr w:rsidR="00703DE1" w:rsidRPr="007E495B" w14:paraId="57ACA5D5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D5B0" w14:textId="6836788A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i/>
                <w:iCs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Length of </w:t>
            </w:r>
            <w:r w:rsidR="0017125A" w:rsidRPr="007E495B">
              <w:rPr>
                <w:rFonts w:eastAsia="Helvetica"/>
                <w:color w:val="000000" w:themeColor="text1"/>
                <w:lang w:val="en-US"/>
              </w:rPr>
              <w:t>mechanical ventilation</w:t>
            </w:r>
            <w:r w:rsidR="00C63CF6" w:rsidRPr="007E495B">
              <w:rPr>
                <w:rFonts w:eastAsia="Helvetica"/>
                <w:color w:val="000000" w:themeColor="text1"/>
                <w:lang w:val="en-US"/>
              </w:rPr>
              <w:t xml:space="preserve"> before ECMO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 </w:t>
            </w:r>
            <w:r w:rsidR="00C63CF6" w:rsidRPr="007E495B">
              <w:rPr>
                <w:rFonts w:eastAsia="Helvetica"/>
                <w:color w:val="000000" w:themeColor="text1"/>
                <w:lang w:val="en-US"/>
              </w:rPr>
              <w:t xml:space="preserve">implantation </w:t>
            </w:r>
            <w:r w:rsidRPr="007E495B">
              <w:rPr>
                <w:rFonts w:eastAsia="Helvetica"/>
                <w:color w:val="000000" w:themeColor="text1"/>
                <w:lang w:val="en-US"/>
              </w:rPr>
              <w:t>(per 2 days)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9B13" w14:textId="4D44FBB9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1.1 (0.97-1.1)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1573" w14:textId="5F74713B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0.22</w:t>
            </w:r>
          </w:p>
        </w:tc>
      </w:tr>
      <w:tr w:rsidR="00703DE1" w:rsidRPr="007E495B" w14:paraId="2AF50685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CCD6" w14:textId="614B5F9F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Prone </w:t>
            </w:r>
            <w:proofErr w:type="spellStart"/>
            <w:r w:rsidRPr="007E495B">
              <w:rPr>
                <w:rFonts w:eastAsia="Helvetica"/>
                <w:color w:val="000000" w:themeColor="text1"/>
                <w:lang w:val="en-US"/>
              </w:rPr>
              <w:t>positionning</w:t>
            </w:r>
            <w:proofErr w:type="spellEnd"/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 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0721" w14:textId="677962AA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2.7 (0.38-20)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7193" w14:textId="2293D20C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0.32</w:t>
            </w:r>
          </w:p>
        </w:tc>
      </w:tr>
      <w:tr w:rsidR="00703DE1" w:rsidRPr="007E495B" w14:paraId="1908A3BA" w14:textId="77777777" w:rsidTr="00591613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E13A" w14:textId="6D75E569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Tocilizumab for COVID 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4D75" w14:textId="112D7153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1.5 (0.76-3)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3DC0" w14:textId="07E0D329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0.25</w:t>
            </w:r>
          </w:p>
        </w:tc>
      </w:tr>
      <w:tr w:rsidR="00703DE1" w:rsidRPr="007E495B" w14:paraId="587654DE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E84C" w14:textId="285744D4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Mobile ECMO assistance 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6620" w14:textId="58584E44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(0.6-1.7)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D481" w14:textId="1ED08734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0.99</w:t>
            </w:r>
          </w:p>
        </w:tc>
      </w:tr>
      <w:tr w:rsidR="00703DE1" w:rsidRPr="007E495B" w14:paraId="4986101E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BA2A" w14:textId="66122612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Ventilator acquired pneumonia 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BE37" w14:textId="5F8534B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1.9 (1.1-3.3)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1F77" w14:textId="75B6526F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0.028</w:t>
            </w:r>
          </w:p>
        </w:tc>
      </w:tr>
      <w:tr w:rsidR="00703DE1" w:rsidRPr="007E495B" w14:paraId="6845885C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1A5A" w14:textId="5658146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Shock state 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C52A" w14:textId="63F3B6F0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0.69 (0.41-1.2)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A742" w14:textId="6C81F179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0.18</w:t>
            </w:r>
          </w:p>
        </w:tc>
      </w:tr>
      <w:tr w:rsidR="00703DE1" w:rsidRPr="007E495B" w14:paraId="2F4D26AD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1527" w14:textId="22D38A00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Wave of pandemic 1 versus 2-3-4 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49F2" w14:textId="7FCCBE6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3.81 (1.38-10.54)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750C" w14:textId="6EF746B6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0.01</w:t>
            </w:r>
          </w:p>
        </w:tc>
      </w:tr>
      <w:tr w:rsidR="00703DE1" w:rsidRPr="007E495B" w14:paraId="2A69661F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FCCD" w14:textId="77E91182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SAPS2 score (per 5 points)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3551" w14:textId="58D9233B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1.1 (1-1.2)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2D08" w14:textId="5786C32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0.027</w:t>
            </w:r>
          </w:p>
        </w:tc>
      </w:tr>
      <w:tr w:rsidR="00703DE1" w:rsidRPr="007E495B" w14:paraId="48C9D7B0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6D7A" w14:textId="243775FF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b/>
                <w:bCs/>
                <w:color w:val="000000" w:themeColor="text1"/>
                <w:lang w:val="en-US"/>
              </w:rPr>
              <w:t>characteristics post-</w:t>
            </w:r>
            <w:proofErr w:type="spellStart"/>
            <w:r w:rsidRPr="007E495B">
              <w:rPr>
                <w:rFonts w:eastAsia="Helvetica"/>
                <w:b/>
                <w:bCs/>
                <w:color w:val="000000" w:themeColor="text1"/>
                <w:lang w:val="en-US"/>
              </w:rPr>
              <w:t>vvECMO</w:t>
            </w:r>
            <w:proofErr w:type="spellEnd"/>
            <w:r w:rsidRPr="007E495B">
              <w:rPr>
                <w:rFonts w:eastAsia="Helvetica"/>
                <w:b/>
                <w:bCs/>
                <w:color w:val="000000" w:themeColor="text1"/>
                <w:lang w:val="en-US"/>
              </w:rPr>
              <w:t xml:space="preserve"> implantation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B95D" w14:textId="5E2534E9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E8AB" w14:textId="500154F6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6290F0C0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821B" w14:textId="7EB683E9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i/>
                <w:iCs/>
                <w:color w:val="000000" w:themeColor="text1"/>
              </w:rPr>
              <w:t>Time-</w:t>
            </w:r>
            <w:proofErr w:type="spellStart"/>
            <w:r w:rsidRPr="007E495B">
              <w:rPr>
                <w:rFonts w:eastAsia="Helvetica"/>
                <w:i/>
                <w:iCs/>
                <w:color w:val="000000" w:themeColor="text1"/>
              </w:rPr>
              <w:t>fixed</w:t>
            </w:r>
            <w:proofErr w:type="spellEnd"/>
            <w:r w:rsidRPr="007E495B">
              <w:rPr>
                <w:rFonts w:eastAsia="Helvetica"/>
                <w:i/>
                <w:iCs/>
                <w:color w:val="000000" w:themeColor="text1"/>
              </w:rPr>
              <w:t xml:space="preserve"> variables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15AF" w14:textId="76CD7A9A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A62E" w14:textId="44366BAC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</w:p>
        </w:tc>
      </w:tr>
      <w:tr w:rsidR="00703DE1" w:rsidRPr="007E495B" w14:paraId="11163243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FEB4" w14:textId="43FC74FD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Lactate (per 0.5 mmol/l) at day 1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188D" w14:textId="381A535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1.1 (0.95-1.2)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DF45" w14:textId="3506DF2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0.27</w:t>
            </w:r>
          </w:p>
        </w:tc>
      </w:tr>
      <w:tr w:rsidR="00703DE1" w:rsidRPr="007E495B" w14:paraId="5D4F24A4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B701" w14:textId="1DD8232E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b/>
                <w:bCs/>
                <w:color w:val="000000" w:themeColor="text1"/>
                <w:lang w:val="en-US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  <w:lang w:val="en-US"/>
              </w:rPr>
              <w:t>PaO</w:t>
            </w:r>
            <w:proofErr w:type="spellEnd"/>
            <w:r w:rsidRPr="007E495B">
              <w:rPr>
                <w:rFonts w:eastAsia="Helvetica"/>
                <w:color w:val="000000" w:themeColor="text1"/>
                <w:lang w:val="en-US"/>
              </w:rPr>
              <w:t>₂/</w:t>
            </w:r>
            <w:proofErr w:type="spellStart"/>
            <w:r w:rsidRPr="007E495B">
              <w:rPr>
                <w:rFonts w:eastAsia="Helvetica"/>
                <w:color w:val="000000" w:themeColor="text1"/>
                <w:lang w:val="en-US"/>
              </w:rPr>
              <w:t>FiO</w:t>
            </w:r>
            <w:proofErr w:type="spellEnd"/>
            <w:r w:rsidRPr="007E495B">
              <w:rPr>
                <w:rFonts w:eastAsia="Helvetica"/>
                <w:color w:val="000000" w:themeColor="text1"/>
                <w:lang w:val="en-US"/>
              </w:rPr>
              <w:t>₂ (per 10) at day 1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6134" w14:textId="292C9F7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(0.97-1)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D871" w14:textId="449B785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0.95</w:t>
            </w:r>
          </w:p>
        </w:tc>
      </w:tr>
      <w:tr w:rsidR="00703DE1" w:rsidRPr="007E495B" w14:paraId="78B21494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EF7C" w14:textId="2F627F16" w:rsidR="00C63CF6" w:rsidRPr="007E495B" w:rsidRDefault="00C63CF6" w:rsidP="00C63CF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  <w:lang w:val="en-US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</w:rPr>
              <w:t>Early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right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ventricular</w:t>
            </w:r>
            <w:proofErr w:type="spellEnd"/>
            <w:r w:rsidRPr="007E495B">
              <w:rPr>
                <w:rFonts w:eastAsia="Helvetica"/>
                <w:color w:val="000000" w:themeColor="text1"/>
              </w:rPr>
              <w:t xml:space="preserve"> </w:t>
            </w:r>
            <w:proofErr w:type="spellStart"/>
            <w:r w:rsidRPr="007E495B">
              <w:rPr>
                <w:rFonts w:eastAsia="Helvetica"/>
                <w:color w:val="000000" w:themeColor="text1"/>
              </w:rPr>
              <w:t>failure</w:t>
            </w:r>
            <w:proofErr w:type="spellEnd"/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5152" w14:textId="70B24395" w:rsidR="00C63CF6" w:rsidRPr="007E495B" w:rsidRDefault="00C63CF6" w:rsidP="00C63CF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0.59 (0.18-1.9)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987E" w14:textId="01D7AE1C" w:rsidR="00C63CF6" w:rsidRPr="007E495B" w:rsidRDefault="00C63CF6" w:rsidP="00C63CF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0.37</w:t>
            </w:r>
          </w:p>
        </w:tc>
      </w:tr>
      <w:tr w:rsidR="00703DE1" w:rsidRPr="007E495B" w14:paraId="79CD23CC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E174" w14:textId="4A3F08C4" w:rsidR="00C63CF6" w:rsidRPr="007E495B" w:rsidRDefault="00C63CF6" w:rsidP="00C63CF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Shock state between day 1 and 10 (yes/no)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0F9D" w14:textId="6F402191" w:rsidR="00C63CF6" w:rsidRPr="007E495B" w:rsidRDefault="00C63CF6" w:rsidP="00C63CF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1.5 (0.83-2.7)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9FDF" w14:textId="0A54AAC5" w:rsidR="00C63CF6" w:rsidRPr="007E495B" w:rsidRDefault="00C63CF6" w:rsidP="00C63CF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0.18</w:t>
            </w:r>
          </w:p>
        </w:tc>
      </w:tr>
      <w:tr w:rsidR="00703DE1" w:rsidRPr="007E495B" w14:paraId="0E1D3B15" w14:textId="77777777" w:rsidTr="00591613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562E" w14:textId="5995E6DE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Shock state: number of days under vasopressor from day 1 to 10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F55B" w14:textId="788D39D5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 (0.86-1.3)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8B50" w14:textId="16E59EF3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0.67</w:t>
            </w:r>
          </w:p>
        </w:tc>
      </w:tr>
      <w:tr w:rsidR="00703DE1" w:rsidRPr="007E495B" w14:paraId="074A3357" w14:textId="77777777" w:rsidTr="00591613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3EE4" w14:textId="3AABD4E0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Delta weight between day 1 to 10 (per 2 kg)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7562" w14:textId="197F4D1F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1.1 (0.97-1.2)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3886" w14:textId="7A8E6C15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0.18</w:t>
            </w:r>
          </w:p>
        </w:tc>
      </w:tr>
      <w:tr w:rsidR="00703DE1" w:rsidRPr="007E495B" w14:paraId="0E47E352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9CA8" w14:textId="76E88B0A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i/>
                <w:iCs/>
                <w:color w:val="000000" w:themeColor="text1"/>
              </w:rPr>
              <w:lastRenderedPageBreak/>
              <w:t>Time-</w:t>
            </w:r>
            <w:proofErr w:type="spellStart"/>
            <w:r w:rsidRPr="007E495B">
              <w:rPr>
                <w:rFonts w:eastAsia="Helvetica"/>
                <w:i/>
                <w:iCs/>
                <w:color w:val="000000" w:themeColor="text1"/>
              </w:rPr>
              <w:t>dependent</w:t>
            </w:r>
            <w:proofErr w:type="spellEnd"/>
            <w:r w:rsidRPr="007E495B">
              <w:rPr>
                <w:rFonts w:eastAsia="Helvetica"/>
                <w:i/>
                <w:iCs/>
                <w:color w:val="000000" w:themeColor="text1"/>
              </w:rPr>
              <w:t xml:space="preserve"> variables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AA67" w14:textId="77777777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154C" w14:textId="77777777" w:rsidR="001A7BDF" w:rsidRPr="007E495B" w:rsidRDefault="001A7BDF" w:rsidP="001A7BD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703DE1" w:rsidRPr="007E495B" w14:paraId="69D9EAA7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DEDF" w14:textId="02C9B632" w:rsidR="007E308D" w:rsidRPr="007E495B" w:rsidRDefault="00701754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proofErr w:type="spellStart"/>
            <w:r w:rsidRPr="007E495B">
              <w:rPr>
                <w:rFonts w:eastAsia="Helvetica"/>
                <w:color w:val="000000" w:themeColor="text1"/>
                <w:lang w:val="en-US"/>
              </w:rPr>
              <w:t>Crs</w:t>
            </w:r>
            <w:proofErr w:type="spellEnd"/>
            <w:r w:rsidRPr="007E495B">
              <w:rPr>
                <w:rFonts w:eastAsia="Helvetica"/>
                <w:color w:val="000000" w:themeColor="text1"/>
                <w:lang w:val="en-US"/>
              </w:rPr>
              <w:t xml:space="preserve"> </w:t>
            </w:r>
            <w:r w:rsidR="007E308D" w:rsidRPr="007E495B">
              <w:rPr>
                <w:rFonts w:eastAsia="Helvetica"/>
                <w:color w:val="000000" w:themeColor="text1"/>
                <w:lang w:val="en-US"/>
              </w:rPr>
              <w:t>(per 5 ml/</w:t>
            </w:r>
            <w:proofErr w:type="spellStart"/>
            <w:r w:rsidR="007E308D" w:rsidRPr="007E495B">
              <w:rPr>
                <w:rFonts w:eastAsia="Helvetica"/>
                <w:color w:val="000000" w:themeColor="text1"/>
                <w:lang w:val="en-US"/>
              </w:rPr>
              <w:t>cmH₂O</w:t>
            </w:r>
            <w:proofErr w:type="spellEnd"/>
            <w:r w:rsidR="007E308D" w:rsidRPr="007E495B">
              <w:rPr>
                <w:rFonts w:eastAsia="Helvetica"/>
                <w:color w:val="000000" w:themeColor="text1"/>
                <w:lang w:val="en-US"/>
              </w:rPr>
              <w:t>) from day 1 to 10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0B26" w14:textId="763B1721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0.59 (0.49-0.71)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6747" w14:textId="555F68F0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  <w:tr w:rsidR="00703DE1" w:rsidRPr="007E495B" w14:paraId="000B1FEC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FD08" w14:textId="7777777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Respiratory rate (per 5 c/min) from day 1 to 10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F91E" w14:textId="53F33B5B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0.62 (0.49-0.77)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CC3D" w14:textId="25F2FF5B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  <w:tr w:rsidR="00703DE1" w:rsidRPr="007E495B" w14:paraId="528B0AD5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D4A8" w14:textId="7777777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ECMO flow (per 0.5 L/min) from day 1 to 10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2D2F" w14:textId="0091BFE6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1.24 (1.11-1.39)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6388" w14:textId="63813886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0.0001</w:t>
            </w:r>
          </w:p>
        </w:tc>
      </w:tr>
      <w:tr w:rsidR="00703DE1" w:rsidRPr="007E495B" w14:paraId="3615290A" w14:textId="77777777" w:rsidTr="003670FC">
        <w:trPr>
          <w:cantSplit/>
          <w:jc w:val="center"/>
        </w:trPr>
        <w:tc>
          <w:tcPr>
            <w:tcW w:w="6933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7096" w14:textId="7777777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 w:themeColor="text1"/>
                <w:lang w:val="en-US"/>
              </w:rPr>
            </w:pPr>
            <w:r w:rsidRPr="007E495B">
              <w:rPr>
                <w:rFonts w:eastAsia="Helvetica"/>
                <w:color w:val="000000" w:themeColor="text1"/>
                <w:lang w:val="en-US"/>
              </w:rPr>
              <w:t>Sweep gas flow (L/min) from day 1 to 10</w:t>
            </w: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F0DA" w14:textId="203F7C9A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1.21 (1.12-1.32)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A42D" w14:textId="5E305DF7" w:rsidR="007E308D" w:rsidRPr="007E495B" w:rsidRDefault="007E308D" w:rsidP="007E30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 w:themeColor="text1"/>
              </w:rPr>
            </w:pPr>
            <w:r w:rsidRPr="007E495B">
              <w:rPr>
                <w:rFonts w:eastAsia="Helvetica"/>
                <w:color w:val="000000" w:themeColor="text1"/>
              </w:rPr>
              <w:t>&lt;0.0001</w:t>
            </w:r>
          </w:p>
        </w:tc>
      </w:tr>
    </w:tbl>
    <w:p w14:paraId="335E8644" w14:textId="0F5F56D6" w:rsidR="00952476" w:rsidRPr="007E495B" w:rsidRDefault="00952476" w:rsidP="00952476">
      <w:pPr>
        <w:spacing w:line="480" w:lineRule="auto"/>
        <w:jc w:val="both"/>
        <w:rPr>
          <w:color w:val="000000" w:themeColor="text1"/>
          <w:sz w:val="20"/>
          <w:szCs w:val="20"/>
          <w:lang w:val="en-US"/>
        </w:rPr>
      </w:pPr>
      <w:r w:rsidRPr="007E495B">
        <w:rPr>
          <w:color w:val="000000" w:themeColor="text1"/>
          <w:sz w:val="20"/>
          <w:szCs w:val="20"/>
          <w:lang w:val="en-US"/>
        </w:rPr>
        <w:t>*</w:t>
      </w:r>
      <w:proofErr w:type="gramStart"/>
      <w:r w:rsidRPr="007E495B">
        <w:rPr>
          <w:color w:val="000000" w:themeColor="text1"/>
          <w:sz w:val="20"/>
          <w:szCs w:val="20"/>
          <w:lang w:val="en-US"/>
        </w:rPr>
        <w:t>wave</w:t>
      </w:r>
      <w:proofErr w:type="gramEnd"/>
      <w:r w:rsidRPr="007E495B">
        <w:rPr>
          <w:color w:val="000000" w:themeColor="text1"/>
          <w:sz w:val="20"/>
          <w:szCs w:val="20"/>
          <w:lang w:val="en-US"/>
        </w:rPr>
        <w:t xml:space="preserve"> 1 was compared to the 3 others </w:t>
      </w:r>
    </w:p>
    <w:p w14:paraId="57930BD6" w14:textId="276A800D" w:rsidR="00701754" w:rsidRPr="007E495B" w:rsidRDefault="00701754" w:rsidP="00952476">
      <w:pPr>
        <w:spacing w:line="480" w:lineRule="auto"/>
        <w:jc w:val="both"/>
        <w:rPr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7E495B">
        <w:rPr>
          <w:i/>
          <w:iCs/>
          <w:color w:val="000000" w:themeColor="text1"/>
          <w:sz w:val="20"/>
          <w:szCs w:val="20"/>
          <w:lang w:val="en-US"/>
        </w:rPr>
        <w:t>Crs</w:t>
      </w:r>
      <w:proofErr w:type="spellEnd"/>
      <w:r w:rsidRPr="007E495B">
        <w:rPr>
          <w:i/>
          <w:iCs/>
          <w:color w:val="000000" w:themeColor="text1"/>
          <w:sz w:val="20"/>
          <w:szCs w:val="20"/>
          <w:lang w:val="en-US"/>
        </w:rPr>
        <w:t>: static respiratory compliance; ECMO: extracorporeal membrane oxygenation; FiO</w:t>
      </w:r>
      <w:r w:rsidRPr="007E495B">
        <w:rPr>
          <w:i/>
          <w:iCs/>
          <w:color w:val="000000" w:themeColor="text1"/>
          <w:sz w:val="20"/>
          <w:szCs w:val="20"/>
          <w:vertAlign w:val="subscript"/>
          <w:lang w:val="en-US"/>
        </w:rPr>
        <w:t>2</w:t>
      </w:r>
      <w:r w:rsidRPr="007E495B">
        <w:rPr>
          <w:i/>
          <w:iCs/>
          <w:color w:val="000000" w:themeColor="text1"/>
          <w:sz w:val="20"/>
          <w:szCs w:val="20"/>
          <w:lang w:val="en-US"/>
        </w:rPr>
        <w:t>: inspired oxygen fraction; ICU: intensive care unit; PaO</w:t>
      </w:r>
      <w:r w:rsidRPr="007E495B">
        <w:rPr>
          <w:i/>
          <w:iCs/>
          <w:color w:val="000000" w:themeColor="text1"/>
          <w:sz w:val="20"/>
          <w:szCs w:val="20"/>
          <w:vertAlign w:val="subscript"/>
          <w:lang w:val="en-US"/>
        </w:rPr>
        <w:t>2</w:t>
      </w:r>
      <w:r w:rsidRPr="007E495B">
        <w:rPr>
          <w:i/>
          <w:iCs/>
          <w:color w:val="000000" w:themeColor="text1"/>
          <w:sz w:val="20"/>
          <w:szCs w:val="20"/>
          <w:lang w:val="en-US"/>
        </w:rPr>
        <w:t xml:space="preserve">: arterial oxygen tension; PEEP: positive end-expiratory pressure; SAPS2: </w:t>
      </w:r>
      <w:r w:rsidRPr="007E495B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simplified acute physiology</w:t>
      </w:r>
      <w:r w:rsidRPr="007E495B">
        <w:rPr>
          <w:rStyle w:val="apple-converted-space"/>
          <w:rFonts w:eastAsiaTheme="majorEastAsia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7E495B">
        <w:rPr>
          <w:rStyle w:val="Accentuation"/>
          <w:color w:val="000000" w:themeColor="text1"/>
          <w:sz w:val="20"/>
          <w:szCs w:val="20"/>
          <w:lang w:val="en-US"/>
        </w:rPr>
        <w:t>score</w:t>
      </w:r>
    </w:p>
    <w:p w14:paraId="58F7B1DE" w14:textId="7D92B955" w:rsidR="00CE024E" w:rsidRPr="00703DE1" w:rsidRDefault="00CE024E" w:rsidP="00CE024E">
      <w:pPr>
        <w:rPr>
          <w:i/>
          <w:iCs/>
          <w:color w:val="000000" w:themeColor="text1"/>
          <w:sz w:val="32"/>
          <w:szCs w:val="32"/>
          <w:lang w:val="en-US"/>
        </w:rPr>
      </w:pPr>
    </w:p>
    <w:p w14:paraId="23C05D6E" w14:textId="4C51B459" w:rsidR="00F4447E" w:rsidRPr="00703DE1" w:rsidRDefault="00F4447E" w:rsidP="009F67E5">
      <w:pPr>
        <w:spacing w:line="480" w:lineRule="auto"/>
        <w:jc w:val="both"/>
        <w:rPr>
          <w:color w:val="000000" w:themeColor="text1"/>
          <w:sz w:val="32"/>
          <w:szCs w:val="32"/>
          <w:lang w:val="en-US"/>
        </w:rPr>
      </w:pPr>
    </w:p>
    <w:sectPr w:rsidR="00F4447E" w:rsidRPr="00703DE1" w:rsidSect="00703DE1">
      <w:footerReference w:type="even" r:id="rId8"/>
      <w:footerReference w:type="default" r:id="rId9"/>
      <w:type w:val="continuous"/>
      <w:pgSz w:w="11900" w:h="16840"/>
      <w:pgMar w:top="357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D53C" w14:textId="77777777" w:rsidR="00C56360" w:rsidRDefault="00C56360" w:rsidP="00086BCF">
      <w:r>
        <w:separator/>
      </w:r>
    </w:p>
  </w:endnote>
  <w:endnote w:type="continuationSeparator" w:id="0">
    <w:p w14:paraId="7FDB3152" w14:textId="77777777" w:rsidR="00C56360" w:rsidRDefault="00C56360" w:rsidP="0008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93870308"/>
      <w:docPartObj>
        <w:docPartGallery w:val="Page Numbers (Bottom of Page)"/>
        <w:docPartUnique/>
      </w:docPartObj>
    </w:sdtPr>
    <w:sdtContent>
      <w:p w14:paraId="2012CE66" w14:textId="1E548203" w:rsidR="00086BCF" w:rsidRDefault="00086BCF" w:rsidP="00384B34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16AFA58" w14:textId="77777777" w:rsidR="00086BCF" w:rsidRDefault="00086BCF" w:rsidP="00086BCF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3538073"/>
      <w:docPartObj>
        <w:docPartGallery w:val="Page Numbers (Bottom of Page)"/>
        <w:docPartUnique/>
      </w:docPartObj>
    </w:sdtPr>
    <w:sdtContent>
      <w:p w14:paraId="75B211E8" w14:textId="1CE38F5C" w:rsidR="00086BCF" w:rsidRDefault="00086BCF" w:rsidP="00384B34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608ABC2" w14:textId="77777777" w:rsidR="00086BCF" w:rsidRDefault="00086BCF" w:rsidP="00086BCF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519C" w14:textId="77777777" w:rsidR="00C56360" w:rsidRDefault="00C56360" w:rsidP="00086BCF">
      <w:r>
        <w:separator/>
      </w:r>
    </w:p>
  </w:footnote>
  <w:footnote w:type="continuationSeparator" w:id="0">
    <w:p w14:paraId="7BCF8B10" w14:textId="77777777" w:rsidR="00C56360" w:rsidRDefault="00C56360" w:rsidP="0008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6C"/>
    <w:rsid w:val="00000ABC"/>
    <w:rsid w:val="00032CC3"/>
    <w:rsid w:val="0004126B"/>
    <w:rsid w:val="0008145B"/>
    <w:rsid w:val="00086BCF"/>
    <w:rsid w:val="00086E81"/>
    <w:rsid w:val="000B7040"/>
    <w:rsid w:val="000C122A"/>
    <w:rsid w:val="000D1F39"/>
    <w:rsid w:val="000E537C"/>
    <w:rsid w:val="000F44B8"/>
    <w:rsid w:val="00100A70"/>
    <w:rsid w:val="001068BA"/>
    <w:rsid w:val="00111B14"/>
    <w:rsid w:val="00117DCB"/>
    <w:rsid w:val="00123F2A"/>
    <w:rsid w:val="00130B18"/>
    <w:rsid w:val="0015209C"/>
    <w:rsid w:val="0015338B"/>
    <w:rsid w:val="00166CAE"/>
    <w:rsid w:val="0017125A"/>
    <w:rsid w:val="001737DF"/>
    <w:rsid w:val="0018375B"/>
    <w:rsid w:val="00192179"/>
    <w:rsid w:val="0019689D"/>
    <w:rsid w:val="001A7BDF"/>
    <w:rsid w:val="001B1AA9"/>
    <w:rsid w:val="001B5408"/>
    <w:rsid w:val="001C0305"/>
    <w:rsid w:val="001C582B"/>
    <w:rsid w:val="001D4251"/>
    <w:rsid w:val="001F7CDA"/>
    <w:rsid w:val="002005F0"/>
    <w:rsid w:val="00202F30"/>
    <w:rsid w:val="002042AC"/>
    <w:rsid w:val="00205389"/>
    <w:rsid w:val="00243890"/>
    <w:rsid w:val="002905BE"/>
    <w:rsid w:val="002A0B76"/>
    <w:rsid w:val="002F490D"/>
    <w:rsid w:val="002F6C55"/>
    <w:rsid w:val="002F77F3"/>
    <w:rsid w:val="00311A22"/>
    <w:rsid w:val="00315665"/>
    <w:rsid w:val="00320FB2"/>
    <w:rsid w:val="0032634E"/>
    <w:rsid w:val="003535B8"/>
    <w:rsid w:val="003670FC"/>
    <w:rsid w:val="00377926"/>
    <w:rsid w:val="003820C4"/>
    <w:rsid w:val="00386DA9"/>
    <w:rsid w:val="003A24BD"/>
    <w:rsid w:val="003D1EA0"/>
    <w:rsid w:val="003D2CBF"/>
    <w:rsid w:val="003E1DF6"/>
    <w:rsid w:val="003F572C"/>
    <w:rsid w:val="00407F46"/>
    <w:rsid w:val="0041153B"/>
    <w:rsid w:val="004125E2"/>
    <w:rsid w:val="004332DF"/>
    <w:rsid w:val="0045297A"/>
    <w:rsid w:val="004547C6"/>
    <w:rsid w:val="004577A9"/>
    <w:rsid w:val="0049460B"/>
    <w:rsid w:val="004A22ED"/>
    <w:rsid w:val="004A5F83"/>
    <w:rsid w:val="004B6CBB"/>
    <w:rsid w:val="004D601B"/>
    <w:rsid w:val="004E1ACC"/>
    <w:rsid w:val="005024F1"/>
    <w:rsid w:val="00505A39"/>
    <w:rsid w:val="00511585"/>
    <w:rsid w:val="00523218"/>
    <w:rsid w:val="00524812"/>
    <w:rsid w:val="005262A5"/>
    <w:rsid w:val="00532ECB"/>
    <w:rsid w:val="00542019"/>
    <w:rsid w:val="00544C84"/>
    <w:rsid w:val="00555CD6"/>
    <w:rsid w:val="0057343A"/>
    <w:rsid w:val="005777B4"/>
    <w:rsid w:val="005929A1"/>
    <w:rsid w:val="00593EB6"/>
    <w:rsid w:val="00595537"/>
    <w:rsid w:val="005D082C"/>
    <w:rsid w:val="005F2B0A"/>
    <w:rsid w:val="005F733F"/>
    <w:rsid w:val="00625649"/>
    <w:rsid w:val="0065528E"/>
    <w:rsid w:val="00656413"/>
    <w:rsid w:val="006628FD"/>
    <w:rsid w:val="00663C27"/>
    <w:rsid w:val="0066527B"/>
    <w:rsid w:val="006656E9"/>
    <w:rsid w:val="006869FC"/>
    <w:rsid w:val="00686CA6"/>
    <w:rsid w:val="00695AE1"/>
    <w:rsid w:val="006F4D77"/>
    <w:rsid w:val="00701754"/>
    <w:rsid w:val="00703DE1"/>
    <w:rsid w:val="00705DE9"/>
    <w:rsid w:val="0072074C"/>
    <w:rsid w:val="00744B45"/>
    <w:rsid w:val="00770607"/>
    <w:rsid w:val="007778EF"/>
    <w:rsid w:val="00794B1E"/>
    <w:rsid w:val="007A626C"/>
    <w:rsid w:val="007C4A7F"/>
    <w:rsid w:val="007D6053"/>
    <w:rsid w:val="007E308D"/>
    <w:rsid w:val="007E4790"/>
    <w:rsid w:val="007E495B"/>
    <w:rsid w:val="007F1A99"/>
    <w:rsid w:val="00830D7E"/>
    <w:rsid w:val="0083186F"/>
    <w:rsid w:val="008428E8"/>
    <w:rsid w:val="0084373E"/>
    <w:rsid w:val="00853D2F"/>
    <w:rsid w:val="00855D77"/>
    <w:rsid w:val="008760AF"/>
    <w:rsid w:val="00883B53"/>
    <w:rsid w:val="008850D5"/>
    <w:rsid w:val="0089354F"/>
    <w:rsid w:val="008963C6"/>
    <w:rsid w:val="008B2275"/>
    <w:rsid w:val="008D148F"/>
    <w:rsid w:val="008E548F"/>
    <w:rsid w:val="00912039"/>
    <w:rsid w:val="00923B47"/>
    <w:rsid w:val="00932D47"/>
    <w:rsid w:val="00952476"/>
    <w:rsid w:val="0096071C"/>
    <w:rsid w:val="009765D0"/>
    <w:rsid w:val="00991A0E"/>
    <w:rsid w:val="00993BDE"/>
    <w:rsid w:val="0099550C"/>
    <w:rsid w:val="00995CFD"/>
    <w:rsid w:val="009B61EE"/>
    <w:rsid w:val="009C3FB4"/>
    <w:rsid w:val="009D5593"/>
    <w:rsid w:val="009E2995"/>
    <w:rsid w:val="009E59E9"/>
    <w:rsid w:val="009F2E2C"/>
    <w:rsid w:val="009F67E5"/>
    <w:rsid w:val="00A01C73"/>
    <w:rsid w:val="00A35D0B"/>
    <w:rsid w:val="00A41258"/>
    <w:rsid w:val="00A53B9C"/>
    <w:rsid w:val="00A7742F"/>
    <w:rsid w:val="00AC4BC1"/>
    <w:rsid w:val="00AE6314"/>
    <w:rsid w:val="00B031A4"/>
    <w:rsid w:val="00B11D3D"/>
    <w:rsid w:val="00B279B5"/>
    <w:rsid w:val="00B56E0A"/>
    <w:rsid w:val="00B60A44"/>
    <w:rsid w:val="00BB3B39"/>
    <w:rsid w:val="00BB3B46"/>
    <w:rsid w:val="00BB5CDE"/>
    <w:rsid w:val="00BC1B6F"/>
    <w:rsid w:val="00BE3064"/>
    <w:rsid w:val="00BE6DC1"/>
    <w:rsid w:val="00BF2E69"/>
    <w:rsid w:val="00C069B0"/>
    <w:rsid w:val="00C303AC"/>
    <w:rsid w:val="00C47CB6"/>
    <w:rsid w:val="00C562D0"/>
    <w:rsid w:val="00C56360"/>
    <w:rsid w:val="00C63CF6"/>
    <w:rsid w:val="00C640D1"/>
    <w:rsid w:val="00C74E22"/>
    <w:rsid w:val="00CA42C9"/>
    <w:rsid w:val="00CD768B"/>
    <w:rsid w:val="00CE024E"/>
    <w:rsid w:val="00CF3464"/>
    <w:rsid w:val="00D64CB2"/>
    <w:rsid w:val="00D672C2"/>
    <w:rsid w:val="00D7470D"/>
    <w:rsid w:val="00D91167"/>
    <w:rsid w:val="00DB1355"/>
    <w:rsid w:val="00DC4020"/>
    <w:rsid w:val="00DC6076"/>
    <w:rsid w:val="00DE1414"/>
    <w:rsid w:val="00DE61A0"/>
    <w:rsid w:val="00DE696A"/>
    <w:rsid w:val="00DF0CD9"/>
    <w:rsid w:val="00E0553D"/>
    <w:rsid w:val="00E0725B"/>
    <w:rsid w:val="00E108DF"/>
    <w:rsid w:val="00E17EA8"/>
    <w:rsid w:val="00E2110E"/>
    <w:rsid w:val="00E2206E"/>
    <w:rsid w:val="00E33075"/>
    <w:rsid w:val="00E45FFF"/>
    <w:rsid w:val="00E50A04"/>
    <w:rsid w:val="00E67162"/>
    <w:rsid w:val="00E679B5"/>
    <w:rsid w:val="00EC0420"/>
    <w:rsid w:val="00EC33A5"/>
    <w:rsid w:val="00ED0181"/>
    <w:rsid w:val="00F0019A"/>
    <w:rsid w:val="00F00A99"/>
    <w:rsid w:val="00F16165"/>
    <w:rsid w:val="00F4447E"/>
    <w:rsid w:val="00F54D2D"/>
    <w:rsid w:val="00F5533C"/>
    <w:rsid w:val="00F80AD5"/>
    <w:rsid w:val="00F94659"/>
    <w:rsid w:val="00F96245"/>
    <w:rsid w:val="00FA064C"/>
    <w:rsid w:val="00FB6D2D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8AFD"/>
  <w15:chartTrackingRefBased/>
  <w15:docId w15:val="{39320DA9-9B47-F94C-AA23-30C06C9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7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B1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62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B1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B135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DB1355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B1355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DB1355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DB135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DB135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DB135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DB135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DB135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DB1355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B1355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cl-ade8b9c4">
    <w:name w:val="cl-ade8b9c4"/>
    <w:basedOn w:val="Policepardfaut"/>
    <w:rsid w:val="003D1EA0"/>
  </w:style>
  <w:style w:type="paragraph" w:styleId="Rvision">
    <w:name w:val="Revision"/>
    <w:hidden/>
    <w:uiPriority w:val="99"/>
    <w:semiHidden/>
    <w:rsid w:val="00117DCB"/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17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7D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7D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DC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l-42713b58">
    <w:name w:val="cl-42713b58"/>
    <w:basedOn w:val="Policepardfaut"/>
    <w:rsid w:val="00C303AC"/>
  </w:style>
  <w:style w:type="character" w:customStyle="1" w:styleId="apple-converted-space">
    <w:name w:val="apple-converted-space"/>
    <w:basedOn w:val="Policepardfaut"/>
    <w:rsid w:val="00701754"/>
  </w:style>
  <w:style w:type="character" w:styleId="Accentuation">
    <w:name w:val="Emphasis"/>
    <w:basedOn w:val="Policepardfaut"/>
    <w:uiPriority w:val="20"/>
    <w:qFormat/>
    <w:rsid w:val="00701754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B031A4"/>
  </w:style>
  <w:style w:type="paragraph" w:styleId="Pieddepage">
    <w:name w:val="footer"/>
    <w:basedOn w:val="Normal"/>
    <w:link w:val="PieddepageCar"/>
    <w:uiPriority w:val="99"/>
    <w:unhideWhenUsed/>
    <w:rsid w:val="00086B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BC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08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89E8C-7FCD-4756-B318-EBF8C4B5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Kimmoun</dc:creator>
  <cp:keywords/>
  <dc:description/>
  <cp:lastModifiedBy>Antoine Kimmoun</cp:lastModifiedBy>
  <cp:revision>3</cp:revision>
  <dcterms:created xsi:type="dcterms:W3CDTF">2023-06-20T07:37:00Z</dcterms:created>
  <dcterms:modified xsi:type="dcterms:W3CDTF">2023-06-20T07:50:00Z</dcterms:modified>
</cp:coreProperties>
</file>